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0972345">
      <w:pPr>
        <w:pStyle w:val="2"/>
        <w:bidi w:val="0"/>
        <w:rPr>
          <w:rFonts w:hint="default"/>
          <w:lang w:val="en-US" w:eastAsia="zh-CN"/>
        </w:rPr>
      </w:pPr>
      <w:r>
        <w:rPr>
          <w:rFonts w:hint="eastAsia"/>
          <w:lang w:val="en-US" w:eastAsia="zh-CN"/>
        </w:rPr>
        <w:t>南雄年鉴2014</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2E1E7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765DBEC">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774055" cy="7632700"/>
                  <wp:effectExtent l="0" t="0" r="17145" b="6350"/>
                  <wp:docPr id="6" name="图片 6" descr="南雄年鉴 2014 封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南雄年鉴 2014 封面"/>
                          <pic:cNvPicPr>
                            <a:picLocks noChangeAspect="1"/>
                          </pic:cNvPicPr>
                        </pic:nvPicPr>
                        <pic:blipFill>
                          <a:blip r:embed="rId12"/>
                          <a:stretch>
                            <a:fillRect/>
                          </a:stretch>
                        </pic:blipFill>
                        <pic:spPr>
                          <a:xfrm>
                            <a:off x="0" y="0"/>
                            <a:ext cx="5774055" cy="7632700"/>
                          </a:xfrm>
                          <a:prstGeom prst="rect">
                            <a:avLst/>
                          </a:prstGeom>
                        </pic:spPr>
                      </pic:pic>
                    </a:graphicData>
                  </a:graphic>
                </wp:inline>
              </w:drawing>
            </w:r>
          </w:p>
        </w:tc>
      </w:tr>
    </w:tbl>
    <w:p w14:paraId="043C5AA9">
      <w:pPr>
        <w:pStyle w:val="2"/>
        <w:bidi w:val="0"/>
        <w:rPr>
          <w:rFonts w:hint="eastAsia"/>
          <w:lang w:val="en-US" w:eastAsia="zh-CN"/>
        </w:rPr>
      </w:pPr>
      <w:r>
        <w:rPr>
          <w:rFonts w:hint="eastAsia"/>
          <w:lang w:val="en-US" w:eastAsia="zh-CN"/>
        </w:rPr>
        <w:t>南雄市行政区划图</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4F3F97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7E38B87">
            <w:pPr>
              <w:ind w:left="0" w:leftChars="0" w:firstLine="0" w:firstLineChars="0"/>
              <w:jc w:val="center"/>
              <w:rPr>
                <w:rFonts w:hint="eastAsia" w:eastAsia="宋体"/>
                <w:vertAlign w:val="baseline"/>
                <w:lang w:val="en-US" w:eastAsia="zh-CN"/>
              </w:rPr>
            </w:pPr>
            <w:r>
              <w:rPr>
                <w:rFonts w:hint="eastAsia" w:eastAsia="宋体"/>
                <w:vertAlign w:val="baseline"/>
                <w:lang w:val="en-US" w:eastAsia="zh-CN"/>
              </w:rPr>
              <w:drawing>
                <wp:inline distT="0" distB="0" distL="114300" distR="114300">
                  <wp:extent cx="6186170" cy="3971290"/>
                  <wp:effectExtent l="0" t="0" r="5080" b="10160"/>
                  <wp:docPr id="135" name="图片 135" descr="南雄年鉴2014-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南雄年鉴2014-001"/>
                          <pic:cNvPicPr>
                            <a:picLocks noChangeAspect="1"/>
                          </pic:cNvPicPr>
                        </pic:nvPicPr>
                        <pic:blipFill>
                          <a:blip r:embed="rId13"/>
                          <a:stretch>
                            <a:fillRect/>
                          </a:stretch>
                        </pic:blipFill>
                        <pic:spPr>
                          <a:xfrm>
                            <a:off x="0" y="0"/>
                            <a:ext cx="6186170" cy="3971290"/>
                          </a:xfrm>
                          <a:prstGeom prst="rect">
                            <a:avLst/>
                          </a:prstGeom>
                        </pic:spPr>
                      </pic:pic>
                    </a:graphicData>
                  </a:graphic>
                </wp:inline>
              </w:drawing>
            </w:r>
          </w:p>
        </w:tc>
      </w:tr>
    </w:tbl>
    <w:p w14:paraId="1F90F5B8">
      <w:pPr>
        <w:pStyle w:val="2"/>
        <w:bidi w:val="0"/>
        <w:rPr>
          <w:rFonts w:hint="eastAsia"/>
        </w:rPr>
      </w:pPr>
      <w:r>
        <w:rPr>
          <w:rFonts w:hint="eastAsia"/>
        </w:rPr>
        <w:t>编辑说明</w:t>
      </w:r>
    </w:p>
    <w:p w14:paraId="71D6EEF4">
      <w:pPr>
        <w:rPr>
          <w:rFonts w:hint="eastAsia"/>
          <w:lang w:eastAsia="zh-CN"/>
        </w:rPr>
      </w:pPr>
      <w:r>
        <w:rPr>
          <w:rFonts w:hint="eastAsia"/>
        </w:rPr>
        <w:t>一、《南雄年鉴》是由中共南雄市委、市政府主持，市史志办公室组织实施，各承编单位共同参与编纂的地方综合性年鉴。它全面、系统载录本行政区域年度内自然、政治、经济、文化、社会等方面的情况，为全市年度资料性文献。从</w:t>
      </w:r>
      <w:r>
        <w:t>2011年起每年编纂出版一卷</w:t>
      </w:r>
      <w:r>
        <w:rPr>
          <w:rFonts w:hint="eastAsia"/>
          <w:lang w:eastAsia="zh-CN"/>
        </w:rPr>
        <w:t>。</w:t>
      </w:r>
    </w:p>
    <w:p w14:paraId="10F0A214">
      <w:r>
        <w:rPr>
          <w:rFonts w:hint="eastAsia"/>
        </w:rPr>
        <w:t>二、《南雄年鉴》（</w:t>
      </w:r>
      <w:r>
        <w:t>2014）主要反映2013年南雄市各项事业发展基本</w:t>
      </w:r>
      <w:r>
        <w:rPr>
          <w:rFonts w:hint="eastAsia"/>
        </w:rPr>
        <w:t>情况。年鉴分正文和彩页两大部分，正文内容由特载、大事记、行业专文以及社会经济统计资料等组成，彩页主要收集全市重要政务活动、行业成就、城乡新貌。新闻要事彩图由廖春花提供和选自南雄市人民政府网，专文内容按类目、分目、条目结构层次，条目标题以黑体字加【】表示</w:t>
      </w:r>
      <w:r>
        <w:rPr>
          <w:rFonts w:hint="eastAsia"/>
          <w:lang w:eastAsia="zh-CN"/>
        </w:rPr>
        <w:t>，</w:t>
      </w:r>
      <w:r>
        <w:rPr>
          <w:rFonts w:hint="eastAsia"/>
          <w:lang w:val="en-US" w:eastAsia="zh-CN"/>
        </w:rPr>
        <w:t>全</w:t>
      </w:r>
      <w:r>
        <w:rPr>
          <w:rFonts w:hint="eastAsia"/>
        </w:rPr>
        <w:t>书约计</w:t>
      </w:r>
      <w:r>
        <w:t>600千字。</w:t>
      </w:r>
    </w:p>
    <w:p w14:paraId="7041BD92">
      <w:pPr>
        <w:rPr>
          <w:rFonts w:hint="eastAsia"/>
          <w:lang w:eastAsia="zh-CN"/>
        </w:rPr>
      </w:pPr>
      <w:r>
        <w:rPr>
          <w:rFonts w:hint="eastAsia"/>
        </w:rPr>
        <w:t>三、本卷年鉴编目设计在去年的基础上，对个别栏目的编排进行适当调整、使其更加科学合理</w:t>
      </w:r>
      <w:r>
        <w:rPr>
          <w:rFonts w:hint="eastAsia"/>
          <w:lang w:eastAsia="zh-CN"/>
        </w:rPr>
        <w:t>。</w:t>
      </w:r>
    </w:p>
    <w:p w14:paraId="78EC3591">
      <w:pPr>
        <w:rPr>
          <w:rFonts w:hint="eastAsia"/>
          <w:lang w:eastAsia="zh-CN"/>
        </w:rPr>
      </w:pPr>
      <w:r>
        <w:rPr>
          <w:rFonts w:hint="eastAsia"/>
        </w:rPr>
        <w:t>四、本卷年鉴收录了</w:t>
      </w:r>
      <w:r>
        <w:t>2013年市四套班子及市直机关、镇（街道）班子成</w:t>
      </w:r>
      <w:r>
        <w:rPr>
          <w:rFonts w:hint="eastAsia"/>
        </w:rPr>
        <w:t>员名单</w:t>
      </w:r>
      <w:r>
        <w:rPr>
          <w:rFonts w:hint="eastAsia"/>
          <w:lang w:eastAsia="zh-CN"/>
        </w:rPr>
        <w:t>。</w:t>
      </w:r>
    </w:p>
    <w:p w14:paraId="040A3B67">
      <w:pPr>
        <w:rPr>
          <w:rFonts w:hint="eastAsia"/>
        </w:rPr>
      </w:pPr>
      <w:r>
        <w:rPr>
          <w:rFonts w:hint="eastAsia"/>
        </w:rPr>
        <w:t>五、本年鉴所录用资料大部分由市直各部门、各单位、各镇（街道）及有关单位提供，《南雄年鉴》编辑部撰写了部分稿件并统纂全书。所提供的稿件资料均经供稿单位领导审阅，撰稿人署名于各相应条目文末。因统计时间、口径不同等原因，个别数据在不同稿件中可能不尽一致，反映全市国民经济和社会发展情况数据，以南雄市统计局提供资料为准，由于个别单位未按要求提供资料，以致缺载，请予见谅。</w:t>
      </w:r>
    </w:p>
    <w:p w14:paraId="6BA03C58">
      <w:pPr>
        <w:rPr>
          <w:rFonts w:hint="eastAsia"/>
        </w:rPr>
      </w:pPr>
      <w:r>
        <w:rPr>
          <w:rFonts w:hint="eastAsia"/>
        </w:rPr>
        <w:t>六、本年鉴的编辑出版得到了全市各级部门和有关单位领导的大力支持，广大撰稿人员为此付出了辛勤的劳动，在此一并致以诚挚的谢意。由于编纂时间紧，经验不足，水平有限，且篇幅较大，图文虽经多次审核</w:t>
      </w:r>
      <w:r>
        <w:rPr>
          <w:rFonts w:hint="eastAsia"/>
          <w:lang w:eastAsia="zh-CN"/>
        </w:rPr>
        <w:t>、</w:t>
      </w:r>
      <w:r>
        <w:rPr>
          <w:rFonts w:hint="eastAsia"/>
        </w:rPr>
        <w:t>校对，仍难免有差错和疏漏之处，敬请读者予以指正。</w:t>
      </w:r>
    </w:p>
    <w:p w14:paraId="30CD56EB">
      <w:pPr>
        <w:pStyle w:val="2"/>
        <w:bidi w:val="0"/>
      </w:pPr>
      <w:r>
        <w:rPr>
          <w:rFonts w:hint="eastAsia"/>
        </w:rPr>
        <w:t>《南雄年鉴》（</w:t>
      </w:r>
      <w:r>
        <w:t>2014）编纂委员会</w:t>
      </w:r>
    </w:p>
    <w:p w14:paraId="4EC127D3">
      <w:pPr>
        <w:rPr>
          <w:rFonts w:hint="eastAsia"/>
          <w:lang w:eastAsia="zh-CN"/>
        </w:rPr>
      </w:pPr>
      <w:r>
        <w:rPr>
          <w:rFonts w:hint="eastAsia"/>
          <w:b/>
          <w:bCs/>
        </w:rPr>
        <w:t>名誉主任：</w:t>
      </w:r>
      <w:r>
        <w:rPr>
          <w:rFonts w:hint="eastAsia"/>
        </w:rPr>
        <w:t>刘清生（市委书记、市人大常委会主任</w:t>
      </w:r>
      <w:r>
        <w:rPr>
          <w:rFonts w:hint="eastAsia"/>
          <w:lang w:eastAsia="zh-CN"/>
        </w:rPr>
        <w:t>）</w:t>
      </w:r>
    </w:p>
    <w:p w14:paraId="03840C94">
      <w:pPr>
        <w:rPr>
          <w:rFonts w:hint="eastAsia"/>
        </w:rPr>
      </w:pPr>
      <w:r>
        <w:rPr>
          <w:rFonts w:hint="eastAsia"/>
          <w:b/>
          <w:bCs/>
        </w:rPr>
        <w:t>主</w:t>
      </w:r>
      <w:r>
        <w:rPr>
          <w:rFonts w:hint="eastAsia"/>
          <w:b/>
          <w:bCs/>
          <w:lang w:val="en-US" w:eastAsia="zh-CN"/>
        </w:rPr>
        <w:t xml:space="preserve">    </w:t>
      </w:r>
      <w:r>
        <w:rPr>
          <w:rFonts w:hint="eastAsia"/>
          <w:b/>
          <w:bCs/>
        </w:rPr>
        <w:t>任：</w:t>
      </w:r>
      <w:r>
        <w:rPr>
          <w:rFonts w:hint="eastAsia"/>
        </w:rPr>
        <w:t>曾风保（市委副书记、市长）</w:t>
      </w:r>
    </w:p>
    <w:p w14:paraId="58054D8B">
      <w:pPr>
        <w:rPr>
          <w:rFonts w:hint="eastAsia"/>
          <w:lang w:eastAsia="zh-CN"/>
        </w:rPr>
      </w:pPr>
      <w:r>
        <w:rPr>
          <w:rFonts w:hint="eastAsia"/>
          <w:b/>
          <w:bCs/>
        </w:rPr>
        <w:t>副</w:t>
      </w:r>
      <w:r>
        <w:rPr>
          <w:rFonts w:hint="eastAsia"/>
          <w:b/>
          <w:bCs/>
          <w:lang w:val="en-US" w:eastAsia="zh-CN"/>
        </w:rPr>
        <w:t xml:space="preserve"> </w:t>
      </w:r>
      <w:r>
        <w:rPr>
          <w:rFonts w:hint="eastAsia"/>
          <w:b/>
          <w:bCs/>
        </w:rPr>
        <w:t>主</w:t>
      </w:r>
      <w:r>
        <w:rPr>
          <w:rFonts w:hint="eastAsia"/>
          <w:b/>
          <w:bCs/>
          <w:lang w:val="en-US" w:eastAsia="zh-CN"/>
        </w:rPr>
        <w:t xml:space="preserve"> </w:t>
      </w:r>
      <w:r>
        <w:rPr>
          <w:rFonts w:hint="eastAsia"/>
          <w:b/>
          <w:bCs/>
        </w:rPr>
        <w:t>任：</w:t>
      </w:r>
      <w:r>
        <w:rPr>
          <w:rFonts w:hint="eastAsia"/>
        </w:rPr>
        <w:t>黄德群（市委常委、市委办主任</w:t>
      </w:r>
      <w:r>
        <w:rPr>
          <w:rFonts w:hint="eastAsia"/>
          <w:lang w:eastAsia="zh-CN"/>
        </w:rPr>
        <w:t>）</w:t>
      </w:r>
    </w:p>
    <w:p w14:paraId="5A451109">
      <w:pPr>
        <w:ind w:leftChars="500"/>
        <w:rPr>
          <w:rFonts w:hint="eastAsia"/>
          <w:lang w:eastAsia="zh-CN"/>
        </w:rPr>
      </w:pPr>
      <w:r>
        <w:rPr>
          <w:rFonts w:hint="eastAsia"/>
        </w:rPr>
        <w:t>袁元桃（副市长</w:t>
      </w:r>
      <w:r>
        <w:rPr>
          <w:rFonts w:hint="eastAsia"/>
          <w:lang w:eastAsia="zh-CN"/>
        </w:rPr>
        <w:t>）</w:t>
      </w:r>
    </w:p>
    <w:p w14:paraId="651172AF">
      <w:pPr>
        <w:rPr>
          <w:rFonts w:hint="eastAsia"/>
        </w:rPr>
      </w:pPr>
      <w:r>
        <w:rPr>
          <w:rFonts w:hint="eastAsia"/>
          <w:b/>
          <w:bCs/>
        </w:rPr>
        <w:t>成</w:t>
      </w:r>
      <w:r>
        <w:rPr>
          <w:rFonts w:hint="eastAsia"/>
          <w:b/>
          <w:bCs/>
          <w:lang w:val="en-US" w:eastAsia="zh-CN"/>
        </w:rPr>
        <w:t xml:space="preserve">    </w:t>
      </w:r>
      <w:r>
        <w:rPr>
          <w:rFonts w:hint="eastAsia"/>
          <w:b/>
          <w:bCs/>
        </w:rPr>
        <w:t>员：</w:t>
      </w:r>
      <w:r>
        <w:rPr>
          <w:rFonts w:hint="eastAsia"/>
        </w:rPr>
        <w:t>何文忠（市纪委）</w:t>
      </w:r>
      <w:r>
        <w:rPr>
          <w:rFonts w:hint="eastAsia"/>
          <w:lang w:val="en-US" w:eastAsia="zh-CN"/>
        </w:rPr>
        <w:t xml:space="preserve">   </w:t>
      </w:r>
      <w:r>
        <w:rPr>
          <w:rFonts w:hint="eastAsia"/>
        </w:rPr>
        <w:t>张堂耀（市委办</w:t>
      </w:r>
      <w:r>
        <w:rPr>
          <w:rFonts w:hint="eastAsia"/>
          <w:lang w:eastAsia="zh-CN"/>
        </w:rPr>
        <w:t>）</w:t>
      </w:r>
      <w:r>
        <w:rPr>
          <w:rFonts w:hint="eastAsia"/>
          <w:lang w:val="en-US" w:eastAsia="zh-CN"/>
        </w:rPr>
        <w:t xml:space="preserve">   </w:t>
      </w:r>
      <w:r>
        <w:rPr>
          <w:rFonts w:hint="eastAsia"/>
        </w:rPr>
        <w:t>张新（人大办）</w:t>
      </w:r>
    </w:p>
    <w:p w14:paraId="119AF310">
      <w:pPr>
        <w:ind w:leftChars="500"/>
        <w:rPr>
          <w:rFonts w:hint="eastAsia"/>
        </w:rPr>
      </w:pPr>
      <w:r>
        <w:rPr>
          <w:rFonts w:hint="eastAsia"/>
        </w:rPr>
        <w:t>刘先辉（政府办）</w:t>
      </w:r>
      <w:r>
        <w:rPr>
          <w:rFonts w:hint="eastAsia"/>
          <w:lang w:val="en-US" w:eastAsia="zh-CN"/>
        </w:rPr>
        <w:t xml:space="preserve">   </w:t>
      </w:r>
      <w:r>
        <w:rPr>
          <w:rFonts w:hint="eastAsia"/>
        </w:rPr>
        <w:t>朱定球（政协办）</w:t>
      </w:r>
      <w:r>
        <w:rPr>
          <w:rFonts w:hint="eastAsia"/>
          <w:lang w:val="en-US" w:eastAsia="zh-CN"/>
        </w:rPr>
        <w:t xml:space="preserve">   </w:t>
      </w:r>
      <w:r>
        <w:rPr>
          <w:rFonts w:hint="eastAsia"/>
        </w:rPr>
        <w:t>凌生成（组织部）</w:t>
      </w:r>
    </w:p>
    <w:p w14:paraId="2A66C612">
      <w:pPr>
        <w:ind w:leftChars="500"/>
        <w:rPr>
          <w:rFonts w:hint="eastAsia"/>
        </w:rPr>
      </w:pPr>
      <w:r>
        <w:rPr>
          <w:rFonts w:hint="eastAsia"/>
        </w:rPr>
        <w:t>孔令平（宣传部）</w:t>
      </w:r>
      <w:r>
        <w:rPr>
          <w:rFonts w:hint="eastAsia"/>
          <w:lang w:val="en-US" w:eastAsia="zh-CN"/>
        </w:rPr>
        <w:t xml:space="preserve">   </w:t>
      </w:r>
      <w:r>
        <w:rPr>
          <w:rFonts w:hint="eastAsia"/>
        </w:rPr>
        <w:t>陈景泰（史志办</w:t>
      </w:r>
      <w:r>
        <w:rPr>
          <w:rFonts w:hint="eastAsia"/>
          <w:lang w:eastAsia="zh-CN"/>
        </w:rPr>
        <w:t>）</w:t>
      </w:r>
      <w:r>
        <w:rPr>
          <w:rFonts w:hint="eastAsia"/>
          <w:lang w:val="en-US" w:eastAsia="zh-CN"/>
        </w:rPr>
        <w:t xml:space="preserve">   </w:t>
      </w:r>
      <w:r>
        <w:rPr>
          <w:rFonts w:hint="eastAsia"/>
        </w:rPr>
        <w:t>王友华（发改局）</w:t>
      </w:r>
    </w:p>
    <w:p w14:paraId="5AF41068">
      <w:pPr>
        <w:ind w:leftChars="500"/>
        <w:rPr>
          <w:rFonts w:hint="eastAsia"/>
          <w:lang w:eastAsia="zh-CN"/>
        </w:rPr>
      </w:pPr>
      <w:r>
        <w:rPr>
          <w:rFonts w:hint="eastAsia"/>
        </w:rPr>
        <w:t>田文斌（教育局）</w:t>
      </w:r>
      <w:r>
        <w:rPr>
          <w:rFonts w:hint="eastAsia"/>
          <w:lang w:val="en-US" w:eastAsia="zh-CN"/>
        </w:rPr>
        <w:t xml:space="preserve">   </w:t>
      </w:r>
      <w:r>
        <w:rPr>
          <w:rFonts w:hint="eastAsia"/>
        </w:rPr>
        <w:t>李应军（档案局）</w:t>
      </w:r>
      <w:r>
        <w:rPr>
          <w:rFonts w:hint="eastAsia"/>
          <w:lang w:val="en-US" w:eastAsia="zh-CN"/>
        </w:rPr>
        <w:t xml:space="preserve">   </w:t>
      </w:r>
      <w:r>
        <w:rPr>
          <w:rFonts w:hint="eastAsia"/>
        </w:rPr>
        <w:t>王婉霞（人社局</w:t>
      </w:r>
      <w:r>
        <w:rPr>
          <w:rFonts w:hint="eastAsia"/>
          <w:lang w:eastAsia="zh-CN"/>
        </w:rPr>
        <w:t>）</w:t>
      </w:r>
    </w:p>
    <w:p w14:paraId="27A5E838">
      <w:pPr>
        <w:ind w:leftChars="500"/>
        <w:rPr>
          <w:rFonts w:hint="eastAsia"/>
        </w:rPr>
      </w:pPr>
      <w:r>
        <w:rPr>
          <w:rFonts w:hint="eastAsia"/>
        </w:rPr>
        <w:t>廖声华（经信局）</w:t>
      </w:r>
      <w:r>
        <w:rPr>
          <w:rFonts w:hint="eastAsia"/>
          <w:lang w:val="en-US" w:eastAsia="zh-CN"/>
        </w:rPr>
        <w:t xml:space="preserve">   </w:t>
      </w:r>
      <w:r>
        <w:rPr>
          <w:rFonts w:hint="eastAsia"/>
        </w:rPr>
        <w:t>吴良彬（住建局</w:t>
      </w:r>
      <w:r>
        <w:rPr>
          <w:rFonts w:hint="eastAsia"/>
          <w:lang w:eastAsia="zh-CN"/>
        </w:rPr>
        <w:t>）</w:t>
      </w:r>
      <w:r>
        <w:rPr>
          <w:rFonts w:hint="eastAsia"/>
          <w:lang w:val="en-US" w:eastAsia="zh-CN"/>
        </w:rPr>
        <w:t xml:space="preserve">   </w:t>
      </w:r>
      <w:r>
        <w:rPr>
          <w:rFonts w:hint="eastAsia"/>
        </w:rPr>
        <w:t>张政平（国土局）</w:t>
      </w:r>
    </w:p>
    <w:p w14:paraId="65D21EA8">
      <w:pPr>
        <w:ind w:leftChars="500"/>
        <w:rPr>
          <w:rFonts w:hint="eastAsia"/>
        </w:rPr>
      </w:pPr>
      <w:r>
        <w:rPr>
          <w:rFonts w:hint="eastAsia"/>
        </w:rPr>
        <w:t>林绍发（交通局）</w:t>
      </w:r>
      <w:r>
        <w:rPr>
          <w:rFonts w:hint="eastAsia"/>
          <w:lang w:val="en-US" w:eastAsia="zh-CN"/>
        </w:rPr>
        <w:t xml:space="preserve">   </w:t>
      </w:r>
      <w:r>
        <w:rPr>
          <w:rFonts w:hint="eastAsia"/>
        </w:rPr>
        <w:t>李传忠（财政局）</w:t>
      </w:r>
      <w:r>
        <w:rPr>
          <w:rFonts w:hint="eastAsia"/>
          <w:lang w:val="en-US" w:eastAsia="zh-CN"/>
        </w:rPr>
        <w:t xml:space="preserve">   </w:t>
      </w:r>
      <w:r>
        <w:rPr>
          <w:rFonts w:hint="eastAsia"/>
        </w:rPr>
        <w:t>陈仁麟（农业局）</w:t>
      </w:r>
    </w:p>
    <w:p w14:paraId="704F6EF6">
      <w:pPr>
        <w:ind w:leftChars="500"/>
        <w:rPr>
          <w:rFonts w:hint="eastAsia"/>
        </w:rPr>
      </w:pPr>
      <w:r>
        <w:rPr>
          <w:rFonts w:hint="eastAsia"/>
        </w:rPr>
        <w:t>肖梅山（统计局）</w:t>
      </w:r>
      <w:r>
        <w:rPr>
          <w:rFonts w:hint="eastAsia"/>
          <w:lang w:val="en-US" w:eastAsia="zh-CN"/>
        </w:rPr>
        <w:t xml:space="preserve">   </w:t>
      </w:r>
      <w:r>
        <w:rPr>
          <w:rFonts w:hint="eastAsia"/>
        </w:rPr>
        <w:t>刘光新（卫计局）</w:t>
      </w:r>
      <w:r>
        <w:rPr>
          <w:rFonts w:hint="eastAsia"/>
          <w:lang w:val="en-US" w:eastAsia="zh-CN"/>
        </w:rPr>
        <w:t xml:space="preserve">   </w:t>
      </w:r>
      <w:r>
        <w:rPr>
          <w:rFonts w:hint="eastAsia"/>
        </w:rPr>
        <w:t>张英宏（林业局）</w:t>
      </w:r>
    </w:p>
    <w:p w14:paraId="4B8F0B59">
      <w:pPr>
        <w:ind w:leftChars="500"/>
        <w:rPr>
          <w:rFonts w:hint="eastAsia"/>
        </w:rPr>
      </w:pPr>
      <w:r>
        <w:rPr>
          <w:rFonts w:hint="eastAsia"/>
        </w:rPr>
        <w:t>严桂龙（水务局）</w:t>
      </w:r>
      <w:r>
        <w:rPr>
          <w:rFonts w:hint="eastAsia"/>
          <w:lang w:val="en-US" w:eastAsia="zh-CN"/>
        </w:rPr>
        <w:t xml:space="preserve">   </w:t>
      </w:r>
      <w:r>
        <w:rPr>
          <w:rFonts w:hint="eastAsia"/>
        </w:rPr>
        <w:t>尹本善（民政局）</w:t>
      </w:r>
      <w:r>
        <w:rPr>
          <w:rFonts w:hint="eastAsia"/>
          <w:lang w:val="en-US" w:eastAsia="zh-CN"/>
        </w:rPr>
        <w:t xml:space="preserve">   </w:t>
      </w:r>
      <w:r>
        <w:rPr>
          <w:rFonts w:hint="eastAsia"/>
        </w:rPr>
        <w:t>周宏忠（旅游局）</w:t>
      </w:r>
    </w:p>
    <w:p w14:paraId="2A074BFB">
      <w:pPr>
        <w:ind w:leftChars="500"/>
        <w:rPr>
          <w:rFonts w:hint="eastAsia"/>
        </w:rPr>
      </w:pPr>
      <w:r>
        <w:rPr>
          <w:rFonts w:hint="eastAsia"/>
        </w:rPr>
        <w:t>沈步亮（环保局）</w:t>
      </w:r>
      <w:r>
        <w:rPr>
          <w:rFonts w:hint="eastAsia"/>
          <w:lang w:val="en-US" w:eastAsia="zh-CN"/>
        </w:rPr>
        <w:t xml:space="preserve">   </w:t>
      </w:r>
      <w:r>
        <w:rPr>
          <w:rFonts w:hint="eastAsia"/>
        </w:rPr>
        <w:t>陈宏华（审计局）</w:t>
      </w:r>
      <w:r>
        <w:rPr>
          <w:rFonts w:hint="eastAsia"/>
          <w:lang w:val="en-US" w:eastAsia="zh-CN"/>
        </w:rPr>
        <w:t xml:space="preserve">   </w:t>
      </w:r>
      <w:r>
        <w:rPr>
          <w:rFonts w:hint="eastAsia"/>
        </w:rPr>
        <w:t>肖丽琼（文广新局）</w:t>
      </w:r>
    </w:p>
    <w:p w14:paraId="4751E0D6">
      <w:pPr>
        <w:ind w:leftChars="500"/>
        <w:rPr>
          <w:rFonts w:hint="eastAsia"/>
        </w:rPr>
      </w:pPr>
      <w:r>
        <w:rPr>
          <w:rFonts w:hint="eastAsia"/>
        </w:rPr>
        <w:t>卢德政（广播电视台）</w:t>
      </w:r>
    </w:p>
    <w:p w14:paraId="4F28C6BD">
      <w:pPr>
        <w:pStyle w:val="2"/>
        <w:bidi w:val="0"/>
      </w:pPr>
      <w:r>
        <w:rPr>
          <w:rFonts w:hint="eastAsia"/>
        </w:rPr>
        <w:t>《南雄年鉴》（</w:t>
      </w:r>
      <w:r>
        <w:t>2014）编辑部</w:t>
      </w:r>
    </w:p>
    <w:p w14:paraId="59DCB556">
      <w:pPr>
        <w:rPr>
          <w:rFonts w:hint="eastAsia"/>
        </w:rPr>
      </w:pPr>
      <w:r>
        <w:rPr>
          <w:rFonts w:hint="eastAsia"/>
          <w:b/>
          <w:bCs/>
        </w:rPr>
        <w:t>主</w:t>
      </w:r>
      <w:r>
        <w:rPr>
          <w:rFonts w:hint="eastAsia"/>
          <w:b/>
          <w:bCs/>
          <w:lang w:val="en-US" w:eastAsia="zh-CN"/>
        </w:rPr>
        <w:t xml:space="preserve">    </w:t>
      </w:r>
      <w:r>
        <w:rPr>
          <w:rFonts w:hint="eastAsia"/>
          <w:b/>
          <w:bCs/>
        </w:rPr>
        <w:t>编：</w:t>
      </w:r>
      <w:r>
        <w:rPr>
          <w:rFonts w:hint="eastAsia"/>
        </w:rPr>
        <w:t>陈景泰</w:t>
      </w:r>
      <w:r>
        <w:rPr>
          <w:rFonts w:hint="eastAsia"/>
          <w:lang w:val="en-US" w:eastAsia="zh-CN"/>
        </w:rPr>
        <w:t xml:space="preserve">   </w:t>
      </w:r>
      <w:r>
        <w:rPr>
          <w:rFonts w:hint="eastAsia"/>
        </w:rPr>
        <w:t>叶</w:t>
      </w:r>
      <w:r>
        <w:rPr>
          <w:rFonts w:hint="eastAsia"/>
          <w:lang w:val="en-US" w:eastAsia="zh-CN"/>
        </w:rPr>
        <w:t xml:space="preserve">  </w:t>
      </w:r>
      <w:r>
        <w:rPr>
          <w:rFonts w:hint="eastAsia"/>
        </w:rPr>
        <w:t>忠</w:t>
      </w:r>
    </w:p>
    <w:p w14:paraId="355CC111">
      <w:pPr>
        <w:rPr>
          <w:rFonts w:hint="eastAsia"/>
        </w:rPr>
      </w:pPr>
      <w:r>
        <w:rPr>
          <w:rFonts w:hint="eastAsia"/>
          <w:b/>
          <w:bCs/>
        </w:rPr>
        <w:t>执行主编：</w:t>
      </w:r>
      <w:r>
        <w:rPr>
          <w:rFonts w:hint="eastAsia"/>
        </w:rPr>
        <w:t>谢</w:t>
      </w:r>
      <w:r>
        <w:rPr>
          <w:rFonts w:hint="eastAsia"/>
          <w:lang w:val="en-US" w:eastAsia="zh-CN"/>
        </w:rPr>
        <w:t xml:space="preserve">  </w:t>
      </w:r>
      <w:r>
        <w:rPr>
          <w:rFonts w:hint="eastAsia"/>
        </w:rPr>
        <w:t>平</w:t>
      </w:r>
    </w:p>
    <w:p w14:paraId="64ABF70D">
      <w:pPr>
        <w:rPr>
          <w:rFonts w:hint="eastAsia"/>
        </w:rPr>
      </w:pPr>
      <w:r>
        <w:rPr>
          <w:rFonts w:hint="eastAsia"/>
          <w:b/>
          <w:bCs/>
        </w:rPr>
        <w:t>副</w:t>
      </w:r>
      <w:r>
        <w:rPr>
          <w:rFonts w:hint="eastAsia"/>
          <w:b/>
          <w:bCs/>
          <w:lang w:val="en-US" w:eastAsia="zh-CN"/>
        </w:rPr>
        <w:t xml:space="preserve"> </w:t>
      </w:r>
      <w:r>
        <w:rPr>
          <w:rFonts w:hint="eastAsia"/>
          <w:b/>
          <w:bCs/>
        </w:rPr>
        <w:t>主</w:t>
      </w:r>
      <w:r>
        <w:rPr>
          <w:rFonts w:hint="eastAsia"/>
          <w:b/>
          <w:bCs/>
          <w:lang w:val="en-US" w:eastAsia="zh-CN"/>
        </w:rPr>
        <w:t xml:space="preserve"> </w:t>
      </w:r>
      <w:r>
        <w:rPr>
          <w:rFonts w:hint="eastAsia"/>
          <w:b/>
          <w:bCs/>
        </w:rPr>
        <w:t>编：</w:t>
      </w:r>
      <w:r>
        <w:rPr>
          <w:rFonts w:hint="eastAsia"/>
        </w:rPr>
        <w:t>李君祥</w:t>
      </w:r>
    </w:p>
    <w:p w14:paraId="633A90A9">
      <w:pPr>
        <w:rPr>
          <w:rFonts w:hint="eastAsia"/>
        </w:rPr>
      </w:pPr>
      <w:r>
        <w:rPr>
          <w:rFonts w:hint="eastAsia"/>
          <w:b/>
          <w:bCs/>
        </w:rPr>
        <w:t>编</w:t>
      </w:r>
      <w:r>
        <w:rPr>
          <w:rFonts w:hint="eastAsia"/>
          <w:b/>
          <w:bCs/>
          <w:lang w:val="en-US" w:eastAsia="zh-CN"/>
        </w:rPr>
        <w:t xml:space="preserve">    </w:t>
      </w:r>
      <w:r>
        <w:rPr>
          <w:rFonts w:hint="eastAsia"/>
          <w:b/>
          <w:bCs/>
        </w:rPr>
        <w:t>辑：</w:t>
      </w:r>
      <w:r>
        <w:rPr>
          <w:rFonts w:hint="eastAsia"/>
        </w:rPr>
        <w:t>叶</w:t>
      </w:r>
      <w:r>
        <w:rPr>
          <w:rFonts w:hint="eastAsia"/>
          <w:lang w:val="en-US" w:eastAsia="zh-CN"/>
        </w:rPr>
        <w:t xml:space="preserve">  </w:t>
      </w:r>
      <w:r>
        <w:rPr>
          <w:rFonts w:hint="eastAsia"/>
        </w:rPr>
        <w:t>忠</w:t>
      </w:r>
      <w:r>
        <w:rPr>
          <w:rFonts w:hint="eastAsia"/>
          <w:lang w:val="en-US" w:eastAsia="zh-CN"/>
        </w:rPr>
        <w:t xml:space="preserve">   </w:t>
      </w:r>
      <w:r>
        <w:rPr>
          <w:rFonts w:hint="eastAsia"/>
        </w:rPr>
        <w:t>谢</w:t>
      </w:r>
      <w:r>
        <w:rPr>
          <w:rFonts w:hint="eastAsia"/>
          <w:lang w:val="en-US" w:eastAsia="zh-CN"/>
        </w:rPr>
        <w:t xml:space="preserve">  </w:t>
      </w:r>
      <w:r>
        <w:rPr>
          <w:rFonts w:hint="eastAsia"/>
        </w:rPr>
        <w:t>平</w:t>
      </w:r>
      <w:r>
        <w:rPr>
          <w:rFonts w:hint="eastAsia"/>
          <w:lang w:val="en-US" w:eastAsia="zh-CN"/>
        </w:rPr>
        <w:t xml:space="preserve">  </w:t>
      </w:r>
      <w:r>
        <w:rPr>
          <w:rFonts w:hint="eastAsia"/>
        </w:rPr>
        <w:t>李君祥</w:t>
      </w:r>
      <w:r>
        <w:rPr>
          <w:rFonts w:hint="eastAsia"/>
          <w:lang w:val="en-US" w:eastAsia="zh-CN"/>
        </w:rPr>
        <w:t xml:space="preserve">   </w:t>
      </w:r>
      <w:r>
        <w:rPr>
          <w:rFonts w:hint="eastAsia"/>
        </w:rPr>
        <w:t>陈如永</w:t>
      </w:r>
      <w:r>
        <w:rPr>
          <w:rFonts w:hint="eastAsia"/>
          <w:lang w:val="en-US" w:eastAsia="zh-CN"/>
        </w:rPr>
        <w:t xml:space="preserve">   </w:t>
      </w:r>
      <w:r>
        <w:rPr>
          <w:rFonts w:hint="eastAsia"/>
        </w:rPr>
        <w:t>刘球凤</w:t>
      </w:r>
      <w:r>
        <w:rPr>
          <w:rFonts w:hint="eastAsia"/>
          <w:lang w:val="en-US" w:eastAsia="zh-CN"/>
        </w:rPr>
        <w:t xml:space="preserve">   </w:t>
      </w:r>
      <w:r>
        <w:rPr>
          <w:rFonts w:hint="eastAsia"/>
        </w:rPr>
        <w:t>杨洪标</w:t>
      </w:r>
    </w:p>
    <w:p w14:paraId="228C7966">
      <w:pPr>
        <w:pStyle w:val="2"/>
        <w:bidi w:val="0"/>
        <w:rPr>
          <w:rFonts w:hint="eastAsia"/>
          <w:lang w:val="en-US" w:eastAsia="zh-CN"/>
        </w:rPr>
      </w:pPr>
      <w:r>
        <w:rPr>
          <w:rFonts w:hint="eastAsia"/>
          <w:lang w:val="en-US" w:eastAsia="zh-CN"/>
        </w:rPr>
        <w:t>图片专辑</w:t>
      </w:r>
    </w:p>
    <w:p w14:paraId="383B3FEC">
      <w:pPr>
        <w:pStyle w:val="3"/>
        <w:bidi w:val="0"/>
        <w:rPr>
          <w:rFonts w:hint="eastAsia"/>
          <w:lang w:val="en-US" w:eastAsia="zh-CN"/>
        </w:rPr>
      </w:pPr>
      <w:r>
        <w:rPr>
          <w:rFonts w:hint="eastAsia"/>
          <w:lang w:val="en-US" w:eastAsia="zh-CN"/>
        </w:rPr>
        <w:t>2013年新闻要事</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34889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82189D4">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6170" cy="4114800"/>
                  <wp:effectExtent l="0" t="0" r="5080" b="0"/>
                  <wp:docPr id="1" name="图片 1" descr="南雄年鉴2014-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南雄年鉴2014-002"/>
                          <pic:cNvPicPr>
                            <a:picLocks noChangeAspect="1"/>
                          </pic:cNvPicPr>
                        </pic:nvPicPr>
                        <pic:blipFill>
                          <a:blip r:embed="rId14"/>
                          <a:stretch>
                            <a:fillRect/>
                          </a:stretch>
                        </pic:blipFill>
                        <pic:spPr>
                          <a:xfrm>
                            <a:off x="0" y="0"/>
                            <a:ext cx="6186170" cy="4114800"/>
                          </a:xfrm>
                          <a:prstGeom prst="rect">
                            <a:avLst/>
                          </a:prstGeom>
                        </pic:spPr>
                      </pic:pic>
                    </a:graphicData>
                  </a:graphic>
                </wp:inline>
              </w:drawing>
            </w:r>
          </w:p>
        </w:tc>
      </w:tr>
      <w:tr w14:paraId="27CE46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295D6FFD">
            <w:pPr>
              <w:rPr>
                <w:rFonts w:hint="default"/>
                <w:vertAlign w:val="baseline"/>
                <w:lang w:val="en-US" w:eastAsia="zh-CN"/>
              </w:rPr>
            </w:pPr>
            <w:r>
              <w:rPr>
                <w:rFonts w:hint="eastAsia" w:cs="宋体"/>
                <w:color w:val="000000" w:themeColor="text1"/>
                <w:sz w:val="21"/>
                <w:szCs w:val="21"/>
                <w:lang w:val="en-US" w:eastAsia="zh-CN"/>
                <w14:textFill>
                  <w14:solidFill>
                    <w14:schemeClr w14:val="tx1"/>
                  </w14:solidFill>
                </w14:textFill>
              </w:rPr>
              <w:t>5月1日，中共中央政治局委员、广东省委书记胡春华在南雄视察（李子亮 摄）</w:t>
            </w:r>
          </w:p>
        </w:tc>
      </w:tr>
    </w:tbl>
    <w:p w14:paraId="3D3B0B9E">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62AC6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5AD9B63E">
            <w:pPr>
              <w:ind w:left="0" w:leftChars="0" w:firstLine="0" w:firstLineChars="0"/>
              <w:jc w:val="center"/>
              <w:rPr>
                <w:rFonts w:hint="default"/>
                <w:vertAlign w:val="baseline"/>
                <w:lang w:val="en-US" w:eastAsia="zh-CN"/>
              </w:rPr>
            </w:pPr>
            <w:r>
              <w:rPr>
                <w:rFonts w:hint="default"/>
                <w:lang w:val="en-US" w:eastAsia="zh-CN"/>
              </w:rPr>
              <w:drawing>
                <wp:inline distT="0" distB="0" distL="114300" distR="114300">
                  <wp:extent cx="6188075" cy="4600575"/>
                  <wp:effectExtent l="0" t="0" r="3175" b="9525"/>
                  <wp:docPr id="2" name="图片 2" descr="南雄年鉴2014-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南雄年鉴2014-003"/>
                          <pic:cNvPicPr>
                            <a:picLocks noChangeAspect="1"/>
                          </pic:cNvPicPr>
                        </pic:nvPicPr>
                        <pic:blipFill>
                          <a:blip r:embed="rId15"/>
                          <a:stretch>
                            <a:fillRect/>
                          </a:stretch>
                        </pic:blipFill>
                        <pic:spPr>
                          <a:xfrm>
                            <a:off x="0" y="0"/>
                            <a:ext cx="6188075" cy="4600575"/>
                          </a:xfrm>
                          <a:prstGeom prst="rect">
                            <a:avLst/>
                          </a:prstGeom>
                        </pic:spPr>
                      </pic:pic>
                    </a:graphicData>
                  </a:graphic>
                </wp:inline>
              </w:drawing>
            </w:r>
          </w:p>
        </w:tc>
      </w:tr>
      <w:tr w14:paraId="47D44D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AF75B13">
            <w:pPr>
              <w:rPr>
                <w:rFonts w:hint="default"/>
                <w:vertAlign w:val="baseline"/>
                <w:lang w:val="en-US" w:eastAsia="zh-CN"/>
              </w:rPr>
            </w:pPr>
            <w:r>
              <w:rPr>
                <w:rFonts w:hint="eastAsia" w:cs="宋体"/>
                <w:color w:val="000000" w:themeColor="text1"/>
                <w:sz w:val="21"/>
                <w:szCs w:val="21"/>
                <w:lang w:val="en-US" w:eastAsia="zh-CN"/>
                <w14:textFill>
                  <w14:solidFill>
                    <w14:schemeClr w14:val="tx1"/>
                  </w14:solidFill>
                </w14:textFill>
              </w:rPr>
              <w:t>4月2日，广东省副省长许瑞生（左四）视察南雄</w:t>
            </w:r>
          </w:p>
        </w:tc>
      </w:tr>
    </w:tbl>
    <w:p w14:paraId="32F38F10">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4B146B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DA2A554">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7440" cy="4143375"/>
                  <wp:effectExtent l="0" t="0" r="3810" b="9525"/>
                  <wp:docPr id="3" name="图片 3" descr="南雄年鉴2014-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南雄年鉴2014-004"/>
                          <pic:cNvPicPr>
                            <a:picLocks noChangeAspect="1"/>
                          </pic:cNvPicPr>
                        </pic:nvPicPr>
                        <pic:blipFill>
                          <a:blip r:embed="rId16"/>
                          <a:stretch>
                            <a:fillRect/>
                          </a:stretch>
                        </pic:blipFill>
                        <pic:spPr>
                          <a:xfrm>
                            <a:off x="0" y="0"/>
                            <a:ext cx="6187440" cy="4143375"/>
                          </a:xfrm>
                          <a:prstGeom prst="rect">
                            <a:avLst/>
                          </a:prstGeom>
                        </pic:spPr>
                      </pic:pic>
                    </a:graphicData>
                  </a:graphic>
                </wp:inline>
              </w:drawing>
            </w:r>
          </w:p>
        </w:tc>
      </w:tr>
      <w:tr w14:paraId="16F512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C97DAFE">
            <w:pPr>
              <w:rPr>
                <w:rFonts w:hint="default"/>
                <w:vertAlign w:val="baseline"/>
                <w:lang w:val="en-US" w:eastAsia="zh-CN"/>
              </w:rPr>
            </w:pPr>
            <w:r>
              <w:rPr>
                <w:rFonts w:hint="eastAsia" w:cs="宋体"/>
                <w:color w:val="000000" w:themeColor="text1"/>
                <w:sz w:val="21"/>
                <w:szCs w:val="21"/>
                <w:lang w:val="en-US" w:eastAsia="zh-CN"/>
                <w14:textFill>
                  <w14:solidFill>
                    <w14:schemeClr w14:val="tx1"/>
                  </w14:solidFill>
                </w14:textFill>
              </w:rPr>
              <w:t>7月29日，中华人民共和国广东省南雄市与澳大利亚联邦新南威尔士州高嘉华市结为好友城市，签约仪式在高嘉华市会议中心举行（市外事侨务局提供）</w:t>
            </w:r>
          </w:p>
        </w:tc>
      </w:tr>
    </w:tbl>
    <w:p w14:paraId="6B7196F8">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F7729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3A5E42C6">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1090" cy="4057650"/>
                  <wp:effectExtent l="0" t="0" r="10160" b="0"/>
                  <wp:docPr id="4" name="图片 4" descr="南雄年鉴2014-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南雄年鉴2014-005"/>
                          <pic:cNvPicPr>
                            <a:picLocks noChangeAspect="1"/>
                          </pic:cNvPicPr>
                        </pic:nvPicPr>
                        <pic:blipFill>
                          <a:blip r:embed="rId17"/>
                          <a:stretch>
                            <a:fillRect/>
                          </a:stretch>
                        </pic:blipFill>
                        <pic:spPr>
                          <a:xfrm>
                            <a:off x="0" y="0"/>
                            <a:ext cx="6181090" cy="4057650"/>
                          </a:xfrm>
                          <a:prstGeom prst="rect">
                            <a:avLst/>
                          </a:prstGeom>
                        </pic:spPr>
                      </pic:pic>
                    </a:graphicData>
                  </a:graphic>
                </wp:inline>
              </w:drawing>
            </w:r>
          </w:p>
        </w:tc>
      </w:tr>
      <w:tr w14:paraId="3473CF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8D4F87D">
            <w:pPr>
              <w:rPr>
                <w:rFonts w:hint="default"/>
                <w:vertAlign w:val="baseline"/>
                <w:lang w:val="en-US" w:eastAsia="zh-CN"/>
              </w:rPr>
            </w:pPr>
            <w:r>
              <w:rPr>
                <w:rFonts w:hint="eastAsia" w:cs="宋体"/>
                <w:color w:val="000000" w:themeColor="text1"/>
                <w:sz w:val="21"/>
                <w:szCs w:val="21"/>
                <w:lang w:val="en-US" w:eastAsia="zh-CN"/>
                <w14:textFill>
                  <w14:solidFill>
                    <w14:schemeClr w14:val="tx1"/>
                  </w14:solidFill>
                </w14:textFill>
              </w:rPr>
              <w:t>高嘉华市长瓦尔瓦里斯（左）接见南雄市委书记许志新（右）（市外事侨务局提供）</w:t>
            </w:r>
          </w:p>
        </w:tc>
      </w:tr>
    </w:tbl>
    <w:p w14:paraId="1519F724">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E7F66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410C238">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5535" cy="3794760"/>
                  <wp:effectExtent l="0" t="0" r="5715" b="15240"/>
                  <wp:docPr id="5" name="图片 5" descr="南雄年鉴2014-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南雄年鉴2014-006"/>
                          <pic:cNvPicPr>
                            <a:picLocks noChangeAspect="1"/>
                          </pic:cNvPicPr>
                        </pic:nvPicPr>
                        <pic:blipFill>
                          <a:blip r:embed="rId18"/>
                          <a:stretch>
                            <a:fillRect/>
                          </a:stretch>
                        </pic:blipFill>
                        <pic:spPr>
                          <a:xfrm>
                            <a:off x="0" y="0"/>
                            <a:ext cx="6185535" cy="3794760"/>
                          </a:xfrm>
                          <a:prstGeom prst="rect">
                            <a:avLst/>
                          </a:prstGeom>
                        </pic:spPr>
                      </pic:pic>
                    </a:graphicData>
                  </a:graphic>
                </wp:inline>
              </w:drawing>
            </w:r>
          </w:p>
        </w:tc>
      </w:tr>
      <w:tr w14:paraId="094369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D75B3F7">
            <w:pPr>
              <w:rPr>
                <w:rFonts w:hint="default"/>
                <w:vertAlign w:val="baseline"/>
                <w:lang w:val="en-US" w:eastAsia="zh-CN"/>
              </w:rPr>
            </w:pPr>
            <w:r>
              <w:rPr>
                <w:rFonts w:hint="eastAsia" w:cs="宋体"/>
                <w:color w:val="000000" w:themeColor="text1"/>
                <w:sz w:val="21"/>
                <w:szCs w:val="21"/>
                <w:lang w:val="en-US" w:eastAsia="zh-CN"/>
                <w14:textFill>
                  <w14:solidFill>
                    <w14:schemeClr w14:val="tx1"/>
                  </w14:solidFill>
                </w14:textFill>
              </w:rPr>
              <w:t>南雄市与高嘉华市代表团亲切交谈（市外事侨务局提供）</w:t>
            </w:r>
          </w:p>
        </w:tc>
      </w:tr>
    </w:tbl>
    <w:p w14:paraId="3A049E16">
      <w:pPr>
        <w:rPr>
          <w:rFonts w:hint="eastAsia"/>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ED4B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494A411">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2995" cy="4234815"/>
                  <wp:effectExtent l="0" t="0" r="8255" b="13335"/>
                  <wp:docPr id="7" name="图片 7" descr="南雄年鉴2014-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南雄年鉴2014-007"/>
                          <pic:cNvPicPr>
                            <a:picLocks noChangeAspect="1"/>
                          </pic:cNvPicPr>
                        </pic:nvPicPr>
                        <pic:blipFill>
                          <a:blip r:embed="rId19"/>
                          <a:stretch>
                            <a:fillRect/>
                          </a:stretch>
                        </pic:blipFill>
                        <pic:spPr>
                          <a:xfrm>
                            <a:off x="0" y="0"/>
                            <a:ext cx="6182995" cy="4234815"/>
                          </a:xfrm>
                          <a:prstGeom prst="rect">
                            <a:avLst/>
                          </a:prstGeom>
                        </pic:spPr>
                      </pic:pic>
                    </a:graphicData>
                  </a:graphic>
                </wp:inline>
              </w:drawing>
            </w:r>
          </w:p>
        </w:tc>
      </w:tr>
      <w:tr w14:paraId="301B3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E060474">
            <w:pPr>
              <w:rPr>
                <w:rFonts w:hint="default"/>
                <w:vertAlign w:val="baseline"/>
                <w:lang w:val="en-US" w:eastAsia="zh-CN"/>
              </w:rPr>
            </w:pPr>
            <w:r>
              <w:rPr>
                <w:rFonts w:hint="eastAsia" w:cs="宋体"/>
                <w:color w:val="000000" w:themeColor="text1"/>
                <w:sz w:val="21"/>
                <w:szCs w:val="21"/>
                <w:lang w:val="en-US" w:eastAsia="zh-CN"/>
                <w14:textFill>
                  <w14:solidFill>
                    <w14:schemeClr w14:val="tx1"/>
                  </w14:solidFill>
                </w14:textFill>
              </w:rPr>
              <w:t>6月20日，韶关市市长艾学峰（左三）在南雄调研城镇化建设</w:t>
            </w:r>
          </w:p>
        </w:tc>
      </w:tr>
    </w:tbl>
    <w:p w14:paraId="7070D99D">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7E888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A618BAC">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2995" cy="4234815"/>
                  <wp:effectExtent l="0" t="0" r="8255" b="13335"/>
                  <wp:docPr id="8" name="图片 8" descr="南雄年鉴2014-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南雄年鉴2014-008"/>
                          <pic:cNvPicPr>
                            <a:picLocks noChangeAspect="1"/>
                          </pic:cNvPicPr>
                        </pic:nvPicPr>
                        <pic:blipFill>
                          <a:blip r:embed="rId20"/>
                          <a:stretch>
                            <a:fillRect/>
                          </a:stretch>
                        </pic:blipFill>
                        <pic:spPr>
                          <a:xfrm>
                            <a:off x="0" y="0"/>
                            <a:ext cx="6182995" cy="4234815"/>
                          </a:xfrm>
                          <a:prstGeom prst="rect">
                            <a:avLst/>
                          </a:prstGeom>
                        </pic:spPr>
                      </pic:pic>
                    </a:graphicData>
                  </a:graphic>
                </wp:inline>
              </w:drawing>
            </w:r>
          </w:p>
        </w:tc>
      </w:tr>
      <w:tr w14:paraId="389875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F119932">
            <w:pPr>
              <w:rPr>
                <w:rFonts w:hint="default"/>
                <w:vertAlign w:val="baseline"/>
                <w:lang w:val="en-US" w:eastAsia="zh-CN"/>
              </w:rPr>
            </w:pPr>
            <w:r>
              <w:rPr>
                <w:rFonts w:hint="eastAsia" w:cs="宋体"/>
                <w:color w:val="000000" w:themeColor="text1"/>
                <w:sz w:val="21"/>
                <w:szCs w:val="21"/>
                <w:lang w:val="en-US" w:eastAsia="zh-CN"/>
                <w14:textFill>
                  <w14:solidFill>
                    <w14:schemeClr w14:val="tx1"/>
                  </w14:solidFill>
                </w14:textFill>
              </w:rPr>
              <w:t>2月18日，南雄市召开全市春动员大会</w:t>
            </w:r>
          </w:p>
        </w:tc>
      </w:tr>
    </w:tbl>
    <w:p w14:paraId="2B4CD2D8">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FE206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8945904">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1725" cy="4263390"/>
                  <wp:effectExtent l="0" t="0" r="9525" b="3810"/>
                  <wp:docPr id="9" name="图片 9" descr="南雄年鉴2014-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南雄年鉴2014-009"/>
                          <pic:cNvPicPr>
                            <a:picLocks noChangeAspect="1"/>
                          </pic:cNvPicPr>
                        </pic:nvPicPr>
                        <pic:blipFill>
                          <a:blip r:embed="rId21"/>
                          <a:stretch>
                            <a:fillRect/>
                          </a:stretch>
                        </pic:blipFill>
                        <pic:spPr>
                          <a:xfrm>
                            <a:off x="0" y="0"/>
                            <a:ext cx="6181725" cy="4263390"/>
                          </a:xfrm>
                          <a:prstGeom prst="rect">
                            <a:avLst/>
                          </a:prstGeom>
                        </pic:spPr>
                      </pic:pic>
                    </a:graphicData>
                  </a:graphic>
                </wp:inline>
              </w:drawing>
            </w:r>
          </w:p>
        </w:tc>
      </w:tr>
      <w:tr w14:paraId="745615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F6C5461">
            <w:pPr>
              <w:rPr>
                <w:rFonts w:hint="default"/>
                <w:vertAlign w:val="baseline"/>
                <w:lang w:val="en-US" w:eastAsia="zh-CN"/>
              </w:rPr>
            </w:pPr>
            <w:r>
              <w:rPr>
                <w:rFonts w:hint="eastAsia" w:cs="宋体"/>
                <w:color w:val="000000" w:themeColor="text1"/>
                <w:sz w:val="21"/>
                <w:szCs w:val="21"/>
                <w:lang w:val="en-US" w:eastAsia="zh-CN"/>
                <w14:textFill>
                  <w14:solidFill>
                    <w14:schemeClr w14:val="tx1"/>
                  </w14:solidFill>
                </w14:textFill>
              </w:rPr>
              <w:t>3月13日，南雄市廉政教育基地揭牌仪式</w:t>
            </w:r>
          </w:p>
        </w:tc>
      </w:tr>
    </w:tbl>
    <w:p w14:paraId="137D72B2">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040EF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6777977B">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4265" cy="4046220"/>
                  <wp:effectExtent l="0" t="0" r="6985" b="11430"/>
                  <wp:docPr id="10" name="图片 10" descr="南雄年鉴2014-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南雄年鉴2014-010"/>
                          <pic:cNvPicPr>
                            <a:picLocks noChangeAspect="1"/>
                          </pic:cNvPicPr>
                        </pic:nvPicPr>
                        <pic:blipFill>
                          <a:blip r:embed="rId22"/>
                          <a:stretch>
                            <a:fillRect/>
                          </a:stretch>
                        </pic:blipFill>
                        <pic:spPr>
                          <a:xfrm>
                            <a:off x="0" y="0"/>
                            <a:ext cx="6184265" cy="4046220"/>
                          </a:xfrm>
                          <a:prstGeom prst="rect">
                            <a:avLst/>
                          </a:prstGeom>
                        </pic:spPr>
                      </pic:pic>
                    </a:graphicData>
                  </a:graphic>
                </wp:inline>
              </w:drawing>
            </w:r>
          </w:p>
        </w:tc>
      </w:tr>
      <w:tr w14:paraId="681B6B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4335533">
            <w:pPr>
              <w:rPr>
                <w:rFonts w:hint="default"/>
                <w:vertAlign w:val="baseline"/>
                <w:lang w:val="en-US" w:eastAsia="zh-CN"/>
              </w:rPr>
            </w:pPr>
            <w:r>
              <w:rPr>
                <w:rFonts w:hint="eastAsia" w:cs="宋体"/>
                <w:color w:val="000000" w:themeColor="text1"/>
                <w:sz w:val="21"/>
                <w:szCs w:val="21"/>
                <w:lang w:val="en-US" w:eastAsia="zh-CN"/>
                <w14:textFill>
                  <w14:solidFill>
                    <w14:schemeClr w14:val="tx1"/>
                  </w14:solidFill>
                </w14:textFill>
              </w:rPr>
              <w:t>2月2日，南雄珠影文化广场影院开业</w:t>
            </w:r>
          </w:p>
        </w:tc>
      </w:tr>
    </w:tbl>
    <w:p w14:paraId="6977E352">
      <w:pPr>
        <w:rPr>
          <w:rFonts w:hint="eastAsia"/>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EC08A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8AC2CD5">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2360" cy="4126230"/>
                  <wp:effectExtent l="0" t="0" r="8890" b="7620"/>
                  <wp:docPr id="11" name="图片 11" descr="南雄年鉴2014-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南雄年鉴2014-011"/>
                          <pic:cNvPicPr>
                            <a:picLocks noChangeAspect="1"/>
                          </pic:cNvPicPr>
                        </pic:nvPicPr>
                        <pic:blipFill>
                          <a:blip r:embed="rId23"/>
                          <a:stretch>
                            <a:fillRect/>
                          </a:stretch>
                        </pic:blipFill>
                        <pic:spPr>
                          <a:xfrm>
                            <a:off x="0" y="0"/>
                            <a:ext cx="6182360" cy="4126230"/>
                          </a:xfrm>
                          <a:prstGeom prst="rect">
                            <a:avLst/>
                          </a:prstGeom>
                        </pic:spPr>
                      </pic:pic>
                    </a:graphicData>
                  </a:graphic>
                </wp:inline>
              </w:drawing>
            </w:r>
          </w:p>
        </w:tc>
      </w:tr>
      <w:tr w14:paraId="2DAC63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FBAD533">
            <w:pPr>
              <w:rPr>
                <w:rFonts w:hint="default"/>
                <w:vertAlign w:val="baseline"/>
                <w:lang w:val="en-US" w:eastAsia="zh-CN"/>
              </w:rPr>
            </w:pPr>
            <w:r>
              <w:rPr>
                <w:rFonts w:hint="eastAsia" w:cs="宋体"/>
                <w:color w:val="000000" w:themeColor="text1"/>
                <w:sz w:val="21"/>
                <w:szCs w:val="21"/>
                <w:lang w:val="en-US" w:eastAsia="zh-CN"/>
                <w14:textFill>
                  <w14:solidFill>
                    <w14:schemeClr w14:val="tx1"/>
                  </w14:solidFill>
                </w14:textFill>
              </w:rPr>
              <w:t>3月12日，南雄市党政班子参加义务植树</w:t>
            </w:r>
          </w:p>
        </w:tc>
      </w:tr>
    </w:tbl>
    <w:p w14:paraId="67113BB5">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0D8EC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8F714B5">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2360" cy="4126230"/>
                  <wp:effectExtent l="0" t="0" r="8890" b="7620"/>
                  <wp:docPr id="12" name="图片 12" descr="南雄年鉴2014-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南雄年鉴2014-012"/>
                          <pic:cNvPicPr>
                            <a:picLocks noChangeAspect="1"/>
                          </pic:cNvPicPr>
                        </pic:nvPicPr>
                        <pic:blipFill>
                          <a:blip r:embed="rId24"/>
                          <a:stretch>
                            <a:fillRect/>
                          </a:stretch>
                        </pic:blipFill>
                        <pic:spPr>
                          <a:xfrm>
                            <a:off x="0" y="0"/>
                            <a:ext cx="6182360" cy="4126230"/>
                          </a:xfrm>
                          <a:prstGeom prst="rect">
                            <a:avLst/>
                          </a:prstGeom>
                        </pic:spPr>
                      </pic:pic>
                    </a:graphicData>
                  </a:graphic>
                </wp:inline>
              </w:drawing>
            </w:r>
          </w:p>
        </w:tc>
      </w:tr>
      <w:tr w14:paraId="047F47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F94D0CC">
            <w:pPr>
              <w:rPr>
                <w:rFonts w:hint="default"/>
                <w:vertAlign w:val="baseline"/>
                <w:lang w:val="en-US" w:eastAsia="zh-CN"/>
              </w:rPr>
            </w:pPr>
            <w:r>
              <w:rPr>
                <w:rFonts w:hint="eastAsia" w:cs="宋体"/>
                <w:color w:val="000000" w:themeColor="text1"/>
                <w:sz w:val="21"/>
                <w:szCs w:val="21"/>
                <w:lang w:val="en-US" w:eastAsia="zh-CN"/>
                <w14:textFill>
                  <w14:solidFill>
                    <w14:schemeClr w14:val="tx1"/>
                  </w14:solidFill>
                </w14:textFill>
              </w:rPr>
              <w:t>6月4日上午，南雄市政协组织部分政协委员视察南雄市农业“六大基地”（现代烟叶、优质稻、畜牧业、中草药、油茶及农土特加工等）建设情况。政协主席何万飞（左一），参加视察活动</w:t>
            </w:r>
          </w:p>
        </w:tc>
      </w:tr>
    </w:tbl>
    <w:p w14:paraId="6A6A3656">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77460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D8964B7">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5535" cy="4091940"/>
                  <wp:effectExtent l="0" t="0" r="5715" b="3810"/>
                  <wp:docPr id="13" name="图片 13" descr="南雄年鉴2014-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南雄年鉴2014-013"/>
                          <pic:cNvPicPr>
                            <a:picLocks noChangeAspect="1"/>
                          </pic:cNvPicPr>
                        </pic:nvPicPr>
                        <pic:blipFill>
                          <a:blip r:embed="rId25"/>
                          <a:stretch>
                            <a:fillRect/>
                          </a:stretch>
                        </pic:blipFill>
                        <pic:spPr>
                          <a:xfrm>
                            <a:off x="0" y="0"/>
                            <a:ext cx="6185535" cy="4091940"/>
                          </a:xfrm>
                          <a:prstGeom prst="rect">
                            <a:avLst/>
                          </a:prstGeom>
                        </pic:spPr>
                      </pic:pic>
                    </a:graphicData>
                  </a:graphic>
                </wp:inline>
              </w:drawing>
            </w:r>
          </w:p>
        </w:tc>
      </w:tr>
      <w:tr w14:paraId="7208B4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77B0C7F">
            <w:pPr>
              <w:rPr>
                <w:rFonts w:hint="default"/>
                <w:vertAlign w:val="baseline"/>
                <w:lang w:val="en-US" w:eastAsia="zh-CN"/>
              </w:rPr>
            </w:pPr>
            <w:r>
              <w:rPr>
                <w:rFonts w:hint="eastAsia" w:cs="宋体"/>
                <w:color w:val="000000" w:themeColor="text1"/>
                <w:sz w:val="21"/>
                <w:szCs w:val="21"/>
                <w:lang w:val="en-US" w:eastAsia="zh-CN"/>
                <w14:textFill>
                  <w14:solidFill>
                    <w14:schemeClr w14:val="tx1"/>
                  </w14:solidFill>
                </w14:textFill>
              </w:rPr>
              <w:t>5月28日，南雄市举行科技与知识产权工作奖励大会</w:t>
            </w:r>
          </w:p>
        </w:tc>
      </w:tr>
    </w:tbl>
    <w:p w14:paraId="4BC76131">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BA99D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359A37A">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2995" cy="4063365"/>
                  <wp:effectExtent l="0" t="0" r="8255" b="13335"/>
                  <wp:docPr id="14" name="图片 14" descr="南雄年鉴2014-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南雄年鉴2014-014"/>
                          <pic:cNvPicPr>
                            <a:picLocks noChangeAspect="1"/>
                          </pic:cNvPicPr>
                        </pic:nvPicPr>
                        <pic:blipFill>
                          <a:blip r:embed="rId26"/>
                          <a:stretch>
                            <a:fillRect/>
                          </a:stretch>
                        </pic:blipFill>
                        <pic:spPr>
                          <a:xfrm>
                            <a:off x="0" y="0"/>
                            <a:ext cx="6182995" cy="4063365"/>
                          </a:xfrm>
                          <a:prstGeom prst="rect">
                            <a:avLst/>
                          </a:prstGeom>
                        </pic:spPr>
                      </pic:pic>
                    </a:graphicData>
                  </a:graphic>
                </wp:inline>
              </w:drawing>
            </w:r>
          </w:p>
        </w:tc>
      </w:tr>
      <w:tr w14:paraId="26CD84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20859FE4">
            <w:pPr>
              <w:rPr>
                <w:rFonts w:hint="default"/>
                <w:vertAlign w:val="baseline"/>
                <w:lang w:val="en-US" w:eastAsia="zh-CN"/>
              </w:rPr>
            </w:pPr>
            <w:r>
              <w:rPr>
                <w:rFonts w:hint="eastAsia" w:cs="宋体"/>
                <w:color w:val="000000" w:themeColor="text1"/>
                <w:sz w:val="21"/>
                <w:szCs w:val="21"/>
                <w:lang w:val="en-US" w:eastAsia="zh-CN"/>
                <w14:textFill>
                  <w14:solidFill>
                    <w14:schemeClr w14:val="tx1"/>
                  </w14:solidFill>
                </w14:textFill>
              </w:rPr>
              <w:t>7月25日，市委书记许志新（左）为获全国林业先进单位授牌</w:t>
            </w:r>
          </w:p>
        </w:tc>
      </w:tr>
    </w:tbl>
    <w:p w14:paraId="502FDD5D">
      <w:pPr>
        <w:rPr>
          <w:rFonts w:hint="eastAsia"/>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E3B8A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2067DF96">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1090" cy="4120515"/>
                  <wp:effectExtent l="0" t="0" r="10160" b="13335"/>
                  <wp:docPr id="15" name="图片 15" descr="南雄年鉴2014-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南雄年鉴2014-015"/>
                          <pic:cNvPicPr>
                            <a:picLocks noChangeAspect="1"/>
                          </pic:cNvPicPr>
                        </pic:nvPicPr>
                        <pic:blipFill>
                          <a:blip r:embed="rId27"/>
                          <a:stretch>
                            <a:fillRect/>
                          </a:stretch>
                        </pic:blipFill>
                        <pic:spPr>
                          <a:xfrm>
                            <a:off x="0" y="0"/>
                            <a:ext cx="6181090" cy="4120515"/>
                          </a:xfrm>
                          <a:prstGeom prst="rect">
                            <a:avLst/>
                          </a:prstGeom>
                        </pic:spPr>
                      </pic:pic>
                    </a:graphicData>
                  </a:graphic>
                </wp:inline>
              </w:drawing>
            </w:r>
          </w:p>
        </w:tc>
      </w:tr>
      <w:tr w14:paraId="630381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A1B4987">
            <w:pPr>
              <w:rPr>
                <w:rFonts w:hint="default"/>
                <w:vertAlign w:val="baseline"/>
                <w:lang w:val="en-US" w:eastAsia="zh-CN"/>
              </w:rPr>
            </w:pPr>
            <w:r>
              <w:rPr>
                <w:rFonts w:hint="eastAsia" w:cs="宋体"/>
                <w:color w:val="000000" w:themeColor="text1"/>
                <w:sz w:val="21"/>
                <w:szCs w:val="21"/>
                <w:lang w:val="en-US" w:eastAsia="zh-CN"/>
                <w14:textFill>
                  <w14:solidFill>
                    <w14:schemeClr w14:val="tx1"/>
                  </w14:solidFill>
                </w14:textFill>
              </w:rPr>
              <w:t>7月2日，南雄市开磅收烟，市领导审定烟叶样品</w:t>
            </w:r>
          </w:p>
        </w:tc>
      </w:tr>
    </w:tbl>
    <w:p w14:paraId="685982F2">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BFCFF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228A7F5F">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0455" cy="4097655"/>
                  <wp:effectExtent l="0" t="0" r="10795" b="17145"/>
                  <wp:docPr id="16" name="图片 16" descr="南雄年鉴2014-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南雄年鉴2014-016"/>
                          <pic:cNvPicPr>
                            <a:picLocks noChangeAspect="1"/>
                          </pic:cNvPicPr>
                        </pic:nvPicPr>
                        <pic:blipFill>
                          <a:blip r:embed="rId28"/>
                          <a:stretch>
                            <a:fillRect/>
                          </a:stretch>
                        </pic:blipFill>
                        <pic:spPr>
                          <a:xfrm>
                            <a:off x="0" y="0"/>
                            <a:ext cx="6180455" cy="4097655"/>
                          </a:xfrm>
                          <a:prstGeom prst="rect">
                            <a:avLst/>
                          </a:prstGeom>
                        </pic:spPr>
                      </pic:pic>
                    </a:graphicData>
                  </a:graphic>
                </wp:inline>
              </w:drawing>
            </w:r>
          </w:p>
        </w:tc>
      </w:tr>
      <w:tr w14:paraId="3DCA3E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808F1CE">
            <w:pPr>
              <w:rPr>
                <w:rFonts w:hint="default"/>
                <w:vertAlign w:val="baseline"/>
                <w:lang w:val="en-US" w:eastAsia="zh-CN"/>
              </w:rPr>
            </w:pPr>
            <w:r>
              <w:rPr>
                <w:rFonts w:hint="eastAsia" w:cs="宋体"/>
                <w:color w:val="000000" w:themeColor="text1"/>
                <w:sz w:val="21"/>
                <w:szCs w:val="21"/>
                <w:lang w:val="en-US" w:eastAsia="zh-CN"/>
                <w14:textFill>
                  <w14:solidFill>
                    <w14:schemeClr w14:val="tx1"/>
                  </w14:solidFill>
                </w14:textFill>
              </w:rPr>
              <w:t>7月20日，南雄市举行首届冠军杯羽毛球比赛</w:t>
            </w:r>
          </w:p>
        </w:tc>
      </w:tr>
    </w:tbl>
    <w:p w14:paraId="55A3A878">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409E05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0505A70E">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3630" cy="4086225"/>
                  <wp:effectExtent l="0" t="0" r="7620" b="9525"/>
                  <wp:docPr id="17" name="图片 17" descr="南雄年鉴2014-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南雄年鉴2014-017"/>
                          <pic:cNvPicPr>
                            <a:picLocks noChangeAspect="1"/>
                          </pic:cNvPicPr>
                        </pic:nvPicPr>
                        <pic:blipFill>
                          <a:blip r:embed="rId29"/>
                          <a:stretch>
                            <a:fillRect/>
                          </a:stretch>
                        </pic:blipFill>
                        <pic:spPr>
                          <a:xfrm>
                            <a:off x="0" y="0"/>
                            <a:ext cx="6183630" cy="4086225"/>
                          </a:xfrm>
                          <a:prstGeom prst="rect">
                            <a:avLst/>
                          </a:prstGeom>
                        </pic:spPr>
                      </pic:pic>
                    </a:graphicData>
                  </a:graphic>
                </wp:inline>
              </w:drawing>
            </w:r>
          </w:p>
        </w:tc>
      </w:tr>
      <w:tr w14:paraId="39C8B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F5F8531">
            <w:pPr>
              <w:rPr>
                <w:rFonts w:hint="default"/>
                <w:vertAlign w:val="baseline"/>
                <w:lang w:val="en-US" w:eastAsia="zh-CN"/>
              </w:rPr>
            </w:pPr>
            <w:r>
              <w:rPr>
                <w:rFonts w:hint="eastAsia" w:cs="宋体"/>
                <w:color w:val="000000" w:themeColor="text1"/>
                <w:sz w:val="21"/>
                <w:szCs w:val="21"/>
                <w:lang w:val="en-US" w:eastAsia="zh-CN"/>
                <w14:textFill>
                  <w14:solidFill>
                    <w14:schemeClr w14:val="tx1"/>
                  </w14:solidFill>
                </w14:textFill>
              </w:rPr>
              <w:t>7月23日，南雄市举行保障性住房配租公开摇号现场会</w:t>
            </w:r>
          </w:p>
        </w:tc>
      </w:tr>
    </w:tbl>
    <w:p w14:paraId="16EEAA7A">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35998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50F227F">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7440" cy="4120515"/>
                  <wp:effectExtent l="0" t="0" r="3810" b="13335"/>
                  <wp:docPr id="18" name="图片 18" descr="南雄年鉴2014-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南雄年鉴2014-018"/>
                          <pic:cNvPicPr>
                            <a:picLocks noChangeAspect="1"/>
                          </pic:cNvPicPr>
                        </pic:nvPicPr>
                        <pic:blipFill>
                          <a:blip r:embed="rId30"/>
                          <a:stretch>
                            <a:fillRect/>
                          </a:stretch>
                        </pic:blipFill>
                        <pic:spPr>
                          <a:xfrm>
                            <a:off x="0" y="0"/>
                            <a:ext cx="6187440" cy="4120515"/>
                          </a:xfrm>
                          <a:prstGeom prst="rect">
                            <a:avLst/>
                          </a:prstGeom>
                        </pic:spPr>
                      </pic:pic>
                    </a:graphicData>
                  </a:graphic>
                </wp:inline>
              </w:drawing>
            </w:r>
          </w:p>
        </w:tc>
      </w:tr>
      <w:tr w14:paraId="431EEB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275FDBB">
            <w:pPr>
              <w:rPr>
                <w:rFonts w:hint="default"/>
                <w:vertAlign w:val="baseline"/>
                <w:lang w:val="en-US" w:eastAsia="zh-CN"/>
              </w:rPr>
            </w:pPr>
            <w:r>
              <w:rPr>
                <w:rFonts w:hint="eastAsia" w:cs="宋体"/>
                <w:color w:val="000000" w:themeColor="text1"/>
                <w:sz w:val="21"/>
                <w:szCs w:val="21"/>
                <w:lang w:val="en-US" w:eastAsia="zh-CN"/>
                <w14:textFill>
                  <w14:solidFill>
                    <w14:schemeClr w14:val="tx1"/>
                  </w14:solidFill>
                </w14:textFill>
              </w:rPr>
              <w:t>7月23日上午，南雄市联合执法工作对违章建筑进行强制拆除</w:t>
            </w:r>
          </w:p>
        </w:tc>
      </w:tr>
    </w:tbl>
    <w:p w14:paraId="326E62ED">
      <w:pPr>
        <w:rPr>
          <w:rFonts w:hint="eastAsia"/>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8675A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44E0593">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7440" cy="4640580"/>
                  <wp:effectExtent l="0" t="0" r="3810" b="7620"/>
                  <wp:docPr id="19" name="图片 19" descr="南雄年鉴201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南雄年鉴2014-019"/>
                          <pic:cNvPicPr>
                            <a:picLocks noChangeAspect="1"/>
                          </pic:cNvPicPr>
                        </pic:nvPicPr>
                        <pic:blipFill>
                          <a:blip r:embed="rId31"/>
                          <a:stretch>
                            <a:fillRect/>
                          </a:stretch>
                        </pic:blipFill>
                        <pic:spPr>
                          <a:xfrm>
                            <a:off x="0" y="0"/>
                            <a:ext cx="6187440" cy="4640580"/>
                          </a:xfrm>
                          <a:prstGeom prst="rect">
                            <a:avLst/>
                          </a:prstGeom>
                        </pic:spPr>
                      </pic:pic>
                    </a:graphicData>
                  </a:graphic>
                </wp:inline>
              </w:drawing>
            </w:r>
          </w:p>
        </w:tc>
      </w:tr>
      <w:tr w14:paraId="43DECF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58727E5">
            <w:pPr>
              <w:rPr>
                <w:rFonts w:hint="default"/>
                <w:vertAlign w:val="baseline"/>
                <w:lang w:val="en-US" w:eastAsia="zh-CN"/>
              </w:rPr>
            </w:pPr>
            <w:r>
              <w:rPr>
                <w:rFonts w:hint="eastAsia" w:cs="宋体"/>
                <w:color w:val="000000" w:themeColor="text1"/>
                <w:sz w:val="21"/>
                <w:szCs w:val="21"/>
                <w:lang w:val="en-US" w:eastAsia="zh-CN"/>
                <w14:textFill>
                  <w14:solidFill>
                    <w14:schemeClr w14:val="tx1"/>
                  </w14:solidFill>
                </w14:textFill>
              </w:rPr>
              <w:t>5月22日，南雄市市长刘清生（中）和有关职能部门负责人在韶关广播电视台直播现场参加“民声热线”节目，倾听群众的声音、解决群众问题</w:t>
            </w:r>
          </w:p>
        </w:tc>
      </w:tr>
    </w:tbl>
    <w:p w14:paraId="329FD36E">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7943C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1A560BDE">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79820" cy="4074795"/>
                  <wp:effectExtent l="0" t="0" r="11430" b="1905"/>
                  <wp:docPr id="20" name="图片 20" descr="南雄年鉴2014-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南雄年鉴2014-020"/>
                          <pic:cNvPicPr>
                            <a:picLocks noChangeAspect="1"/>
                          </pic:cNvPicPr>
                        </pic:nvPicPr>
                        <pic:blipFill>
                          <a:blip r:embed="rId32"/>
                          <a:stretch>
                            <a:fillRect/>
                          </a:stretch>
                        </pic:blipFill>
                        <pic:spPr>
                          <a:xfrm>
                            <a:off x="0" y="0"/>
                            <a:ext cx="6179820" cy="4074795"/>
                          </a:xfrm>
                          <a:prstGeom prst="rect">
                            <a:avLst/>
                          </a:prstGeom>
                        </pic:spPr>
                      </pic:pic>
                    </a:graphicData>
                  </a:graphic>
                </wp:inline>
              </w:drawing>
            </w:r>
          </w:p>
        </w:tc>
      </w:tr>
      <w:tr w14:paraId="3CC3A6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0052191">
            <w:pPr>
              <w:rPr>
                <w:rFonts w:hint="default"/>
                <w:vertAlign w:val="baseline"/>
                <w:lang w:val="en-US" w:eastAsia="zh-CN"/>
              </w:rPr>
            </w:pPr>
            <w:r>
              <w:rPr>
                <w:rFonts w:hint="eastAsia" w:cs="宋体"/>
                <w:color w:val="000000" w:themeColor="text1"/>
                <w:sz w:val="21"/>
                <w:szCs w:val="21"/>
                <w:lang w:val="en-US" w:eastAsia="zh-CN"/>
                <w14:textFill>
                  <w14:solidFill>
                    <w14:schemeClr w14:val="tx1"/>
                  </w14:solidFill>
                </w14:textFill>
              </w:rPr>
              <w:t>9月10日，南雄市第一小学、第二中学、特殊教育学校、全安中学四大教育民生工程落成启用</w:t>
            </w:r>
          </w:p>
        </w:tc>
      </w:tr>
    </w:tbl>
    <w:p w14:paraId="004D78FC">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6C434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EC090DF">
            <w:pPr>
              <w:ind w:left="0" w:leftChars="0" w:firstLine="0" w:firstLineChars="0"/>
              <w:jc w:val="center"/>
              <w:rPr>
                <w:rFonts w:hint="default"/>
                <w:vertAlign w:val="baseline"/>
                <w:lang w:val="en-US" w:eastAsia="zh-CN"/>
              </w:rPr>
            </w:pPr>
            <w:r>
              <w:rPr>
                <w:rFonts w:hint="default"/>
                <w:lang w:val="en-US" w:eastAsia="zh-CN"/>
              </w:rPr>
              <w:drawing>
                <wp:inline distT="0" distB="0" distL="114300" distR="114300">
                  <wp:extent cx="6186805" cy="4074795"/>
                  <wp:effectExtent l="0" t="0" r="4445" b="1905"/>
                  <wp:docPr id="21" name="图片 21" descr="南雄年鉴2014-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南雄年鉴2014-021"/>
                          <pic:cNvPicPr>
                            <a:picLocks noChangeAspect="1"/>
                          </pic:cNvPicPr>
                        </pic:nvPicPr>
                        <pic:blipFill>
                          <a:blip r:embed="rId33"/>
                          <a:stretch>
                            <a:fillRect/>
                          </a:stretch>
                        </pic:blipFill>
                        <pic:spPr>
                          <a:xfrm>
                            <a:off x="0" y="0"/>
                            <a:ext cx="6186805" cy="4074795"/>
                          </a:xfrm>
                          <a:prstGeom prst="rect">
                            <a:avLst/>
                          </a:prstGeom>
                        </pic:spPr>
                      </pic:pic>
                    </a:graphicData>
                  </a:graphic>
                </wp:inline>
              </w:drawing>
            </w:r>
          </w:p>
        </w:tc>
      </w:tr>
      <w:tr w14:paraId="5FB89C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7121284">
            <w:pPr>
              <w:rPr>
                <w:rFonts w:hint="default"/>
                <w:vertAlign w:val="baseline"/>
                <w:lang w:val="en-US" w:eastAsia="zh-CN"/>
              </w:rPr>
            </w:pPr>
            <w:r>
              <w:rPr>
                <w:rFonts w:hint="eastAsia" w:cs="宋体"/>
                <w:color w:val="000000" w:themeColor="text1"/>
                <w:sz w:val="21"/>
                <w:szCs w:val="21"/>
                <w:lang w:val="en-US" w:eastAsia="zh-CN"/>
                <w14:textFill>
                  <w14:solidFill>
                    <w14:schemeClr w14:val="tx1"/>
                  </w14:solidFill>
                </w14:textFill>
              </w:rPr>
              <w:t>10月1日，南雄市“十一”假期在三影它广场举办人力资源招聘会，来自该市的30多家企业推出40多个工种3000多个岗位，吸引5000多名应聘者到场求职，现场聘用625人，达成就业意向110人</w:t>
            </w:r>
          </w:p>
        </w:tc>
      </w:tr>
    </w:tbl>
    <w:p w14:paraId="1F8A3EE8">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2D2C4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2D5C7AC">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2360" cy="4303395"/>
                  <wp:effectExtent l="0" t="0" r="8890" b="1905"/>
                  <wp:docPr id="22" name="图片 22" descr="南雄年鉴2014-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南雄年鉴2014-022"/>
                          <pic:cNvPicPr>
                            <a:picLocks noChangeAspect="1"/>
                          </pic:cNvPicPr>
                        </pic:nvPicPr>
                        <pic:blipFill>
                          <a:blip r:embed="rId34"/>
                          <a:stretch>
                            <a:fillRect/>
                          </a:stretch>
                        </pic:blipFill>
                        <pic:spPr>
                          <a:xfrm>
                            <a:off x="0" y="0"/>
                            <a:ext cx="6182360" cy="4303395"/>
                          </a:xfrm>
                          <a:prstGeom prst="rect">
                            <a:avLst/>
                          </a:prstGeom>
                        </pic:spPr>
                      </pic:pic>
                    </a:graphicData>
                  </a:graphic>
                </wp:inline>
              </w:drawing>
            </w:r>
          </w:p>
        </w:tc>
      </w:tr>
      <w:tr w14:paraId="0D1BA6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2D27671">
            <w:pPr>
              <w:rPr>
                <w:rFonts w:hint="default"/>
                <w:vertAlign w:val="baseline"/>
                <w:lang w:val="en-US" w:eastAsia="zh-CN"/>
              </w:rPr>
            </w:pPr>
            <w:r>
              <w:rPr>
                <w:rFonts w:hint="eastAsia" w:cs="宋体"/>
                <w:color w:val="000000" w:themeColor="text1"/>
                <w:sz w:val="21"/>
                <w:szCs w:val="21"/>
                <w:lang w:val="en-US" w:eastAsia="zh-CN"/>
                <w14:textFill>
                  <w14:solidFill>
                    <w14:schemeClr w14:val="tx1"/>
                  </w14:solidFill>
                </w14:textFill>
              </w:rPr>
              <w:t>10月16日，全长4102米的赣韶铁路梅岭隧道贯通</w:t>
            </w:r>
          </w:p>
        </w:tc>
      </w:tr>
    </w:tbl>
    <w:p w14:paraId="79804BBC">
      <w:pPr>
        <w:rPr>
          <w:rFonts w:hint="eastAsia"/>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4FFB6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2C732E7A">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4265" cy="4274820"/>
                  <wp:effectExtent l="0" t="0" r="6985" b="11430"/>
                  <wp:docPr id="23" name="图片 23" descr="南雄年鉴2014-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南雄年鉴2014-023"/>
                          <pic:cNvPicPr>
                            <a:picLocks noChangeAspect="1"/>
                          </pic:cNvPicPr>
                        </pic:nvPicPr>
                        <pic:blipFill>
                          <a:blip r:embed="rId35"/>
                          <a:stretch>
                            <a:fillRect/>
                          </a:stretch>
                        </pic:blipFill>
                        <pic:spPr>
                          <a:xfrm>
                            <a:off x="0" y="0"/>
                            <a:ext cx="6184265" cy="4274820"/>
                          </a:xfrm>
                          <a:prstGeom prst="rect">
                            <a:avLst/>
                          </a:prstGeom>
                        </pic:spPr>
                      </pic:pic>
                    </a:graphicData>
                  </a:graphic>
                </wp:inline>
              </w:drawing>
            </w:r>
          </w:p>
        </w:tc>
      </w:tr>
      <w:tr w14:paraId="69CB0D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3A04905">
            <w:pPr>
              <w:rPr>
                <w:rFonts w:hint="default"/>
                <w:vertAlign w:val="baseline"/>
                <w:lang w:val="en-US" w:eastAsia="zh-CN"/>
              </w:rPr>
            </w:pPr>
            <w:r>
              <w:rPr>
                <w:rFonts w:hint="eastAsia" w:cs="宋体"/>
                <w:color w:val="000000" w:themeColor="text1"/>
                <w:sz w:val="21"/>
                <w:szCs w:val="21"/>
                <w:lang w:val="en-US" w:eastAsia="zh-CN"/>
                <w14:textFill>
                  <w14:solidFill>
                    <w14:schemeClr w14:val="tx1"/>
                  </w14:solidFill>
                </w14:textFill>
              </w:rPr>
              <w:t>11月26日，韶赣铁路南雄段开始铺轨</w:t>
            </w:r>
          </w:p>
        </w:tc>
      </w:tr>
    </w:tbl>
    <w:p w14:paraId="2C180F69">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B4330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D9D38A2">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0455" cy="4194810"/>
                  <wp:effectExtent l="0" t="0" r="10795" b="15240"/>
                  <wp:docPr id="24" name="图片 24" descr="南雄年鉴2014-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南雄年鉴2014-024"/>
                          <pic:cNvPicPr>
                            <a:picLocks noChangeAspect="1"/>
                          </pic:cNvPicPr>
                        </pic:nvPicPr>
                        <pic:blipFill>
                          <a:blip r:embed="rId36"/>
                          <a:stretch>
                            <a:fillRect/>
                          </a:stretch>
                        </pic:blipFill>
                        <pic:spPr>
                          <a:xfrm>
                            <a:off x="0" y="0"/>
                            <a:ext cx="6180455" cy="4194810"/>
                          </a:xfrm>
                          <a:prstGeom prst="rect">
                            <a:avLst/>
                          </a:prstGeom>
                        </pic:spPr>
                      </pic:pic>
                    </a:graphicData>
                  </a:graphic>
                </wp:inline>
              </w:drawing>
            </w:r>
          </w:p>
        </w:tc>
      </w:tr>
      <w:tr w14:paraId="6915AD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2080A6C">
            <w:pPr>
              <w:rPr>
                <w:rFonts w:hint="default"/>
                <w:vertAlign w:val="baseline"/>
                <w:lang w:val="en-US" w:eastAsia="zh-CN"/>
              </w:rPr>
            </w:pPr>
            <w:r>
              <w:rPr>
                <w:rFonts w:hint="eastAsia" w:cs="宋体"/>
                <w:color w:val="000000" w:themeColor="text1"/>
                <w:sz w:val="21"/>
                <w:szCs w:val="21"/>
                <w:lang w:val="en-US" w:eastAsia="zh-CN"/>
                <w14:textFill>
                  <w14:solidFill>
                    <w14:schemeClr w14:val="tx1"/>
                  </w14:solidFill>
                </w14:textFill>
              </w:rPr>
              <w:t>赣韶铁路南雄段即将完工（曾祥云 摄）</w:t>
            </w:r>
          </w:p>
        </w:tc>
      </w:tr>
    </w:tbl>
    <w:p w14:paraId="2968BA79">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A718D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DA8D40E">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7440" cy="4143375"/>
                  <wp:effectExtent l="0" t="0" r="3810" b="9525"/>
                  <wp:docPr id="25" name="图片 25" descr="南雄年鉴2014-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南雄年鉴2014-025"/>
                          <pic:cNvPicPr>
                            <a:picLocks noChangeAspect="1"/>
                          </pic:cNvPicPr>
                        </pic:nvPicPr>
                        <pic:blipFill>
                          <a:blip r:embed="rId37"/>
                          <a:stretch>
                            <a:fillRect/>
                          </a:stretch>
                        </pic:blipFill>
                        <pic:spPr>
                          <a:xfrm>
                            <a:off x="0" y="0"/>
                            <a:ext cx="6187440" cy="4143375"/>
                          </a:xfrm>
                          <a:prstGeom prst="rect">
                            <a:avLst/>
                          </a:prstGeom>
                        </pic:spPr>
                      </pic:pic>
                    </a:graphicData>
                  </a:graphic>
                </wp:inline>
              </w:drawing>
            </w:r>
          </w:p>
        </w:tc>
      </w:tr>
      <w:tr w14:paraId="0CE91D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B7E6444">
            <w:pPr>
              <w:rPr>
                <w:rFonts w:hint="default"/>
                <w:vertAlign w:val="baseline"/>
                <w:lang w:val="en-US" w:eastAsia="zh-CN"/>
              </w:rPr>
            </w:pPr>
            <w:r>
              <w:rPr>
                <w:rFonts w:hint="eastAsia" w:cs="宋体"/>
                <w:color w:val="000000" w:themeColor="text1"/>
                <w:sz w:val="21"/>
                <w:szCs w:val="21"/>
                <w:lang w:val="en-US" w:eastAsia="zh-CN"/>
                <w14:textFill>
                  <w14:solidFill>
                    <w14:schemeClr w14:val="tx1"/>
                  </w14:solidFill>
                </w14:textFill>
              </w:rPr>
              <w:t>11月13日，首届世界广府人垦亲大会在广州召开</w:t>
            </w:r>
          </w:p>
        </w:tc>
      </w:tr>
    </w:tbl>
    <w:p w14:paraId="7ACFA55C">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0EB43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2549129E">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0455" cy="4097655"/>
                  <wp:effectExtent l="0" t="0" r="10795" b="17145"/>
                  <wp:docPr id="26" name="图片 26" descr="南雄年鉴2014-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南雄年鉴2014-026"/>
                          <pic:cNvPicPr>
                            <a:picLocks noChangeAspect="1"/>
                          </pic:cNvPicPr>
                        </pic:nvPicPr>
                        <pic:blipFill>
                          <a:blip r:embed="rId38"/>
                          <a:stretch>
                            <a:fillRect/>
                          </a:stretch>
                        </pic:blipFill>
                        <pic:spPr>
                          <a:xfrm>
                            <a:off x="0" y="0"/>
                            <a:ext cx="6180455" cy="4097655"/>
                          </a:xfrm>
                          <a:prstGeom prst="rect">
                            <a:avLst/>
                          </a:prstGeom>
                        </pic:spPr>
                      </pic:pic>
                    </a:graphicData>
                  </a:graphic>
                </wp:inline>
              </w:drawing>
            </w:r>
          </w:p>
        </w:tc>
      </w:tr>
      <w:tr w14:paraId="54B2AE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B4D32F0">
            <w:pPr>
              <w:rPr>
                <w:rFonts w:hint="default"/>
                <w:vertAlign w:val="baseline"/>
                <w:lang w:val="en-US" w:eastAsia="zh-CN"/>
              </w:rPr>
            </w:pPr>
            <w:r>
              <w:rPr>
                <w:rFonts w:hint="eastAsia" w:cs="宋体"/>
                <w:color w:val="000000" w:themeColor="text1"/>
                <w:sz w:val="21"/>
                <w:szCs w:val="21"/>
                <w:lang w:val="en-US" w:eastAsia="zh-CN"/>
                <w14:textFill>
                  <w14:solidFill>
                    <w14:schemeClr w14:val="tx1"/>
                  </w14:solidFill>
                </w14:textFill>
              </w:rPr>
              <w:t>11月14日，首届世广海内外嘉宾在会长黎子流（左二）带领下到南雄开展返乡之旅</w:t>
            </w:r>
          </w:p>
        </w:tc>
      </w:tr>
    </w:tbl>
    <w:p w14:paraId="19874ECA">
      <w:pPr>
        <w:rPr>
          <w:rFonts w:hint="eastAsia"/>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52449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E1CBF99">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7440" cy="4097655"/>
                  <wp:effectExtent l="0" t="0" r="3810" b="17145"/>
                  <wp:docPr id="27" name="图片 27" descr="南雄年鉴2014-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南雄年鉴2014-027"/>
                          <pic:cNvPicPr>
                            <a:picLocks noChangeAspect="1"/>
                          </pic:cNvPicPr>
                        </pic:nvPicPr>
                        <pic:blipFill>
                          <a:blip r:embed="rId39"/>
                          <a:stretch>
                            <a:fillRect/>
                          </a:stretch>
                        </pic:blipFill>
                        <pic:spPr>
                          <a:xfrm>
                            <a:off x="0" y="0"/>
                            <a:ext cx="6187440" cy="4097655"/>
                          </a:xfrm>
                          <a:prstGeom prst="rect">
                            <a:avLst/>
                          </a:prstGeom>
                        </pic:spPr>
                      </pic:pic>
                    </a:graphicData>
                  </a:graphic>
                </wp:inline>
              </w:drawing>
            </w:r>
          </w:p>
        </w:tc>
      </w:tr>
      <w:tr w14:paraId="23B1CE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8B3C79D">
            <w:pPr>
              <w:rPr>
                <w:rFonts w:hint="default"/>
                <w:vertAlign w:val="baseline"/>
                <w:lang w:val="en-US" w:eastAsia="zh-CN"/>
              </w:rPr>
            </w:pPr>
            <w:r>
              <w:rPr>
                <w:rFonts w:hint="eastAsia" w:cs="宋体"/>
                <w:color w:val="000000" w:themeColor="text1"/>
                <w:sz w:val="21"/>
                <w:szCs w:val="21"/>
                <w:lang w:val="en-US" w:eastAsia="zh-CN"/>
                <w14:textFill>
                  <w14:solidFill>
                    <w14:schemeClr w14:val="tx1"/>
                  </w14:solidFill>
                </w14:textFill>
              </w:rPr>
              <w:t>12月3日，南雄市委书记刘清生（右）参加推动南雄旅游数字化建设</w:t>
            </w:r>
          </w:p>
        </w:tc>
      </w:tr>
    </w:tbl>
    <w:p w14:paraId="1F5AA782">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65EC6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F7AD85C">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8710" cy="4171950"/>
                  <wp:effectExtent l="0" t="0" r="2540" b="0"/>
                  <wp:docPr id="28" name="图片 28" descr="南雄年鉴2014-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南雄年鉴2014-028"/>
                          <pic:cNvPicPr>
                            <a:picLocks noChangeAspect="1"/>
                          </pic:cNvPicPr>
                        </pic:nvPicPr>
                        <pic:blipFill>
                          <a:blip r:embed="rId40"/>
                          <a:stretch>
                            <a:fillRect/>
                          </a:stretch>
                        </pic:blipFill>
                        <pic:spPr>
                          <a:xfrm>
                            <a:off x="0" y="0"/>
                            <a:ext cx="6188710" cy="4171950"/>
                          </a:xfrm>
                          <a:prstGeom prst="rect">
                            <a:avLst/>
                          </a:prstGeom>
                        </pic:spPr>
                      </pic:pic>
                    </a:graphicData>
                  </a:graphic>
                </wp:inline>
              </w:drawing>
            </w:r>
          </w:p>
        </w:tc>
      </w:tr>
      <w:tr w14:paraId="7C8011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A283E51">
            <w:pPr>
              <w:rPr>
                <w:rFonts w:hint="default"/>
                <w:vertAlign w:val="baseline"/>
                <w:lang w:val="en-US" w:eastAsia="zh-CN"/>
              </w:rPr>
            </w:pPr>
            <w:r>
              <w:rPr>
                <w:rFonts w:hint="eastAsia" w:cs="宋体"/>
                <w:color w:val="000000" w:themeColor="text1"/>
                <w:sz w:val="21"/>
                <w:szCs w:val="21"/>
                <w:lang w:val="en-US" w:eastAsia="zh-CN"/>
                <w14:textFill>
                  <w14:solidFill>
                    <w14:schemeClr w14:val="tx1"/>
                  </w14:solidFill>
                </w14:textFill>
              </w:rPr>
              <w:t>2013年12月22日，“南雄、中山两地书法作品联展”在广东南雄珠玑书画院举行</w:t>
            </w:r>
          </w:p>
        </w:tc>
      </w:tr>
    </w:tbl>
    <w:p w14:paraId="56BE92DC">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5ABA6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307D5F6B">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1090" cy="4120515"/>
                  <wp:effectExtent l="0" t="0" r="10160" b="13335"/>
                  <wp:docPr id="29" name="图片 29" descr="南雄年鉴2014-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南雄年鉴2014-029"/>
                          <pic:cNvPicPr>
                            <a:picLocks noChangeAspect="1"/>
                          </pic:cNvPicPr>
                        </pic:nvPicPr>
                        <pic:blipFill>
                          <a:blip r:embed="rId41"/>
                          <a:stretch>
                            <a:fillRect/>
                          </a:stretch>
                        </pic:blipFill>
                        <pic:spPr>
                          <a:xfrm>
                            <a:off x="0" y="0"/>
                            <a:ext cx="6181090" cy="4120515"/>
                          </a:xfrm>
                          <a:prstGeom prst="rect">
                            <a:avLst/>
                          </a:prstGeom>
                        </pic:spPr>
                      </pic:pic>
                    </a:graphicData>
                  </a:graphic>
                </wp:inline>
              </w:drawing>
            </w:r>
          </w:p>
        </w:tc>
      </w:tr>
      <w:tr w14:paraId="3FD3D5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FE0DE5A">
            <w:pPr>
              <w:rPr>
                <w:rFonts w:hint="default"/>
                <w:vertAlign w:val="baseline"/>
                <w:lang w:val="en-US" w:eastAsia="zh-CN"/>
              </w:rPr>
            </w:pPr>
            <w:r>
              <w:rPr>
                <w:rFonts w:hint="eastAsia" w:cs="宋体"/>
                <w:color w:val="000000" w:themeColor="text1"/>
                <w:sz w:val="21"/>
                <w:szCs w:val="21"/>
                <w:lang w:val="en-US" w:eastAsia="zh-CN"/>
                <w14:textFill>
                  <w14:solidFill>
                    <w14:schemeClr w14:val="tx1"/>
                  </w14:solidFill>
                </w14:textFill>
              </w:rPr>
              <w:t>2013年，南雄市“广东扶贫济困日”捐款仪式</w:t>
            </w:r>
          </w:p>
        </w:tc>
      </w:tr>
    </w:tbl>
    <w:p w14:paraId="7A284AE5">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B906E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4ABA95CE">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2360" cy="4126230"/>
                  <wp:effectExtent l="0" t="0" r="8890" b="7620"/>
                  <wp:docPr id="30" name="图片 30" descr="南雄年鉴2014-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南雄年鉴2014-030"/>
                          <pic:cNvPicPr>
                            <a:picLocks noChangeAspect="1"/>
                          </pic:cNvPicPr>
                        </pic:nvPicPr>
                        <pic:blipFill>
                          <a:blip r:embed="rId42"/>
                          <a:stretch>
                            <a:fillRect/>
                          </a:stretch>
                        </pic:blipFill>
                        <pic:spPr>
                          <a:xfrm>
                            <a:off x="0" y="0"/>
                            <a:ext cx="6182360" cy="4126230"/>
                          </a:xfrm>
                          <a:prstGeom prst="rect">
                            <a:avLst/>
                          </a:prstGeom>
                        </pic:spPr>
                      </pic:pic>
                    </a:graphicData>
                  </a:graphic>
                </wp:inline>
              </w:drawing>
            </w:r>
          </w:p>
        </w:tc>
      </w:tr>
      <w:tr w14:paraId="0EB24B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EE63127">
            <w:pPr>
              <w:rPr>
                <w:rFonts w:hint="default"/>
                <w:vertAlign w:val="baseline"/>
                <w:lang w:val="en-US" w:eastAsia="zh-CN"/>
              </w:rPr>
            </w:pPr>
            <w:r>
              <w:rPr>
                <w:rFonts w:hint="eastAsia" w:cs="宋体"/>
                <w:color w:val="000000" w:themeColor="text1"/>
                <w:sz w:val="21"/>
                <w:szCs w:val="21"/>
                <w:lang w:val="en-US" w:eastAsia="zh-CN"/>
                <w14:textFill>
                  <w14:solidFill>
                    <w14:schemeClr w14:val="tx1"/>
                  </w14:solidFill>
                </w14:textFill>
              </w:rPr>
              <w:t>2013年，南雄市迎春晚会</w:t>
            </w:r>
          </w:p>
        </w:tc>
      </w:tr>
    </w:tbl>
    <w:p w14:paraId="61E756B5">
      <w:pPr>
        <w:rPr>
          <w:rFonts w:hint="eastAsia"/>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0B04A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7199792">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79820" cy="4074795"/>
                  <wp:effectExtent l="0" t="0" r="11430" b="1905"/>
                  <wp:docPr id="31" name="图片 31" descr="南雄年鉴2014-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南雄年鉴2014-031"/>
                          <pic:cNvPicPr>
                            <a:picLocks noChangeAspect="1"/>
                          </pic:cNvPicPr>
                        </pic:nvPicPr>
                        <pic:blipFill>
                          <a:blip r:embed="rId43"/>
                          <a:stretch>
                            <a:fillRect/>
                          </a:stretch>
                        </pic:blipFill>
                        <pic:spPr>
                          <a:xfrm>
                            <a:off x="0" y="0"/>
                            <a:ext cx="6179820" cy="4074795"/>
                          </a:xfrm>
                          <a:prstGeom prst="rect">
                            <a:avLst/>
                          </a:prstGeom>
                        </pic:spPr>
                      </pic:pic>
                    </a:graphicData>
                  </a:graphic>
                </wp:inline>
              </w:drawing>
            </w:r>
          </w:p>
        </w:tc>
      </w:tr>
      <w:tr w14:paraId="1C49EE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A1D8046">
            <w:pPr>
              <w:rPr>
                <w:rFonts w:hint="default"/>
                <w:vertAlign w:val="baseline"/>
                <w:lang w:val="en-US" w:eastAsia="zh-CN"/>
              </w:rPr>
            </w:pPr>
            <w:r>
              <w:rPr>
                <w:rFonts w:hint="eastAsia" w:cs="宋体"/>
                <w:color w:val="000000" w:themeColor="text1"/>
                <w:sz w:val="21"/>
                <w:szCs w:val="21"/>
                <w:lang w:val="en-US" w:eastAsia="zh-CN"/>
                <w14:textFill>
                  <w14:solidFill>
                    <w14:schemeClr w14:val="tx1"/>
                  </w14:solidFill>
                </w14:textFill>
              </w:rPr>
              <w:t>10月31日，古生物专家在南雄市杨梅坑片区发现鸭嘴龙脚印</w:t>
            </w:r>
          </w:p>
        </w:tc>
      </w:tr>
    </w:tbl>
    <w:p w14:paraId="288F91C0">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BCFB3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541B4C8">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5535" cy="4091940"/>
                  <wp:effectExtent l="0" t="0" r="5715" b="3810"/>
                  <wp:docPr id="32" name="图片 32" descr="南雄年鉴201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南雄年鉴2014-032"/>
                          <pic:cNvPicPr>
                            <a:picLocks noChangeAspect="1"/>
                          </pic:cNvPicPr>
                        </pic:nvPicPr>
                        <pic:blipFill>
                          <a:blip r:embed="rId44"/>
                          <a:stretch>
                            <a:fillRect/>
                          </a:stretch>
                        </pic:blipFill>
                        <pic:spPr>
                          <a:xfrm>
                            <a:off x="0" y="0"/>
                            <a:ext cx="6185535" cy="4091940"/>
                          </a:xfrm>
                          <a:prstGeom prst="rect">
                            <a:avLst/>
                          </a:prstGeom>
                        </pic:spPr>
                      </pic:pic>
                    </a:graphicData>
                  </a:graphic>
                </wp:inline>
              </w:drawing>
            </w:r>
          </w:p>
        </w:tc>
      </w:tr>
      <w:tr w14:paraId="1B64BC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57B289F">
            <w:pPr>
              <w:rPr>
                <w:rFonts w:hint="default"/>
                <w:vertAlign w:val="baseline"/>
                <w:lang w:val="en-US" w:eastAsia="zh-CN"/>
              </w:rPr>
            </w:pPr>
            <w:r>
              <w:rPr>
                <w:rFonts w:hint="eastAsia" w:cs="宋体"/>
                <w:color w:val="000000" w:themeColor="text1"/>
                <w:sz w:val="21"/>
                <w:szCs w:val="21"/>
                <w:lang w:val="en-US" w:eastAsia="zh-CN"/>
                <w14:textFill>
                  <w14:solidFill>
                    <w14:schemeClr w14:val="tx1"/>
                  </w14:solidFill>
                </w14:textFill>
              </w:rPr>
              <w:t>10月1日，南雄市在三影塔开展群众文艺演出</w:t>
            </w:r>
          </w:p>
        </w:tc>
      </w:tr>
    </w:tbl>
    <w:p w14:paraId="648F51EA">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E75FD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B2EFB04">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2360" cy="4149090"/>
                  <wp:effectExtent l="0" t="0" r="8890" b="3810"/>
                  <wp:docPr id="33" name="图片 33" descr="南雄年鉴2014-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南雄年鉴2014-033"/>
                          <pic:cNvPicPr>
                            <a:picLocks noChangeAspect="1"/>
                          </pic:cNvPicPr>
                        </pic:nvPicPr>
                        <pic:blipFill>
                          <a:blip r:embed="rId45"/>
                          <a:stretch>
                            <a:fillRect/>
                          </a:stretch>
                        </pic:blipFill>
                        <pic:spPr>
                          <a:xfrm>
                            <a:off x="0" y="0"/>
                            <a:ext cx="6182360" cy="4149090"/>
                          </a:xfrm>
                          <a:prstGeom prst="rect">
                            <a:avLst/>
                          </a:prstGeom>
                        </pic:spPr>
                      </pic:pic>
                    </a:graphicData>
                  </a:graphic>
                </wp:inline>
              </w:drawing>
            </w:r>
          </w:p>
        </w:tc>
      </w:tr>
      <w:tr w14:paraId="024948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9594773">
            <w:pPr>
              <w:rPr>
                <w:rFonts w:hint="default"/>
                <w:vertAlign w:val="baseline"/>
                <w:lang w:val="en-US" w:eastAsia="zh-CN"/>
              </w:rPr>
            </w:pPr>
            <w:r>
              <w:rPr>
                <w:rFonts w:hint="eastAsia" w:cs="宋体"/>
                <w:color w:val="000000" w:themeColor="text1"/>
                <w:sz w:val="21"/>
                <w:szCs w:val="21"/>
                <w:lang w:val="en-US" w:eastAsia="zh-CN"/>
                <w14:textFill>
                  <w14:solidFill>
                    <w14:schemeClr w14:val="tx1"/>
                  </w14:solidFill>
                </w14:textFill>
              </w:rPr>
              <w:t>元宵节，百顺香火龙在南雄城区表演</w:t>
            </w:r>
          </w:p>
        </w:tc>
      </w:tr>
    </w:tbl>
    <w:p w14:paraId="4D053423">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3FE5F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69570FA">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2360" cy="4343400"/>
                  <wp:effectExtent l="0" t="0" r="8890" b="0"/>
                  <wp:docPr id="34" name="图片 34" descr="南雄年鉴2014-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南雄年鉴2014-034"/>
                          <pic:cNvPicPr>
                            <a:picLocks noChangeAspect="1"/>
                          </pic:cNvPicPr>
                        </pic:nvPicPr>
                        <pic:blipFill>
                          <a:blip r:embed="rId46"/>
                          <a:stretch>
                            <a:fillRect/>
                          </a:stretch>
                        </pic:blipFill>
                        <pic:spPr>
                          <a:xfrm>
                            <a:off x="0" y="0"/>
                            <a:ext cx="6182360" cy="4343400"/>
                          </a:xfrm>
                          <a:prstGeom prst="rect">
                            <a:avLst/>
                          </a:prstGeom>
                        </pic:spPr>
                      </pic:pic>
                    </a:graphicData>
                  </a:graphic>
                </wp:inline>
              </w:drawing>
            </w:r>
          </w:p>
        </w:tc>
      </w:tr>
      <w:tr w14:paraId="6C53E7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4F337A0">
            <w:pPr>
              <w:rPr>
                <w:rFonts w:hint="default"/>
                <w:vertAlign w:val="baseline"/>
                <w:lang w:val="en-US" w:eastAsia="zh-CN"/>
              </w:rPr>
            </w:pPr>
            <w:r>
              <w:rPr>
                <w:rFonts w:hint="eastAsia" w:cs="宋体"/>
                <w:color w:val="000000" w:themeColor="text1"/>
                <w:sz w:val="21"/>
                <w:szCs w:val="21"/>
                <w:lang w:val="en-US" w:eastAsia="zh-CN"/>
                <w14:textFill>
                  <w14:solidFill>
                    <w14:schemeClr w14:val="tx1"/>
                  </w14:solidFill>
                </w14:textFill>
              </w:rPr>
              <w:t>黄烟技术人员在育苗基地修剪烟苗</w:t>
            </w:r>
          </w:p>
        </w:tc>
      </w:tr>
    </w:tbl>
    <w:p w14:paraId="6969BB2D">
      <w:pPr>
        <w:rPr>
          <w:rFonts w:hint="eastAsia"/>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54E02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8E78E62">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79820" cy="4074795"/>
                  <wp:effectExtent l="0" t="0" r="11430" b="1905"/>
                  <wp:docPr id="35" name="图片 35" descr="南雄年鉴2014-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南雄年鉴2014-035"/>
                          <pic:cNvPicPr>
                            <a:picLocks noChangeAspect="1"/>
                          </pic:cNvPicPr>
                        </pic:nvPicPr>
                        <pic:blipFill>
                          <a:blip r:embed="rId47"/>
                          <a:stretch>
                            <a:fillRect/>
                          </a:stretch>
                        </pic:blipFill>
                        <pic:spPr>
                          <a:xfrm>
                            <a:off x="0" y="0"/>
                            <a:ext cx="6179820" cy="4074795"/>
                          </a:xfrm>
                          <a:prstGeom prst="rect">
                            <a:avLst/>
                          </a:prstGeom>
                        </pic:spPr>
                      </pic:pic>
                    </a:graphicData>
                  </a:graphic>
                </wp:inline>
              </w:drawing>
            </w:r>
          </w:p>
        </w:tc>
      </w:tr>
      <w:tr w14:paraId="15DD69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AE9177D">
            <w:pPr>
              <w:rPr>
                <w:rFonts w:hint="default"/>
                <w:vertAlign w:val="baseline"/>
                <w:lang w:val="en-US" w:eastAsia="zh-CN"/>
              </w:rPr>
            </w:pPr>
            <w:r>
              <w:rPr>
                <w:rFonts w:hint="eastAsia" w:cs="宋体"/>
                <w:color w:val="000000" w:themeColor="text1"/>
                <w:sz w:val="21"/>
                <w:szCs w:val="21"/>
                <w:lang w:val="en-US" w:eastAsia="zh-CN"/>
                <w14:textFill>
                  <w14:solidFill>
                    <w14:schemeClr w14:val="tx1"/>
                  </w14:solidFill>
                </w14:textFill>
              </w:rPr>
              <w:t>2月20日，开春后，农民积极进行烟苗大田移栽</w:t>
            </w:r>
          </w:p>
        </w:tc>
      </w:tr>
    </w:tbl>
    <w:p w14:paraId="028A3926">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1A250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30A06F9">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7440" cy="4572000"/>
                  <wp:effectExtent l="0" t="0" r="3810" b="0"/>
                  <wp:docPr id="36" name="图片 36" descr="南雄年鉴2014-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南雄年鉴2014-036"/>
                          <pic:cNvPicPr>
                            <a:picLocks noChangeAspect="1"/>
                          </pic:cNvPicPr>
                        </pic:nvPicPr>
                        <pic:blipFill>
                          <a:blip r:embed="rId48"/>
                          <a:stretch>
                            <a:fillRect/>
                          </a:stretch>
                        </pic:blipFill>
                        <pic:spPr>
                          <a:xfrm>
                            <a:off x="0" y="0"/>
                            <a:ext cx="6187440" cy="4572000"/>
                          </a:xfrm>
                          <a:prstGeom prst="rect">
                            <a:avLst/>
                          </a:prstGeom>
                        </pic:spPr>
                      </pic:pic>
                    </a:graphicData>
                  </a:graphic>
                </wp:inline>
              </w:drawing>
            </w:r>
          </w:p>
        </w:tc>
      </w:tr>
      <w:tr w14:paraId="54EACF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22020A32">
            <w:pPr>
              <w:rPr>
                <w:rFonts w:hint="default"/>
                <w:vertAlign w:val="baseline"/>
                <w:lang w:val="en-US" w:eastAsia="zh-CN"/>
              </w:rPr>
            </w:pPr>
            <w:r>
              <w:rPr>
                <w:rFonts w:hint="eastAsia" w:cs="宋体"/>
                <w:color w:val="000000" w:themeColor="text1"/>
                <w:sz w:val="21"/>
                <w:szCs w:val="21"/>
                <w:lang w:val="en-US" w:eastAsia="zh-CN"/>
                <w14:textFill>
                  <w14:solidFill>
                    <w14:schemeClr w14:val="tx1"/>
                  </w14:solidFill>
                </w14:textFill>
              </w:rPr>
              <w:t>6月，烟农在采摘烟叶</w:t>
            </w:r>
          </w:p>
        </w:tc>
      </w:tr>
    </w:tbl>
    <w:p w14:paraId="25FC987C">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F23AD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24ADCB3F">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4265" cy="4109085"/>
                  <wp:effectExtent l="0" t="0" r="6985" b="5715"/>
                  <wp:docPr id="37" name="图片 37" descr="南雄年鉴2014-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南雄年鉴2014-037"/>
                          <pic:cNvPicPr>
                            <a:picLocks noChangeAspect="1"/>
                          </pic:cNvPicPr>
                        </pic:nvPicPr>
                        <pic:blipFill>
                          <a:blip r:embed="rId49"/>
                          <a:stretch>
                            <a:fillRect/>
                          </a:stretch>
                        </pic:blipFill>
                        <pic:spPr>
                          <a:xfrm>
                            <a:off x="0" y="0"/>
                            <a:ext cx="6184265" cy="4109085"/>
                          </a:xfrm>
                          <a:prstGeom prst="rect">
                            <a:avLst/>
                          </a:prstGeom>
                        </pic:spPr>
                      </pic:pic>
                    </a:graphicData>
                  </a:graphic>
                </wp:inline>
              </w:drawing>
            </w:r>
          </w:p>
        </w:tc>
      </w:tr>
      <w:tr w14:paraId="5C8520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31B49A5">
            <w:pPr>
              <w:rPr>
                <w:rFonts w:hint="default"/>
                <w:vertAlign w:val="baseline"/>
                <w:lang w:val="en-US" w:eastAsia="zh-CN"/>
              </w:rPr>
            </w:pPr>
            <w:r>
              <w:rPr>
                <w:rFonts w:hint="eastAsia" w:cs="宋体"/>
                <w:color w:val="000000" w:themeColor="text1"/>
                <w:sz w:val="21"/>
                <w:szCs w:val="21"/>
                <w:lang w:val="en-US" w:eastAsia="zh-CN"/>
                <w14:textFill>
                  <w14:solidFill>
                    <w14:schemeClr w14:val="tx1"/>
                  </w14:solidFill>
                </w14:textFill>
              </w:rPr>
              <w:t>苍石杜鹃</w:t>
            </w:r>
          </w:p>
        </w:tc>
      </w:tr>
    </w:tbl>
    <w:p w14:paraId="03421D1D">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7259F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5A61103">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2360" cy="4394835"/>
                  <wp:effectExtent l="0" t="0" r="8890" b="5715"/>
                  <wp:docPr id="38" name="图片 38" descr="南雄年鉴2014-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南雄年鉴2014-038"/>
                          <pic:cNvPicPr>
                            <a:picLocks noChangeAspect="1"/>
                          </pic:cNvPicPr>
                        </pic:nvPicPr>
                        <pic:blipFill>
                          <a:blip r:embed="rId50"/>
                          <a:stretch>
                            <a:fillRect/>
                          </a:stretch>
                        </pic:blipFill>
                        <pic:spPr>
                          <a:xfrm>
                            <a:off x="0" y="0"/>
                            <a:ext cx="6182360" cy="4394835"/>
                          </a:xfrm>
                          <a:prstGeom prst="rect">
                            <a:avLst/>
                          </a:prstGeom>
                        </pic:spPr>
                      </pic:pic>
                    </a:graphicData>
                  </a:graphic>
                </wp:inline>
              </w:drawing>
            </w:r>
          </w:p>
        </w:tc>
      </w:tr>
      <w:tr w14:paraId="304150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0EABA61">
            <w:pPr>
              <w:rPr>
                <w:rFonts w:hint="default"/>
                <w:vertAlign w:val="baseline"/>
                <w:lang w:val="en-US" w:eastAsia="zh-CN"/>
              </w:rPr>
            </w:pPr>
            <w:r>
              <w:rPr>
                <w:rFonts w:hint="eastAsia" w:cs="宋体"/>
                <w:color w:val="000000" w:themeColor="text1"/>
                <w:sz w:val="21"/>
                <w:szCs w:val="21"/>
                <w:lang w:val="en-US" w:eastAsia="zh-CN"/>
                <w14:textFill>
                  <w14:solidFill>
                    <w14:schemeClr w14:val="tx1"/>
                  </w14:solidFill>
                </w14:textFill>
              </w:rPr>
              <w:t>古巷荷花</w:t>
            </w:r>
          </w:p>
        </w:tc>
      </w:tr>
    </w:tbl>
    <w:p w14:paraId="16403854">
      <w:pPr>
        <w:rPr>
          <w:rFonts w:hint="eastAsia"/>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C1EC4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3CD87B2">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1725" cy="2920365"/>
                  <wp:effectExtent l="0" t="0" r="9525" b="13335"/>
                  <wp:docPr id="39" name="图片 39" descr="南雄年鉴2014-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南雄年鉴2014-039"/>
                          <pic:cNvPicPr>
                            <a:picLocks noChangeAspect="1"/>
                          </pic:cNvPicPr>
                        </pic:nvPicPr>
                        <pic:blipFill>
                          <a:blip r:embed="rId51"/>
                          <a:stretch>
                            <a:fillRect/>
                          </a:stretch>
                        </pic:blipFill>
                        <pic:spPr>
                          <a:xfrm>
                            <a:off x="0" y="0"/>
                            <a:ext cx="6181725" cy="2920365"/>
                          </a:xfrm>
                          <a:prstGeom prst="rect">
                            <a:avLst/>
                          </a:prstGeom>
                        </pic:spPr>
                      </pic:pic>
                    </a:graphicData>
                  </a:graphic>
                </wp:inline>
              </w:drawing>
            </w:r>
          </w:p>
        </w:tc>
      </w:tr>
      <w:tr w14:paraId="6DC765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D9FF087">
            <w:pPr>
              <w:rPr>
                <w:rFonts w:hint="default"/>
                <w:vertAlign w:val="baseline"/>
                <w:lang w:val="en-US" w:eastAsia="zh-CN"/>
              </w:rPr>
            </w:pPr>
            <w:r>
              <w:rPr>
                <w:rFonts w:hint="eastAsia" w:cs="宋体"/>
                <w:b w:val="0"/>
                <w:bCs w:val="0"/>
                <w:color w:val="000000" w:themeColor="text1"/>
                <w:sz w:val="21"/>
                <w:szCs w:val="21"/>
                <w:lang w:val="en-US" w:eastAsia="zh-CN"/>
                <w14:textFill>
                  <w14:solidFill>
                    <w14:schemeClr w14:val="tx1"/>
                  </w14:solidFill>
                </w14:textFill>
              </w:rPr>
              <w:t>孔江温地公园</w:t>
            </w:r>
          </w:p>
        </w:tc>
      </w:tr>
    </w:tbl>
    <w:p w14:paraId="64A8D3C8">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6B196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31C5DF8">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0455" cy="3469005"/>
                  <wp:effectExtent l="0" t="0" r="10795" b="17145"/>
                  <wp:docPr id="40" name="图片 40" descr="南雄年鉴2014-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南雄年鉴2014-040"/>
                          <pic:cNvPicPr>
                            <a:picLocks noChangeAspect="1"/>
                          </pic:cNvPicPr>
                        </pic:nvPicPr>
                        <pic:blipFill>
                          <a:blip r:embed="rId52"/>
                          <a:stretch>
                            <a:fillRect/>
                          </a:stretch>
                        </pic:blipFill>
                        <pic:spPr>
                          <a:xfrm>
                            <a:off x="0" y="0"/>
                            <a:ext cx="6180455" cy="3469005"/>
                          </a:xfrm>
                          <a:prstGeom prst="rect">
                            <a:avLst/>
                          </a:prstGeom>
                        </pic:spPr>
                      </pic:pic>
                    </a:graphicData>
                  </a:graphic>
                </wp:inline>
              </w:drawing>
            </w:r>
          </w:p>
        </w:tc>
      </w:tr>
      <w:tr w14:paraId="23C948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E0C109F">
            <w:pPr>
              <w:rPr>
                <w:rFonts w:hint="default"/>
                <w:vertAlign w:val="baseline"/>
                <w:lang w:val="en-US" w:eastAsia="zh-CN"/>
              </w:rPr>
            </w:pPr>
            <w:r>
              <w:rPr>
                <w:rFonts w:hint="eastAsia" w:cs="宋体"/>
                <w:color w:val="000000" w:themeColor="text1"/>
                <w:sz w:val="21"/>
                <w:szCs w:val="21"/>
                <w:lang w:val="en-US" w:eastAsia="zh-CN"/>
                <w14:textFill>
                  <w14:solidFill>
                    <w14:schemeClr w14:val="tx1"/>
                  </w14:solidFill>
                </w14:textFill>
              </w:rPr>
              <w:t>梅花盛开</w:t>
            </w:r>
          </w:p>
        </w:tc>
      </w:tr>
    </w:tbl>
    <w:p w14:paraId="2FB8641F">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95857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0803617">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4265" cy="4211955"/>
                  <wp:effectExtent l="0" t="0" r="6985" b="17145"/>
                  <wp:docPr id="41" name="图片 41" descr="南雄年鉴2014-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南雄年鉴2014-041"/>
                          <pic:cNvPicPr>
                            <a:picLocks noChangeAspect="1"/>
                          </pic:cNvPicPr>
                        </pic:nvPicPr>
                        <pic:blipFill>
                          <a:blip r:embed="rId53"/>
                          <a:stretch>
                            <a:fillRect/>
                          </a:stretch>
                        </pic:blipFill>
                        <pic:spPr>
                          <a:xfrm>
                            <a:off x="0" y="0"/>
                            <a:ext cx="6184265" cy="4211955"/>
                          </a:xfrm>
                          <a:prstGeom prst="rect">
                            <a:avLst/>
                          </a:prstGeom>
                        </pic:spPr>
                      </pic:pic>
                    </a:graphicData>
                  </a:graphic>
                </wp:inline>
              </w:drawing>
            </w:r>
          </w:p>
        </w:tc>
      </w:tr>
      <w:tr w14:paraId="787791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1092093">
            <w:pPr>
              <w:rPr>
                <w:rFonts w:hint="default"/>
                <w:vertAlign w:val="baseline"/>
                <w:lang w:val="en-US" w:eastAsia="zh-CN"/>
              </w:rPr>
            </w:pPr>
            <w:r>
              <w:rPr>
                <w:rFonts w:hint="eastAsia" w:cs="宋体"/>
                <w:color w:val="000000" w:themeColor="text1"/>
                <w:sz w:val="21"/>
                <w:szCs w:val="21"/>
                <w:lang w:val="en-US" w:eastAsia="zh-CN"/>
                <w14:textFill>
                  <w14:solidFill>
                    <w14:schemeClr w14:val="tx1"/>
                  </w14:solidFill>
                </w14:textFill>
              </w:rPr>
              <w:t>秋色红叶</w:t>
            </w:r>
          </w:p>
        </w:tc>
      </w:tr>
    </w:tbl>
    <w:p w14:paraId="461B4B1A">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261F0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C63C6B7">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5535" cy="3337560"/>
                  <wp:effectExtent l="0" t="0" r="5715" b="15240"/>
                  <wp:docPr id="42" name="图片 42" descr="南雄年鉴2014-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南雄年鉴2014-042"/>
                          <pic:cNvPicPr>
                            <a:picLocks noChangeAspect="1"/>
                          </pic:cNvPicPr>
                        </pic:nvPicPr>
                        <pic:blipFill>
                          <a:blip r:embed="rId54"/>
                          <a:stretch>
                            <a:fillRect/>
                          </a:stretch>
                        </pic:blipFill>
                        <pic:spPr>
                          <a:xfrm>
                            <a:off x="0" y="0"/>
                            <a:ext cx="6185535" cy="3337560"/>
                          </a:xfrm>
                          <a:prstGeom prst="rect">
                            <a:avLst/>
                          </a:prstGeom>
                        </pic:spPr>
                      </pic:pic>
                    </a:graphicData>
                  </a:graphic>
                </wp:inline>
              </w:drawing>
            </w:r>
          </w:p>
        </w:tc>
      </w:tr>
      <w:tr w14:paraId="4B25CC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6545BA7">
            <w:pPr>
              <w:rPr>
                <w:rFonts w:hint="default"/>
                <w:vertAlign w:val="baseline"/>
                <w:lang w:val="en-US" w:eastAsia="zh-CN"/>
              </w:rPr>
            </w:pPr>
            <w:r>
              <w:rPr>
                <w:rFonts w:hint="eastAsia" w:cs="宋体"/>
                <w:color w:val="000000" w:themeColor="text1"/>
                <w:sz w:val="21"/>
                <w:szCs w:val="21"/>
                <w:lang w:val="en-US" w:eastAsia="zh-CN"/>
                <w14:textFill>
                  <w14:solidFill>
                    <w14:schemeClr w14:val="tx1"/>
                  </w14:solidFill>
                </w14:textFill>
              </w:rPr>
              <w:t>瑞雪</w:t>
            </w:r>
          </w:p>
        </w:tc>
      </w:tr>
    </w:tbl>
    <w:p w14:paraId="6B462436">
      <w:pPr>
        <w:pStyle w:val="3"/>
        <w:bidi w:val="0"/>
        <w:rPr>
          <w:rFonts w:hint="default"/>
          <w:lang w:val="en-US" w:eastAsia="zh-CN"/>
        </w:rPr>
      </w:pPr>
      <w:r>
        <w:rPr>
          <w:rFonts w:hint="eastAsia"/>
          <w:lang w:val="en-US" w:eastAsia="zh-CN"/>
        </w:rPr>
        <w:t>广东省南雄市人民武装部</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3A308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C0A29B4">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784215" cy="8050530"/>
                  <wp:effectExtent l="0" t="0" r="6985" b="7620"/>
                  <wp:docPr id="74" name="图片 74" descr="南雄年鉴 2014_0021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南雄年鉴 2014_0021 副本"/>
                          <pic:cNvPicPr>
                            <a:picLocks noChangeAspect="1"/>
                          </pic:cNvPicPr>
                        </pic:nvPicPr>
                        <pic:blipFill>
                          <a:blip r:embed="rId55"/>
                          <a:stretch>
                            <a:fillRect/>
                          </a:stretch>
                        </pic:blipFill>
                        <pic:spPr>
                          <a:xfrm>
                            <a:off x="0" y="0"/>
                            <a:ext cx="5784215" cy="8050530"/>
                          </a:xfrm>
                          <a:prstGeom prst="rect">
                            <a:avLst/>
                          </a:prstGeom>
                        </pic:spPr>
                      </pic:pic>
                    </a:graphicData>
                  </a:graphic>
                </wp:inline>
              </w:drawing>
            </w:r>
          </w:p>
        </w:tc>
      </w:tr>
    </w:tbl>
    <w:p w14:paraId="047ED8AF">
      <w:pPr>
        <w:pStyle w:val="3"/>
        <w:bidi w:val="0"/>
        <w:rPr>
          <w:rFonts w:hint="eastAsia" w:eastAsia="宋体"/>
          <w:lang w:val="en-US" w:eastAsia="zh-CN"/>
        </w:rPr>
      </w:pPr>
      <w:r>
        <w:rPr>
          <w:rFonts w:hint="eastAsia"/>
        </w:rPr>
        <w:t>雄</w:t>
      </w:r>
      <w:r>
        <w:rPr>
          <w:rFonts w:hint="eastAsia"/>
          <w:lang w:val="en-US" w:eastAsia="zh-CN"/>
        </w:rPr>
        <w:t>州</w:t>
      </w:r>
      <w:r>
        <w:rPr>
          <w:rFonts w:hint="eastAsia"/>
        </w:rPr>
        <w:t>街道办事</w:t>
      </w:r>
      <w:r>
        <w:rPr>
          <w:rFonts w:hint="eastAsia"/>
          <w:lang w:val="en-US" w:eastAsia="zh-CN"/>
        </w:rPr>
        <w:t>处</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94DB9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F5283B3">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695315" cy="7926705"/>
                  <wp:effectExtent l="0" t="0" r="635" b="17145"/>
                  <wp:docPr id="75" name="图片 75" descr="南雄年鉴 2014_0022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南雄年鉴 2014_0022 副本"/>
                          <pic:cNvPicPr>
                            <a:picLocks noChangeAspect="1"/>
                          </pic:cNvPicPr>
                        </pic:nvPicPr>
                        <pic:blipFill>
                          <a:blip r:embed="rId56"/>
                          <a:stretch>
                            <a:fillRect/>
                          </a:stretch>
                        </pic:blipFill>
                        <pic:spPr>
                          <a:xfrm>
                            <a:off x="0" y="0"/>
                            <a:ext cx="5695315" cy="7926705"/>
                          </a:xfrm>
                          <a:prstGeom prst="rect">
                            <a:avLst/>
                          </a:prstGeom>
                        </pic:spPr>
                      </pic:pic>
                    </a:graphicData>
                  </a:graphic>
                </wp:inline>
              </w:drawing>
            </w:r>
          </w:p>
        </w:tc>
      </w:tr>
    </w:tbl>
    <w:p w14:paraId="3F8E6244">
      <w:pPr>
        <w:rPr>
          <w:rFonts w:hint="eastAsia"/>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4E904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5770699">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913755" cy="8232140"/>
                  <wp:effectExtent l="0" t="0" r="10795" b="16510"/>
                  <wp:docPr id="76" name="图片 76" descr="南雄年鉴 2014_0023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南雄年鉴 2014_0023 副本"/>
                          <pic:cNvPicPr>
                            <a:picLocks noChangeAspect="1"/>
                          </pic:cNvPicPr>
                        </pic:nvPicPr>
                        <pic:blipFill>
                          <a:blip r:embed="rId57"/>
                          <a:stretch>
                            <a:fillRect/>
                          </a:stretch>
                        </pic:blipFill>
                        <pic:spPr>
                          <a:xfrm>
                            <a:off x="0" y="0"/>
                            <a:ext cx="5913755" cy="8232140"/>
                          </a:xfrm>
                          <a:prstGeom prst="rect">
                            <a:avLst/>
                          </a:prstGeom>
                        </pic:spPr>
                      </pic:pic>
                    </a:graphicData>
                  </a:graphic>
                </wp:inline>
              </w:drawing>
            </w:r>
          </w:p>
        </w:tc>
      </w:tr>
    </w:tbl>
    <w:p w14:paraId="130374B9">
      <w:pPr>
        <w:pStyle w:val="3"/>
        <w:bidi w:val="0"/>
        <w:rPr>
          <w:rFonts w:hint="default"/>
          <w:lang w:val="en-US" w:eastAsia="zh-CN"/>
        </w:rPr>
      </w:pPr>
      <w:r>
        <w:rPr>
          <w:rFonts w:hint="eastAsia"/>
          <w:lang w:val="en-US" w:eastAsia="zh-CN"/>
        </w:rPr>
        <w:t>百顺镇</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B9371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E38957C">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744845" cy="7995285"/>
                  <wp:effectExtent l="0" t="0" r="8255" b="5715"/>
                  <wp:docPr id="77" name="图片 77" descr="南雄年鉴 2014_0024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南雄年鉴 2014_0024 副本"/>
                          <pic:cNvPicPr>
                            <a:picLocks noChangeAspect="1"/>
                          </pic:cNvPicPr>
                        </pic:nvPicPr>
                        <pic:blipFill>
                          <a:blip r:embed="rId58"/>
                          <a:stretch>
                            <a:fillRect/>
                          </a:stretch>
                        </pic:blipFill>
                        <pic:spPr>
                          <a:xfrm>
                            <a:off x="0" y="0"/>
                            <a:ext cx="5744845" cy="7995285"/>
                          </a:xfrm>
                          <a:prstGeom prst="rect">
                            <a:avLst/>
                          </a:prstGeom>
                        </pic:spPr>
                      </pic:pic>
                    </a:graphicData>
                  </a:graphic>
                </wp:inline>
              </w:drawing>
            </w:r>
          </w:p>
        </w:tc>
      </w:tr>
    </w:tbl>
    <w:p w14:paraId="230A51DE">
      <w:pPr>
        <w:rPr>
          <w:rFonts w:hint="eastAsia"/>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690FD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7A10854">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910580" cy="8226425"/>
                  <wp:effectExtent l="0" t="0" r="13970" b="3175"/>
                  <wp:docPr id="78" name="图片 78" descr="南雄年鉴 2014_0025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南雄年鉴 2014_0025 副本"/>
                          <pic:cNvPicPr>
                            <a:picLocks noChangeAspect="1"/>
                          </pic:cNvPicPr>
                        </pic:nvPicPr>
                        <pic:blipFill>
                          <a:blip r:embed="rId59"/>
                          <a:stretch>
                            <a:fillRect/>
                          </a:stretch>
                        </pic:blipFill>
                        <pic:spPr>
                          <a:xfrm>
                            <a:off x="0" y="0"/>
                            <a:ext cx="5910580" cy="8226425"/>
                          </a:xfrm>
                          <a:prstGeom prst="rect">
                            <a:avLst/>
                          </a:prstGeom>
                        </pic:spPr>
                      </pic:pic>
                    </a:graphicData>
                  </a:graphic>
                </wp:inline>
              </w:drawing>
            </w:r>
          </w:p>
        </w:tc>
      </w:tr>
    </w:tbl>
    <w:p w14:paraId="475BB5A8">
      <w:pPr>
        <w:pStyle w:val="3"/>
        <w:bidi w:val="0"/>
        <w:rPr>
          <w:rFonts w:hint="default"/>
          <w:lang w:val="en-US" w:eastAsia="zh-CN"/>
        </w:rPr>
      </w:pPr>
      <w:r>
        <w:rPr>
          <w:rFonts w:hint="eastAsia"/>
          <w:lang w:val="en-US" w:eastAsia="zh-CN"/>
        </w:rPr>
        <w:t>乌迳镇</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4C896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0330EDE">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753735" cy="8008620"/>
                  <wp:effectExtent l="0" t="0" r="18415" b="11430"/>
                  <wp:docPr id="79" name="图片 79" descr="南雄年鉴 2014_0026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南雄年鉴 2014_0026 副本"/>
                          <pic:cNvPicPr>
                            <a:picLocks noChangeAspect="1"/>
                          </pic:cNvPicPr>
                        </pic:nvPicPr>
                        <pic:blipFill>
                          <a:blip r:embed="rId60"/>
                          <a:stretch>
                            <a:fillRect/>
                          </a:stretch>
                        </pic:blipFill>
                        <pic:spPr>
                          <a:xfrm>
                            <a:off x="0" y="0"/>
                            <a:ext cx="5753735" cy="8008620"/>
                          </a:xfrm>
                          <a:prstGeom prst="rect">
                            <a:avLst/>
                          </a:prstGeom>
                        </pic:spPr>
                      </pic:pic>
                    </a:graphicData>
                  </a:graphic>
                </wp:inline>
              </w:drawing>
            </w:r>
          </w:p>
        </w:tc>
      </w:tr>
    </w:tbl>
    <w:p w14:paraId="6852CE48">
      <w:pPr>
        <w:rPr>
          <w:rFonts w:hint="eastAsia"/>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98EB6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79E0892">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910580" cy="8226425"/>
                  <wp:effectExtent l="0" t="0" r="13970" b="3175"/>
                  <wp:docPr id="80" name="图片 80" descr="南雄年鉴 2014_0027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南雄年鉴 2014_0027 副本"/>
                          <pic:cNvPicPr>
                            <a:picLocks noChangeAspect="1"/>
                          </pic:cNvPicPr>
                        </pic:nvPicPr>
                        <pic:blipFill>
                          <a:blip r:embed="rId61"/>
                          <a:stretch>
                            <a:fillRect/>
                          </a:stretch>
                        </pic:blipFill>
                        <pic:spPr>
                          <a:xfrm>
                            <a:off x="0" y="0"/>
                            <a:ext cx="5910580" cy="8226425"/>
                          </a:xfrm>
                          <a:prstGeom prst="rect">
                            <a:avLst/>
                          </a:prstGeom>
                        </pic:spPr>
                      </pic:pic>
                    </a:graphicData>
                  </a:graphic>
                </wp:inline>
              </w:drawing>
            </w:r>
          </w:p>
        </w:tc>
      </w:tr>
    </w:tbl>
    <w:p w14:paraId="53C97493">
      <w:pPr>
        <w:pStyle w:val="3"/>
        <w:bidi w:val="0"/>
        <w:rPr>
          <w:rFonts w:hint="eastAsia"/>
        </w:rPr>
      </w:pPr>
      <w:r>
        <w:rPr>
          <w:rFonts w:hint="eastAsia"/>
        </w:rPr>
        <w:t>广东电网韶</w:t>
      </w:r>
      <w:r>
        <w:rPr>
          <w:rFonts w:hint="eastAsia"/>
          <w:lang w:val="en-US" w:eastAsia="zh-CN"/>
        </w:rPr>
        <w:t>关</w:t>
      </w:r>
      <w:r>
        <w:rPr>
          <w:rFonts w:hint="eastAsia"/>
        </w:rPr>
        <w:t>南</w:t>
      </w:r>
      <w:r>
        <w:rPr>
          <w:rFonts w:hint="eastAsia"/>
          <w:lang w:val="en-US" w:eastAsia="zh-CN"/>
        </w:rPr>
        <w:t>雄</w:t>
      </w:r>
      <w:r>
        <w:rPr>
          <w:rFonts w:hint="eastAsia"/>
        </w:rPr>
        <w:t>供电局</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F5F16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CFF46CC">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793105" cy="8062595"/>
                  <wp:effectExtent l="0" t="0" r="17145" b="14605"/>
                  <wp:docPr id="81" name="图片 81" descr="南雄年鉴 2014_0028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南雄年鉴 2014_0028 副本"/>
                          <pic:cNvPicPr>
                            <a:picLocks noChangeAspect="1"/>
                          </pic:cNvPicPr>
                        </pic:nvPicPr>
                        <pic:blipFill>
                          <a:blip r:embed="rId62"/>
                          <a:stretch>
                            <a:fillRect/>
                          </a:stretch>
                        </pic:blipFill>
                        <pic:spPr>
                          <a:xfrm>
                            <a:off x="0" y="0"/>
                            <a:ext cx="5793105" cy="8062595"/>
                          </a:xfrm>
                          <a:prstGeom prst="rect">
                            <a:avLst/>
                          </a:prstGeom>
                        </pic:spPr>
                      </pic:pic>
                    </a:graphicData>
                  </a:graphic>
                </wp:inline>
              </w:drawing>
            </w:r>
          </w:p>
        </w:tc>
      </w:tr>
    </w:tbl>
    <w:p w14:paraId="24AD1C5A">
      <w:pPr>
        <w:rPr>
          <w:rFonts w:hint="eastAsia"/>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8E89C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B243CD1">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930265" cy="8253730"/>
                  <wp:effectExtent l="0" t="0" r="13335" b="13970"/>
                  <wp:docPr id="82" name="图片 82" descr="南雄年鉴 2014_0029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南雄年鉴 2014_0029 副本"/>
                          <pic:cNvPicPr>
                            <a:picLocks noChangeAspect="1"/>
                          </pic:cNvPicPr>
                        </pic:nvPicPr>
                        <pic:blipFill>
                          <a:blip r:embed="rId63"/>
                          <a:stretch>
                            <a:fillRect/>
                          </a:stretch>
                        </pic:blipFill>
                        <pic:spPr>
                          <a:xfrm>
                            <a:off x="0" y="0"/>
                            <a:ext cx="5930265" cy="8253730"/>
                          </a:xfrm>
                          <a:prstGeom prst="rect">
                            <a:avLst/>
                          </a:prstGeom>
                        </pic:spPr>
                      </pic:pic>
                    </a:graphicData>
                  </a:graphic>
                </wp:inline>
              </w:drawing>
            </w:r>
          </w:p>
        </w:tc>
      </w:tr>
    </w:tbl>
    <w:p w14:paraId="34A5BC0C">
      <w:pPr>
        <w:pStyle w:val="3"/>
        <w:bidi w:val="0"/>
        <w:rPr>
          <w:rFonts w:hint="eastAsia"/>
        </w:rPr>
      </w:pPr>
      <w:r>
        <w:rPr>
          <w:rFonts w:hint="eastAsia"/>
        </w:rPr>
        <w:t>韶能集团广东绿洲纸模包装制品有限公司</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24AC5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D25ECE8">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641340" cy="7852410"/>
                  <wp:effectExtent l="0" t="0" r="16510" b="15240"/>
                  <wp:docPr id="83" name="图片 83" descr="南雄年鉴 2014_0030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南雄年鉴 2014_0030 副本"/>
                          <pic:cNvPicPr>
                            <a:picLocks noChangeAspect="1"/>
                          </pic:cNvPicPr>
                        </pic:nvPicPr>
                        <pic:blipFill>
                          <a:blip r:embed="rId64"/>
                          <a:stretch>
                            <a:fillRect/>
                          </a:stretch>
                        </pic:blipFill>
                        <pic:spPr>
                          <a:xfrm>
                            <a:off x="0" y="0"/>
                            <a:ext cx="5641340" cy="7852410"/>
                          </a:xfrm>
                          <a:prstGeom prst="rect">
                            <a:avLst/>
                          </a:prstGeom>
                        </pic:spPr>
                      </pic:pic>
                    </a:graphicData>
                  </a:graphic>
                </wp:inline>
              </w:drawing>
            </w:r>
          </w:p>
        </w:tc>
      </w:tr>
    </w:tbl>
    <w:p w14:paraId="1E01C716">
      <w:pPr>
        <w:rPr>
          <w:rFonts w:hint="eastAsia"/>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6006C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5D93477">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79820" cy="8600440"/>
                  <wp:effectExtent l="0" t="0" r="11430" b="10160"/>
                  <wp:docPr id="84" name="图片 84" descr="南雄年鉴 2014_0031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南雄年鉴 2014_0031 副本"/>
                          <pic:cNvPicPr>
                            <a:picLocks noChangeAspect="1"/>
                          </pic:cNvPicPr>
                        </pic:nvPicPr>
                        <pic:blipFill>
                          <a:blip r:embed="rId65"/>
                          <a:stretch>
                            <a:fillRect/>
                          </a:stretch>
                        </pic:blipFill>
                        <pic:spPr>
                          <a:xfrm>
                            <a:off x="0" y="0"/>
                            <a:ext cx="6179820" cy="8600440"/>
                          </a:xfrm>
                          <a:prstGeom prst="rect">
                            <a:avLst/>
                          </a:prstGeom>
                        </pic:spPr>
                      </pic:pic>
                    </a:graphicData>
                  </a:graphic>
                </wp:inline>
              </w:drawing>
            </w:r>
          </w:p>
        </w:tc>
      </w:tr>
    </w:tbl>
    <w:p w14:paraId="1BB82DFB">
      <w:pPr>
        <w:pStyle w:val="3"/>
        <w:bidi w:val="0"/>
        <w:rPr>
          <w:rFonts w:hint="default"/>
          <w:lang w:val="en-US" w:eastAsia="zh-CN"/>
        </w:rPr>
      </w:pPr>
      <w:r>
        <w:rPr>
          <w:rFonts w:hint="eastAsia"/>
          <w:lang w:val="en-US" w:eastAsia="zh-CN"/>
        </w:rPr>
        <w:t>南雄市华溢投资有限公司</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818B3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7026C16">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660390" cy="7879080"/>
                  <wp:effectExtent l="0" t="0" r="16510" b="7620"/>
                  <wp:docPr id="85" name="图片 85" descr="南雄年鉴 2014_0032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南雄年鉴 2014_0032 副本"/>
                          <pic:cNvPicPr>
                            <a:picLocks noChangeAspect="1"/>
                          </pic:cNvPicPr>
                        </pic:nvPicPr>
                        <pic:blipFill>
                          <a:blip r:embed="rId66"/>
                          <a:stretch>
                            <a:fillRect/>
                          </a:stretch>
                        </pic:blipFill>
                        <pic:spPr>
                          <a:xfrm>
                            <a:off x="0" y="0"/>
                            <a:ext cx="5660390" cy="7879080"/>
                          </a:xfrm>
                          <a:prstGeom prst="rect">
                            <a:avLst/>
                          </a:prstGeom>
                        </pic:spPr>
                      </pic:pic>
                    </a:graphicData>
                  </a:graphic>
                </wp:inline>
              </w:drawing>
            </w:r>
          </w:p>
        </w:tc>
      </w:tr>
    </w:tbl>
    <w:p w14:paraId="6073D6AA">
      <w:pPr>
        <w:pStyle w:val="3"/>
        <w:bidi w:val="0"/>
        <w:rPr>
          <w:rFonts w:hint="default"/>
          <w:lang w:val="en-US" w:eastAsia="zh-CN"/>
        </w:rPr>
      </w:pPr>
      <w:r>
        <w:rPr>
          <w:rFonts w:hint="eastAsia"/>
          <w:lang w:val="en-US" w:eastAsia="zh-CN"/>
        </w:rPr>
        <w:t>南雄市人民法院</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5E3D9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C976BBB">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729605" cy="7974330"/>
                  <wp:effectExtent l="0" t="0" r="4445" b="7620"/>
                  <wp:docPr id="86" name="图片 86" descr="南雄年鉴 2014_0033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南雄年鉴 2014_0033 副本"/>
                          <pic:cNvPicPr>
                            <a:picLocks noChangeAspect="1"/>
                          </pic:cNvPicPr>
                        </pic:nvPicPr>
                        <pic:blipFill>
                          <a:blip r:embed="rId67"/>
                          <a:stretch>
                            <a:fillRect/>
                          </a:stretch>
                        </pic:blipFill>
                        <pic:spPr>
                          <a:xfrm>
                            <a:off x="0" y="0"/>
                            <a:ext cx="5729605" cy="7974330"/>
                          </a:xfrm>
                          <a:prstGeom prst="rect">
                            <a:avLst/>
                          </a:prstGeom>
                        </pic:spPr>
                      </pic:pic>
                    </a:graphicData>
                  </a:graphic>
                </wp:inline>
              </w:drawing>
            </w:r>
          </w:p>
        </w:tc>
      </w:tr>
    </w:tbl>
    <w:p w14:paraId="06372924">
      <w:pPr>
        <w:pStyle w:val="3"/>
        <w:bidi w:val="0"/>
        <w:rPr>
          <w:rFonts w:hint="default"/>
          <w:lang w:val="en-US" w:eastAsia="zh-CN"/>
        </w:rPr>
      </w:pPr>
      <w:r>
        <w:rPr>
          <w:rFonts w:hint="eastAsia"/>
          <w:lang w:val="en-US" w:eastAsia="zh-CN"/>
        </w:rPr>
        <w:t>珠玑镇</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30D4B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0844917">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827395" cy="8110855"/>
                  <wp:effectExtent l="0" t="0" r="1905" b="4445"/>
                  <wp:docPr id="87" name="图片 87" descr="南雄年鉴 2014_0034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南雄年鉴 2014_0034 副本"/>
                          <pic:cNvPicPr>
                            <a:picLocks noChangeAspect="1"/>
                          </pic:cNvPicPr>
                        </pic:nvPicPr>
                        <pic:blipFill>
                          <a:blip r:embed="rId68"/>
                          <a:stretch>
                            <a:fillRect/>
                          </a:stretch>
                        </pic:blipFill>
                        <pic:spPr>
                          <a:xfrm>
                            <a:off x="0" y="0"/>
                            <a:ext cx="5827395" cy="8110855"/>
                          </a:xfrm>
                          <a:prstGeom prst="rect">
                            <a:avLst/>
                          </a:prstGeom>
                        </pic:spPr>
                      </pic:pic>
                    </a:graphicData>
                  </a:graphic>
                </wp:inline>
              </w:drawing>
            </w:r>
          </w:p>
        </w:tc>
      </w:tr>
    </w:tbl>
    <w:p w14:paraId="0577E076">
      <w:pPr>
        <w:rPr>
          <w:rFonts w:hint="eastAsia"/>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C6BBC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1AEF329">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876290" cy="8178165"/>
                  <wp:effectExtent l="0" t="0" r="10160" b="13335"/>
                  <wp:docPr id="88" name="图片 88" descr="南雄年鉴 2014_0035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南雄年鉴 2014_0035 副本"/>
                          <pic:cNvPicPr>
                            <a:picLocks noChangeAspect="1"/>
                          </pic:cNvPicPr>
                        </pic:nvPicPr>
                        <pic:blipFill>
                          <a:blip r:embed="rId69"/>
                          <a:stretch>
                            <a:fillRect/>
                          </a:stretch>
                        </pic:blipFill>
                        <pic:spPr>
                          <a:xfrm>
                            <a:off x="0" y="0"/>
                            <a:ext cx="5876290" cy="8178165"/>
                          </a:xfrm>
                          <a:prstGeom prst="rect">
                            <a:avLst/>
                          </a:prstGeom>
                        </pic:spPr>
                      </pic:pic>
                    </a:graphicData>
                  </a:graphic>
                </wp:inline>
              </w:drawing>
            </w:r>
          </w:p>
        </w:tc>
      </w:tr>
    </w:tbl>
    <w:p w14:paraId="552D0312">
      <w:pPr>
        <w:pStyle w:val="3"/>
        <w:bidi w:val="0"/>
        <w:rPr>
          <w:rFonts w:hint="default"/>
          <w:lang w:val="en-US" w:eastAsia="zh-CN"/>
        </w:rPr>
      </w:pPr>
      <w:r>
        <w:rPr>
          <w:rFonts w:hint="eastAsia"/>
          <w:lang w:val="en-US" w:eastAsia="zh-CN"/>
        </w:rPr>
        <w:t>坪田镇</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F53B3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14545FC">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817870" cy="8097520"/>
                  <wp:effectExtent l="0" t="0" r="11430" b="17780"/>
                  <wp:docPr id="89" name="图片 89" descr="南雄年鉴 2014_0036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南雄年鉴 2014_0036 副本"/>
                          <pic:cNvPicPr>
                            <a:picLocks noChangeAspect="1"/>
                          </pic:cNvPicPr>
                        </pic:nvPicPr>
                        <pic:blipFill>
                          <a:blip r:embed="rId70"/>
                          <a:stretch>
                            <a:fillRect/>
                          </a:stretch>
                        </pic:blipFill>
                        <pic:spPr>
                          <a:xfrm>
                            <a:off x="0" y="0"/>
                            <a:ext cx="5817870" cy="8097520"/>
                          </a:xfrm>
                          <a:prstGeom prst="rect">
                            <a:avLst/>
                          </a:prstGeom>
                        </pic:spPr>
                      </pic:pic>
                    </a:graphicData>
                  </a:graphic>
                </wp:inline>
              </w:drawing>
            </w:r>
          </w:p>
        </w:tc>
      </w:tr>
    </w:tbl>
    <w:p w14:paraId="1D0CC56E">
      <w:pPr>
        <w:rPr>
          <w:rFonts w:hint="eastAsia"/>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2B63E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09B99F9">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018530" cy="8376920"/>
                  <wp:effectExtent l="0" t="0" r="1270" b="5080"/>
                  <wp:docPr id="90" name="图片 90" descr="南雄年鉴 2014_0037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南雄年鉴 2014_0037 副本"/>
                          <pic:cNvPicPr>
                            <a:picLocks noChangeAspect="1"/>
                          </pic:cNvPicPr>
                        </pic:nvPicPr>
                        <pic:blipFill>
                          <a:blip r:embed="rId71"/>
                          <a:stretch>
                            <a:fillRect/>
                          </a:stretch>
                        </pic:blipFill>
                        <pic:spPr>
                          <a:xfrm>
                            <a:off x="0" y="0"/>
                            <a:ext cx="6018530" cy="8376920"/>
                          </a:xfrm>
                          <a:prstGeom prst="rect">
                            <a:avLst/>
                          </a:prstGeom>
                        </pic:spPr>
                      </pic:pic>
                    </a:graphicData>
                  </a:graphic>
                </wp:inline>
              </w:drawing>
            </w:r>
          </w:p>
        </w:tc>
      </w:tr>
    </w:tbl>
    <w:p w14:paraId="3684C188">
      <w:pPr>
        <w:pStyle w:val="3"/>
        <w:bidi w:val="0"/>
        <w:rPr>
          <w:rFonts w:hint="eastAsia"/>
        </w:rPr>
      </w:pPr>
      <w:r>
        <w:rPr>
          <w:rFonts w:hint="eastAsia"/>
        </w:rPr>
        <w:t>黄坑镇</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85F4F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11D71C9">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817870" cy="8097520"/>
                  <wp:effectExtent l="0" t="0" r="11430" b="17780"/>
                  <wp:docPr id="91" name="图片 91" descr="南雄年鉴 2014_0038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南雄年鉴 2014_0038 副本"/>
                          <pic:cNvPicPr>
                            <a:picLocks noChangeAspect="1"/>
                          </pic:cNvPicPr>
                        </pic:nvPicPr>
                        <pic:blipFill>
                          <a:blip r:embed="rId72"/>
                          <a:stretch>
                            <a:fillRect/>
                          </a:stretch>
                        </pic:blipFill>
                        <pic:spPr>
                          <a:xfrm>
                            <a:off x="0" y="0"/>
                            <a:ext cx="5817870" cy="8097520"/>
                          </a:xfrm>
                          <a:prstGeom prst="rect">
                            <a:avLst/>
                          </a:prstGeom>
                        </pic:spPr>
                      </pic:pic>
                    </a:graphicData>
                  </a:graphic>
                </wp:inline>
              </w:drawing>
            </w:r>
          </w:p>
        </w:tc>
      </w:tr>
    </w:tbl>
    <w:p w14:paraId="4C8945F1">
      <w:pPr>
        <w:rPr>
          <w:rFonts w:hint="eastAsia"/>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1D14B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581433A8">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954395" cy="8287385"/>
                  <wp:effectExtent l="0" t="0" r="8255" b="18415"/>
                  <wp:docPr id="92" name="图片 92" descr="南雄年鉴 2014_0039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南雄年鉴 2014_0039 副本"/>
                          <pic:cNvPicPr>
                            <a:picLocks noChangeAspect="1"/>
                          </pic:cNvPicPr>
                        </pic:nvPicPr>
                        <pic:blipFill>
                          <a:blip r:embed="rId73"/>
                          <a:stretch>
                            <a:fillRect/>
                          </a:stretch>
                        </pic:blipFill>
                        <pic:spPr>
                          <a:xfrm>
                            <a:off x="0" y="0"/>
                            <a:ext cx="5954395" cy="8287385"/>
                          </a:xfrm>
                          <a:prstGeom prst="rect">
                            <a:avLst/>
                          </a:prstGeom>
                        </pic:spPr>
                      </pic:pic>
                    </a:graphicData>
                  </a:graphic>
                </wp:inline>
              </w:drawing>
            </w:r>
          </w:p>
        </w:tc>
      </w:tr>
    </w:tbl>
    <w:p w14:paraId="55C30B4D">
      <w:pPr>
        <w:pStyle w:val="3"/>
        <w:bidi w:val="0"/>
        <w:rPr>
          <w:rFonts w:hint="eastAsia"/>
        </w:rPr>
      </w:pPr>
      <w:r>
        <w:rPr>
          <w:rFonts w:hint="eastAsia"/>
        </w:rPr>
        <w:t>全安镇</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02077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786236B8">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661660" cy="7880350"/>
                  <wp:effectExtent l="0" t="0" r="15240" b="6350"/>
                  <wp:docPr id="93" name="图片 93" descr="南雄年鉴 2014_0040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南雄年鉴 2014_0040 副本"/>
                          <pic:cNvPicPr>
                            <a:picLocks noChangeAspect="1"/>
                          </pic:cNvPicPr>
                        </pic:nvPicPr>
                        <pic:blipFill>
                          <a:blip r:embed="rId74"/>
                          <a:stretch>
                            <a:fillRect/>
                          </a:stretch>
                        </pic:blipFill>
                        <pic:spPr>
                          <a:xfrm>
                            <a:off x="0" y="0"/>
                            <a:ext cx="5661660" cy="7880350"/>
                          </a:xfrm>
                          <a:prstGeom prst="rect">
                            <a:avLst/>
                          </a:prstGeom>
                        </pic:spPr>
                      </pic:pic>
                    </a:graphicData>
                  </a:graphic>
                </wp:inline>
              </w:drawing>
            </w:r>
          </w:p>
        </w:tc>
      </w:tr>
    </w:tbl>
    <w:p w14:paraId="11EFC152">
      <w:pPr>
        <w:rPr>
          <w:rFonts w:hint="eastAsia"/>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F65EE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FCD12D7">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79820" cy="8600440"/>
                  <wp:effectExtent l="0" t="0" r="11430" b="10160"/>
                  <wp:docPr id="94" name="图片 94" descr="南雄年鉴 2014_0041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南雄年鉴 2014_0041 副本"/>
                          <pic:cNvPicPr>
                            <a:picLocks noChangeAspect="1"/>
                          </pic:cNvPicPr>
                        </pic:nvPicPr>
                        <pic:blipFill>
                          <a:blip r:embed="rId75"/>
                          <a:stretch>
                            <a:fillRect/>
                          </a:stretch>
                        </pic:blipFill>
                        <pic:spPr>
                          <a:xfrm>
                            <a:off x="0" y="0"/>
                            <a:ext cx="6179820" cy="8600440"/>
                          </a:xfrm>
                          <a:prstGeom prst="rect">
                            <a:avLst/>
                          </a:prstGeom>
                        </pic:spPr>
                      </pic:pic>
                    </a:graphicData>
                  </a:graphic>
                </wp:inline>
              </w:drawing>
            </w:r>
          </w:p>
        </w:tc>
      </w:tr>
    </w:tbl>
    <w:p w14:paraId="122976BE">
      <w:pPr>
        <w:pStyle w:val="3"/>
        <w:bidi w:val="0"/>
        <w:rPr>
          <w:rFonts w:hint="eastAsia"/>
        </w:rPr>
      </w:pPr>
      <w:r>
        <w:rPr>
          <w:rFonts w:hint="eastAsia"/>
        </w:rPr>
        <w:t>南亩镇</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47E851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06AFAA7">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744210" cy="7995285"/>
                  <wp:effectExtent l="0" t="0" r="8890" b="5715"/>
                  <wp:docPr id="95" name="图片 95" descr="南雄年鉴 2014_0042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南雄年鉴 2014_0042 副本"/>
                          <pic:cNvPicPr>
                            <a:picLocks noChangeAspect="1"/>
                          </pic:cNvPicPr>
                        </pic:nvPicPr>
                        <pic:blipFill>
                          <a:blip r:embed="rId76"/>
                          <a:stretch>
                            <a:fillRect/>
                          </a:stretch>
                        </pic:blipFill>
                        <pic:spPr>
                          <a:xfrm>
                            <a:off x="0" y="0"/>
                            <a:ext cx="5744210" cy="7995285"/>
                          </a:xfrm>
                          <a:prstGeom prst="rect">
                            <a:avLst/>
                          </a:prstGeom>
                        </pic:spPr>
                      </pic:pic>
                    </a:graphicData>
                  </a:graphic>
                </wp:inline>
              </w:drawing>
            </w:r>
          </w:p>
        </w:tc>
      </w:tr>
    </w:tbl>
    <w:p w14:paraId="522EFC6B">
      <w:pPr>
        <w:pStyle w:val="3"/>
        <w:bidi w:val="0"/>
        <w:rPr>
          <w:rFonts w:hint="eastAsia"/>
        </w:rPr>
      </w:pPr>
      <w:r>
        <w:rPr>
          <w:rFonts w:hint="eastAsia"/>
        </w:rPr>
        <w:t>界址镇</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6297C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22519156">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793105" cy="8062595"/>
                  <wp:effectExtent l="0" t="0" r="17145" b="14605"/>
                  <wp:docPr id="96" name="图片 96" descr="南雄年鉴 2014_0043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南雄年鉴 2014_0043 副本"/>
                          <pic:cNvPicPr>
                            <a:picLocks noChangeAspect="1"/>
                          </pic:cNvPicPr>
                        </pic:nvPicPr>
                        <pic:blipFill>
                          <a:blip r:embed="rId77"/>
                          <a:stretch>
                            <a:fillRect/>
                          </a:stretch>
                        </pic:blipFill>
                        <pic:spPr>
                          <a:xfrm>
                            <a:off x="0" y="0"/>
                            <a:ext cx="5793105" cy="8062595"/>
                          </a:xfrm>
                          <a:prstGeom prst="rect">
                            <a:avLst/>
                          </a:prstGeom>
                        </pic:spPr>
                      </pic:pic>
                    </a:graphicData>
                  </a:graphic>
                </wp:inline>
              </w:drawing>
            </w:r>
          </w:p>
        </w:tc>
      </w:tr>
    </w:tbl>
    <w:p w14:paraId="6E69EE45">
      <w:pPr>
        <w:pStyle w:val="3"/>
        <w:bidi w:val="0"/>
        <w:rPr>
          <w:rFonts w:hint="eastAsia"/>
        </w:rPr>
      </w:pPr>
      <w:r>
        <w:rPr>
          <w:rFonts w:hint="eastAsia"/>
        </w:rPr>
        <w:t>油山镇</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C18A2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1AB0B151">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793740" cy="8063865"/>
                  <wp:effectExtent l="0" t="0" r="16510" b="13335"/>
                  <wp:docPr id="100" name="图片 100" descr="南雄年鉴 2014_0044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南雄年鉴 2014_0044 副本"/>
                          <pic:cNvPicPr>
                            <a:picLocks noChangeAspect="1"/>
                          </pic:cNvPicPr>
                        </pic:nvPicPr>
                        <pic:blipFill>
                          <a:blip r:embed="rId78"/>
                          <a:stretch>
                            <a:fillRect/>
                          </a:stretch>
                        </pic:blipFill>
                        <pic:spPr>
                          <a:xfrm>
                            <a:off x="0" y="0"/>
                            <a:ext cx="5793740" cy="8063865"/>
                          </a:xfrm>
                          <a:prstGeom prst="rect">
                            <a:avLst/>
                          </a:prstGeom>
                        </pic:spPr>
                      </pic:pic>
                    </a:graphicData>
                  </a:graphic>
                </wp:inline>
              </w:drawing>
            </w:r>
          </w:p>
        </w:tc>
      </w:tr>
    </w:tbl>
    <w:p w14:paraId="78C4DF86">
      <w:pPr>
        <w:pStyle w:val="3"/>
        <w:bidi w:val="0"/>
        <w:rPr>
          <w:rFonts w:hint="eastAsia"/>
        </w:rPr>
      </w:pPr>
      <w:r>
        <w:rPr>
          <w:rFonts w:hint="eastAsia"/>
        </w:rPr>
        <w:t>古市镇</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AA6CC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727F6F22">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783580" cy="8049895"/>
                  <wp:effectExtent l="0" t="0" r="7620" b="8255"/>
                  <wp:docPr id="101" name="图片 101" descr="南雄年鉴 2014_0045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南雄年鉴 2014_0045 副本"/>
                          <pic:cNvPicPr>
                            <a:picLocks noChangeAspect="1"/>
                          </pic:cNvPicPr>
                        </pic:nvPicPr>
                        <pic:blipFill>
                          <a:blip r:embed="rId79"/>
                          <a:stretch>
                            <a:fillRect/>
                          </a:stretch>
                        </pic:blipFill>
                        <pic:spPr>
                          <a:xfrm>
                            <a:off x="0" y="0"/>
                            <a:ext cx="5783580" cy="8049895"/>
                          </a:xfrm>
                          <a:prstGeom prst="rect">
                            <a:avLst/>
                          </a:prstGeom>
                        </pic:spPr>
                      </pic:pic>
                    </a:graphicData>
                  </a:graphic>
                </wp:inline>
              </w:drawing>
            </w:r>
          </w:p>
        </w:tc>
      </w:tr>
    </w:tbl>
    <w:p w14:paraId="2AB6F4B0">
      <w:pPr>
        <w:pStyle w:val="3"/>
        <w:bidi w:val="0"/>
        <w:rPr>
          <w:rFonts w:hint="eastAsia"/>
        </w:rPr>
      </w:pPr>
      <w:r>
        <w:rPr>
          <w:rFonts w:hint="eastAsia"/>
        </w:rPr>
        <w:t>邓坊镇</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0194A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21EA2BE">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749925" cy="8002270"/>
                  <wp:effectExtent l="0" t="0" r="3175" b="17780"/>
                  <wp:docPr id="102" name="图片 102" descr="南雄年鉴 2014_0046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南雄年鉴 2014_0046 副本"/>
                          <pic:cNvPicPr>
                            <a:picLocks noChangeAspect="1"/>
                          </pic:cNvPicPr>
                        </pic:nvPicPr>
                        <pic:blipFill>
                          <a:blip r:embed="rId80"/>
                          <a:stretch>
                            <a:fillRect/>
                          </a:stretch>
                        </pic:blipFill>
                        <pic:spPr>
                          <a:xfrm>
                            <a:off x="0" y="0"/>
                            <a:ext cx="5749925" cy="8002270"/>
                          </a:xfrm>
                          <a:prstGeom prst="rect">
                            <a:avLst/>
                          </a:prstGeom>
                        </pic:spPr>
                      </pic:pic>
                    </a:graphicData>
                  </a:graphic>
                </wp:inline>
              </w:drawing>
            </w:r>
          </w:p>
        </w:tc>
      </w:tr>
    </w:tbl>
    <w:p w14:paraId="7B61A6D9">
      <w:pPr>
        <w:pStyle w:val="3"/>
        <w:bidi w:val="0"/>
        <w:rPr>
          <w:rFonts w:hint="eastAsia"/>
        </w:rPr>
      </w:pPr>
      <w:r>
        <w:rPr>
          <w:rFonts w:hint="eastAsia"/>
        </w:rPr>
        <w:t>江头镇</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8AF99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A57E3A1">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710555" cy="7947660"/>
                  <wp:effectExtent l="0" t="0" r="4445" b="15240"/>
                  <wp:docPr id="103" name="图片 103" descr="南雄年鉴 2014_0047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南雄年鉴 2014_0047 副本"/>
                          <pic:cNvPicPr>
                            <a:picLocks noChangeAspect="1"/>
                          </pic:cNvPicPr>
                        </pic:nvPicPr>
                        <pic:blipFill>
                          <a:blip r:embed="rId81"/>
                          <a:stretch>
                            <a:fillRect/>
                          </a:stretch>
                        </pic:blipFill>
                        <pic:spPr>
                          <a:xfrm>
                            <a:off x="0" y="0"/>
                            <a:ext cx="5710555" cy="7947660"/>
                          </a:xfrm>
                          <a:prstGeom prst="rect">
                            <a:avLst/>
                          </a:prstGeom>
                        </pic:spPr>
                      </pic:pic>
                    </a:graphicData>
                  </a:graphic>
                </wp:inline>
              </w:drawing>
            </w:r>
          </w:p>
        </w:tc>
      </w:tr>
    </w:tbl>
    <w:p w14:paraId="7B9C4785">
      <w:pPr>
        <w:pStyle w:val="3"/>
        <w:bidi w:val="0"/>
        <w:rPr>
          <w:rFonts w:hint="eastAsia"/>
        </w:rPr>
      </w:pPr>
      <w:r>
        <w:rPr>
          <w:rFonts w:hint="eastAsia"/>
        </w:rPr>
        <w:t>南雄市林业局</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01ABD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622E7984">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734685" cy="7981315"/>
                  <wp:effectExtent l="0" t="0" r="18415" b="635"/>
                  <wp:docPr id="104" name="图片 104" descr="南雄年鉴 2014_0048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南雄年鉴 2014_0048 副本"/>
                          <pic:cNvPicPr>
                            <a:picLocks noChangeAspect="1"/>
                          </pic:cNvPicPr>
                        </pic:nvPicPr>
                        <pic:blipFill>
                          <a:blip r:embed="rId82"/>
                          <a:stretch>
                            <a:fillRect/>
                          </a:stretch>
                        </pic:blipFill>
                        <pic:spPr>
                          <a:xfrm>
                            <a:off x="0" y="0"/>
                            <a:ext cx="5734685" cy="7981315"/>
                          </a:xfrm>
                          <a:prstGeom prst="rect">
                            <a:avLst/>
                          </a:prstGeom>
                        </pic:spPr>
                      </pic:pic>
                    </a:graphicData>
                  </a:graphic>
                </wp:inline>
              </w:drawing>
            </w:r>
          </w:p>
        </w:tc>
      </w:tr>
    </w:tbl>
    <w:p w14:paraId="1E87EA17">
      <w:pPr>
        <w:rPr>
          <w:rFonts w:hint="eastAsia"/>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604DA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65F4305C">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018530" cy="8376285"/>
                  <wp:effectExtent l="0" t="0" r="1270" b="5715"/>
                  <wp:docPr id="105" name="图片 105" descr="南雄年鉴 2014_0049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南雄年鉴 2014_0049 副本"/>
                          <pic:cNvPicPr>
                            <a:picLocks noChangeAspect="1"/>
                          </pic:cNvPicPr>
                        </pic:nvPicPr>
                        <pic:blipFill>
                          <a:blip r:embed="rId83"/>
                          <a:stretch>
                            <a:fillRect/>
                          </a:stretch>
                        </pic:blipFill>
                        <pic:spPr>
                          <a:xfrm>
                            <a:off x="0" y="0"/>
                            <a:ext cx="6018530" cy="8376285"/>
                          </a:xfrm>
                          <a:prstGeom prst="rect">
                            <a:avLst/>
                          </a:prstGeom>
                        </pic:spPr>
                      </pic:pic>
                    </a:graphicData>
                  </a:graphic>
                </wp:inline>
              </w:drawing>
            </w:r>
          </w:p>
        </w:tc>
      </w:tr>
    </w:tbl>
    <w:p w14:paraId="284969E6">
      <w:pPr>
        <w:pStyle w:val="3"/>
        <w:bidi w:val="0"/>
        <w:rPr>
          <w:rFonts w:hint="eastAsia"/>
        </w:rPr>
      </w:pPr>
      <w:r>
        <w:rPr>
          <w:rFonts w:hint="eastAsia"/>
        </w:rPr>
        <w:t>南雄市国家税务局</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49F65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39F8FF8">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798820" cy="8070215"/>
                  <wp:effectExtent l="0" t="0" r="11430" b="6985"/>
                  <wp:docPr id="106" name="图片 106" descr="南雄年鉴 2014_0050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南雄年鉴 2014_0050 副本"/>
                          <pic:cNvPicPr>
                            <a:picLocks noChangeAspect="1"/>
                          </pic:cNvPicPr>
                        </pic:nvPicPr>
                        <pic:blipFill>
                          <a:blip r:embed="rId84"/>
                          <a:stretch>
                            <a:fillRect/>
                          </a:stretch>
                        </pic:blipFill>
                        <pic:spPr>
                          <a:xfrm>
                            <a:off x="0" y="0"/>
                            <a:ext cx="5798820" cy="8070215"/>
                          </a:xfrm>
                          <a:prstGeom prst="rect">
                            <a:avLst/>
                          </a:prstGeom>
                        </pic:spPr>
                      </pic:pic>
                    </a:graphicData>
                  </a:graphic>
                </wp:inline>
              </w:drawing>
            </w:r>
          </w:p>
        </w:tc>
      </w:tr>
    </w:tbl>
    <w:p w14:paraId="67B9D311">
      <w:pPr>
        <w:pStyle w:val="3"/>
        <w:bidi w:val="0"/>
        <w:rPr>
          <w:rFonts w:hint="eastAsia"/>
        </w:rPr>
      </w:pPr>
      <w:r>
        <w:rPr>
          <w:rFonts w:hint="eastAsia"/>
        </w:rPr>
        <w:t>南雄市地方税务局</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10445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78007C8">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671185" cy="7893685"/>
                  <wp:effectExtent l="0" t="0" r="5715" b="12065"/>
                  <wp:docPr id="107" name="图片 107" descr="南雄年鉴 2014_0051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南雄年鉴 2014_0051 副本"/>
                          <pic:cNvPicPr>
                            <a:picLocks noChangeAspect="1"/>
                          </pic:cNvPicPr>
                        </pic:nvPicPr>
                        <pic:blipFill>
                          <a:blip r:embed="rId85"/>
                          <a:stretch>
                            <a:fillRect/>
                          </a:stretch>
                        </pic:blipFill>
                        <pic:spPr>
                          <a:xfrm>
                            <a:off x="0" y="0"/>
                            <a:ext cx="5671185" cy="7893685"/>
                          </a:xfrm>
                          <a:prstGeom prst="rect">
                            <a:avLst/>
                          </a:prstGeom>
                        </pic:spPr>
                      </pic:pic>
                    </a:graphicData>
                  </a:graphic>
                </wp:inline>
              </w:drawing>
            </w:r>
          </w:p>
        </w:tc>
      </w:tr>
    </w:tbl>
    <w:p w14:paraId="50F79E84">
      <w:pPr>
        <w:pStyle w:val="3"/>
        <w:bidi w:val="0"/>
        <w:rPr>
          <w:rFonts w:hint="eastAsia"/>
        </w:rPr>
      </w:pPr>
      <w:r>
        <w:rPr>
          <w:rFonts w:hint="eastAsia"/>
        </w:rPr>
        <w:t>南雄市工商行政管理局</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AE556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8E9EBA4">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597525" cy="7790815"/>
                  <wp:effectExtent l="0" t="0" r="3175" b="635"/>
                  <wp:docPr id="108" name="图片 108" descr="南雄年鉴 2014_0052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南雄年鉴 2014_0052 副本"/>
                          <pic:cNvPicPr>
                            <a:picLocks noChangeAspect="1"/>
                          </pic:cNvPicPr>
                        </pic:nvPicPr>
                        <pic:blipFill>
                          <a:blip r:embed="rId86"/>
                          <a:stretch>
                            <a:fillRect/>
                          </a:stretch>
                        </pic:blipFill>
                        <pic:spPr>
                          <a:xfrm>
                            <a:off x="0" y="0"/>
                            <a:ext cx="5597525" cy="7790815"/>
                          </a:xfrm>
                          <a:prstGeom prst="rect">
                            <a:avLst/>
                          </a:prstGeom>
                        </pic:spPr>
                      </pic:pic>
                    </a:graphicData>
                  </a:graphic>
                </wp:inline>
              </w:drawing>
            </w:r>
          </w:p>
        </w:tc>
      </w:tr>
    </w:tbl>
    <w:p w14:paraId="4A117E46">
      <w:pPr>
        <w:pStyle w:val="3"/>
        <w:bidi w:val="0"/>
        <w:rPr>
          <w:rFonts w:hint="eastAsia"/>
        </w:rPr>
      </w:pPr>
      <w:r>
        <w:rPr>
          <w:rFonts w:hint="eastAsia"/>
        </w:rPr>
        <w:t>南雄市国土资源局</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F3F46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FA23502">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744210" cy="7994650"/>
                  <wp:effectExtent l="0" t="0" r="8890" b="6350"/>
                  <wp:docPr id="109" name="图片 109" descr="南雄年鉴 2014_0053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南雄年鉴 2014_0053 副本"/>
                          <pic:cNvPicPr>
                            <a:picLocks noChangeAspect="1"/>
                          </pic:cNvPicPr>
                        </pic:nvPicPr>
                        <pic:blipFill>
                          <a:blip r:embed="rId87"/>
                          <a:stretch>
                            <a:fillRect/>
                          </a:stretch>
                        </pic:blipFill>
                        <pic:spPr>
                          <a:xfrm>
                            <a:off x="0" y="0"/>
                            <a:ext cx="5744210" cy="7994650"/>
                          </a:xfrm>
                          <a:prstGeom prst="rect">
                            <a:avLst/>
                          </a:prstGeom>
                        </pic:spPr>
                      </pic:pic>
                    </a:graphicData>
                  </a:graphic>
                </wp:inline>
              </w:drawing>
            </w:r>
          </w:p>
        </w:tc>
      </w:tr>
    </w:tbl>
    <w:p w14:paraId="45A265C9">
      <w:pPr>
        <w:pStyle w:val="3"/>
        <w:bidi w:val="0"/>
        <w:rPr>
          <w:rFonts w:hint="eastAsia"/>
        </w:rPr>
      </w:pPr>
      <w:r>
        <w:rPr>
          <w:rFonts w:hint="eastAsia"/>
        </w:rPr>
        <w:t>南雄市卫生和计划生育局</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C6757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8B4FE02">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676265" cy="7900035"/>
                  <wp:effectExtent l="0" t="0" r="635" b="5715"/>
                  <wp:docPr id="110" name="图片 110" descr="南雄年鉴 2014_0054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南雄年鉴 2014_0054 副本"/>
                          <pic:cNvPicPr>
                            <a:picLocks noChangeAspect="1"/>
                          </pic:cNvPicPr>
                        </pic:nvPicPr>
                        <pic:blipFill>
                          <a:blip r:embed="rId88"/>
                          <a:stretch>
                            <a:fillRect/>
                          </a:stretch>
                        </pic:blipFill>
                        <pic:spPr>
                          <a:xfrm>
                            <a:off x="0" y="0"/>
                            <a:ext cx="5676265" cy="7900035"/>
                          </a:xfrm>
                          <a:prstGeom prst="rect">
                            <a:avLst/>
                          </a:prstGeom>
                        </pic:spPr>
                      </pic:pic>
                    </a:graphicData>
                  </a:graphic>
                </wp:inline>
              </w:drawing>
            </w:r>
          </w:p>
        </w:tc>
      </w:tr>
    </w:tbl>
    <w:p w14:paraId="3D61CB55">
      <w:pPr>
        <w:pStyle w:val="3"/>
        <w:bidi w:val="0"/>
        <w:rPr>
          <w:rFonts w:hint="eastAsia"/>
        </w:rPr>
      </w:pPr>
      <w:r>
        <w:rPr>
          <w:rFonts w:hint="eastAsia"/>
        </w:rPr>
        <w:t>南雄市交通运输局</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89C3A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2312995E">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768975" cy="8028940"/>
                  <wp:effectExtent l="0" t="0" r="3175" b="10160"/>
                  <wp:docPr id="111" name="图片 111" descr="南雄年鉴 2014_0055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南雄年鉴 2014_0055 副本"/>
                          <pic:cNvPicPr>
                            <a:picLocks noChangeAspect="1"/>
                          </pic:cNvPicPr>
                        </pic:nvPicPr>
                        <pic:blipFill>
                          <a:blip r:embed="rId89"/>
                          <a:stretch>
                            <a:fillRect/>
                          </a:stretch>
                        </pic:blipFill>
                        <pic:spPr>
                          <a:xfrm>
                            <a:off x="0" y="0"/>
                            <a:ext cx="5768975" cy="8028940"/>
                          </a:xfrm>
                          <a:prstGeom prst="rect">
                            <a:avLst/>
                          </a:prstGeom>
                        </pic:spPr>
                      </pic:pic>
                    </a:graphicData>
                  </a:graphic>
                </wp:inline>
              </w:drawing>
            </w:r>
          </w:p>
        </w:tc>
      </w:tr>
    </w:tbl>
    <w:p w14:paraId="2D8AA438">
      <w:pPr>
        <w:pStyle w:val="3"/>
        <w:bidi w:val="0"/>
        <w:rPr>
          <w:rFonts w:hint="eastAsia"/>
        </w:rPr>
      </w:pPr>
      <w:r>
        <w:rPr>
          <w:rFonts w:hint="eastAsia"/>
        </w:rPr>
        <w:t>南雄市统计局</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8AF0F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3EE3211">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622290" cy="7825105"/>
                  <wp:effectExtent l="0" t="0" r="16510" b="4445"/>
                  <wp:docPr id="112" name="图片 112" descr="南雄年鉴 2014_0056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南雄年鉴 2014_0056 副本"/>
                          <pic:cNvPicPr>
                            <a:picLocks noChangeAspect="1"/>
                          </pic:cNvPicPr>
                        </pic:nvPicPr>
                        <pic:blipFill>
                          <a:blip r:embed="rId90"/>
                          <a:stretch>
                            <a:fillRect/>
                          </a:stretch>
                        </pic:blipFill>
                        <pic:spPr>
                          <a:xfrm>
                            <a:off x="0" y="0"/>
                            <a:ext cx="5622290" cy="7825105"/>
                          </a:xfrm>
                          <a:prstGeom prst="rect">
                            <a:avLst/>
                          </a:prstGeom>
                        </pic:spPr>
                      </pic:pic>
                    </a:graphicData>
                  </a:graphic>
                </wp:inline>
              </w:drawing>
            </w:r>
          </w:p>
        </w:tc>
      </w:tr>
    </w:tbl>
    <w:p w14:paraId="53A497B3">
      <w:pPr>
        <w:pStyle w:val="3"/>
        <w:bidi w:val="0"/>
        <w:rPr>
          <w:rFonts w:hint="default"/>
          <w:lang w:val="en-US" w:eastAsia="zh-CN"/>
        </w:rPr>
      </w:pPr>
      <w:r>
        <w:rPr>
          <w:rFonts w:hint="eastAsia"/>
          <w:lang w:val="en-US" w:eastAsia="zh-CN"/>
        </w:rPr>
        <w:t>南雄市民政局</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8347B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BF5CEB7">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828030" cy="8110855"/>
                  <wp:effectExtent l="0" t="0" r="1270" b="4445"/>
                  <wp:docPr id="113" name="图片 113" descr="南雄年鉴 2014_0057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南雄年鉴 2014_0057 副本"/>
                          <pic:cNvPicPr>
                            <a:picLocks noChangeAspect="1"/>
                          </pic:cNvPicPr>
                        </pic:nvPicPr>
                        <pic:blipFill>
                          <a:blip r:embed="rId91"/>
                          <a:stretch>
                            <a:fillRect/>
                          </a:stretch>
                        </pic:blipFill>
                        <pic:spPr>
                          <a:xfrm>
                            <a:off x="0" y="0"/>
                            <a:ext cx="5828030" cy="8110855"/>
                          </a:xfrm>
                          <a:prstGeom prst="rect">
                            <a:avLst/>
                          </a:prstGeom>
                        </pic:spPr>
                      </pic:pic>
                    </a:graphicData>
                  </a:graphic>
                </wp:inline>
              </w:drawing>
            </w:r>
          </w:p>
        </w:tc>
      </w:tr>
    </w:tbl>
    <w:p w14:paraId="1849439D">
      <w:pPr>
        <w:pStyle w:val="3"/>
        <w:bidi w:val="0"/>
        <w:rPr>
          <w:rFonts w:hint="eastAsia"/>
        </w:rPr>
      </w:pPr>
      <w:r>
        <w:rPr>
          <w:rFonts w:hint="eastAsia"/>
        </w:rPr>
        <w:t>南雄市水务局</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6F9B9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0455734">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666105" cy="7886065"/>
                  <wp:effectExtent l="0" t="0" r="10795" b="635"/>
                  <wp:docPr id="114" name="图片 114" descr="南雄年鉴 2014_0058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南雄年鉴 2014_0058 副本"/>
                          <pic:cNvPicPr>
                            <a:picLocks noChangeAspect="1"/>
                          </pic:cNvPicPr>
                        </pic:nvPicPr>
                        <pic:blipFill>
                          <a:blip r:embed="rId92"/>
                          <a:stretch>
                            <a:fillRect/>
                          </a:stretch>
                        </pic:blipFill>
                        <pic:spPr>
                          <a:xfrm>
                            <a:off x="0" y="0"/>
                            <a:ext cx="5666105" cy="7886065"/>
                          </a:xfrm>
                          <a:prstGeom prst="rect">
                            <a:avLst/>
                          </a:prstGeom>
                        </pic:spPr>
                      </pic:pic>
                    </a:graphicData>
                  </a:graphic>
                </wp:inline>
              </w:drawing>
            </w:r>
          </w:p>
        </w:tc>
      </w:tr>
    </w:tbl>
    <w:p w14:paraId="487AC39E">
      <w:pPr>
        <w:pStyle w:val="3"/>
        <w:bidi w:val="0"/>
        <w:rPr>
          <w:rFonts w:hint="eastAsia"/>
        </w:rPr>
      </w:pPr>
      <w:r>
        <w:rPr>
          <w:rFonts w:hint="eastAsia"/>
        </w:rPr>
        <w:t>南雄市供销合作</w:t>
      </w:r>
      <w:r>
        <w:rPr>
          <w:rFonts w:hint="eastAsia"/>
          <w:lang w:val="en-US" w:eastAsia="zh-CN"/>
        </w:rPr>
        <w:t>社</w:t>
      </w:r>
      <w:r>
        <w:rPr>
          <w:rFonts w:hint="eastAsia"/>
        </w:rPr>
        <w:t>联</w:t>
      </w:r>
      <w:r>
        <w:rPr>
          <w:rFonts w:hint="eastAsia"/>
          <w:lang w:val="en-US" w:eastAsia="zh-CN"/>
        </w:rPr>
        <w:t>合</w:t>
      </w:r>
      <w:r>
        <w:rPr>
          <w:rFonts w:hint="eastAsia"/>
        </w:rPr>
        <w:t>社</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780D1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B35A7B2">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593080" cy="7785100"/>
                  <wp:effectExtent l="0" t="0" r="7620" b="6350"/>
                  <wp:docPr id="115" name="图片 115" descr="南雄年鉴 2014_0059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南雄年鉴 2014_0059 副本"/>
                          <pic:cNvPicPr>
                            <a:picLocks noChangeAspect="1"/>
                          </pic:cNvPicPr>
                        </pic:nvPicPr>
                        <pic:blipFill>
                          <a:blip r:embed="rId93"/>
                          <a:stretch>
                            <a:fillRect/>
                          </a:stretch>
                        </pic:blipFill>
                        <pic:spPr>
                          <a:xfrm>
                            <a:off x="0" y="0"/>
                            <a:ext cx="5593080" cy="7785100"/>
                          </a:xfrm>
                          <a:prstGeom prst="rect">
                            <a:avLst/>
                          </a:prstGeom>
                        </pic:spPr>
                      </pic:pic>
                    </a:graphicData>
                  </a:graphic>
                </wp:inline>
              </w:drawing>
            </w:r>
          </w:p>
        </w:tc>
      </w:tr>
    </w:tbl>
    <w:p w14:paraId="4849851E">
      <w:pPr>
        <w:pStyle w:val="3"/>
        <w:bidi w:val="0"/>
        <w:rPr>
          <w:rFonts w:hint="default"/>
          <w:lang w:val="en-US" w:eastAsia="zh-CN"/>
        </w:rPr>
      </w:pPr>
      <w:r>
        <w:rPr>
          <w:rFonts w:hint="eastAsia"/>
          <w:lang w:val="en-US" w:eastAsia="zh-CN"/>
        </w:rPr>
        <w:t>快步发展中的南雄教育</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F5E69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22455897">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572760" cy="7756525"/>
                  <wp:effectExtent l="0" t="0" r="8890" b="15875"/>
                  <wp:docPr id="116" name="图片 116" descr="南雄年鉴 2014_0060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南雄年鉴 2014_0060 副本"/>
                          <pic:cNvPicPr>
                            <a:picLocks noChangeAspect="1"/>
                          </pic:cNvPicPr>
                        </pic:nvPicPr>
                        <pic:blipFill>
                          <a:blip r:embed="rId94"/>
                          <a:stretch>
                            <a:fillRect/>
                          </a:stretch>
                        </pic:blipFill>
                        <pic:spPr>
                          <a:xfrm>
                            <a:off x="0" y="0"/>
                            <a:ext cx="5572760" cy="7756525"/>
                          </a:xfrm>
                          <a:prstGeom prst="rect">
                            <a:avLst/>
                          </a:prstGeom>
                        </pic:spPr>
                      </pic:pic>
                    </a:graphicData>
                  </a:graphic>
                </wp:inline>
              </w:drawing>
            </w:r>
          </w:p>
        </w:tc>
      </w:tr>
    </w:tbl>
    <w:p w14:paraId="3D14F9E4">
      <w:pPr>
        <w:pStyle w:val="3"/>
        <w:bidi w:val="0"/>
        <w:rPr>
          <w:rFonts w:hint="default"/>
          <w:lang w:val="en-US" w:eastAsia="zh-CN"/>
        </w:rPr>
      </w:pPr>
      <w:r>
        <w:rPr>
          <w:rFonts w:hint="eastAsia"/>
          <w:lang w:val="en-US" w:eastAsia="zh-CN"/>
        </w:rPr>
        <w:t>南雄市农业局</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2DD3B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2E80618">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788660" cy="8056880"/>
                  <wp:effectExtent l="0" t="0" r="2540" b="1270"/>
                  <wp:docPr id="117" name="图片 117" descr="南雄年鉴 2014_0061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南雄年鉴 2014_0061 副本"/>
                          <pic:cNvPicPr>
                            <a:picLocks noChangeAspect="1"/>
                          </pic:cNvPicPr>
                        </pic:nvPicPr>
                        <pic:blipFill>
                          <a:blip r:embed="rId95"/>
                          <a:stretch>
                            <a:fillRect/>
                          </a:stretch>
                        </pic:blipFill>
                        <pic:spPr>
                          <a:xfrm>
                            <a:off x="0" y="0"/>
                            <a:ext cx="5788660" cy="8056880"/>
                          </a:xfrm>
                          <a:prstGeom prst="rect">
                            <a:avLst/>
                          </a:prstGeom>
                        </pic:spPr>
                      </pic:pic>
                    </a:graphicData>
                  </a:graphic>
                </wp:inline>
              </w:drawing>
            </w:r>
          </w:p>
        </w:tc>
      </w:tr>
    </w:tbl>
    <w:p w14:paraId="2E630734">
      <w:pPr>
        <w:pStyle w:val="3"/>
        <w:bidi w:val="0"/>
        <w:rPr>
          <w:rFonts w:hint="eastAsia"/>
        </w:rPr>
      </w:pPr>
      <w:r>
        <w:rPr>
          <w:rFonts w:hint="eastAsia"/>
        </w:rPr>
        <w:t>南雄市食品药品监督管理局</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2D401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37DE119">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758815" cy="8014970"/>
                  <wp:effectExtent l="0" t="0" r="13335" b="5080"/>
                  <wp:docPr id="118" name="图片 118" descr="南雄年鉴 2014_0062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南雄年鉴 2014_0062 副本"/>
                          <pic:cNvPicPr>
                            <a:picLocks noChangeAspect="1"/>
                          </pic:cNvPicPr>
                        </pic:nvPicPr>
                        <pic:blipFill>
                          <a:blip r:embed="rId96"/>
                          <a:stretch>
                            <a:fillRect/>
                          </a:stretch>
                        </pic:blipFill>
                        <pic:spPr>
                          <a:xfrm>
                            <a:off x="0" y="0"/>
                            <a:ext cx="5758815" cy="8014970"/>
                          </a:xfrm>
                          <a:prstGeom prst="rect">
                            <a:avLst/>
                          </a:prstGeom>
                        </pic:spPr>
                      </pic:pic>
                    </a:graphicData>
                  </a:graphic>
                </wp:inline>
              </w:drawing>
            </w:r>
          </w:p>
        </w:tc>
      </w:tr>
    </w:tbl>
    <w:p w14:paraId="362C3CB5">
      <w:pPr>
        <w:pStyle w:val="3"/>
        <w:bidi w:val="0"/>
        <w:rPr>
          <w:rFonts w:hint="eastAsia"/>
        </w:rPr>
      </w:pPr>
      <w:r>
        <w:rPr>
          <w:rFonts w:hint="eastAsia"/>
        </w:rPr>
        <w:t>南雄市粮食局</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3F957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14D874D">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803265" cy="8076565"/>
                  <wp:effectExtent l="0" t="0" r="6985" b="635"/>
                  <wp:docPr id="119" name="图片 119" descr="南雄年鉴 2014_0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南雄年鉴 2014_0063"/>
                          <pic:cNvPicPr>
                            <a:picLocks noChangeAspect="1"/>
                          </pic:cNvPicPr>
                        </pic:nvPicPr>
                        <pic:blipFill>
                          <a:blip r:embed="rId97"/>
                          <a:stretch>
                            <a:fillRect/>
                          </a:stretch>
                        </pic:blipFill>
                        <pic:spPr>
                          <a:xfrm>
                            <a:off x="0" y="0"/>
                            <a:ext cx="5803265" cy="8076565"/>
                          </a:xfrm>
                          <a:prstGeom prst="rect">
                            <a:avLst/>
                          </a:prstGeom>
                        </pic:spPr>
                      </pic:pic>
                    </a:graphicData>
                  </a:graphic>
                </wp:inline>
              </w:drawing>
            </w:r>
          </w:p>
        </w:tc>
      </w:tr>
    </w:tbl>
    <w:p w14:paraId="5F0DAD3D">
      <w:pPr>
        <w:pStyle w:val="3"/>
        <w:bidi w:val="0"/>
        <w:rPr>
          <w:rFonts w:hint="eastAsia"/>
        </w:rPr>
      </w:pPr>
      <w:r>
        <w:rPr>
          <w:rFonts w:hint="eastAsia"/>
        </w:rPr>
        <w:t>南雄市城市综合管理局</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0FC13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9668367">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714365" cy="7954010"/>
                  <wp:effectExtent l="0" t="0" r="635" b="8890"/>
                  <wp:docPr id="120" name="图片 120" descr="南雄年鉴 2014_0064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南雄年鉴 2014_0064 副本"/>
                          <pic:cNvPicPr>
                            <a:picLocks noChangeAspect="1"/>
                          </pic:cNvPicPr>
                        </pic:nvPicPr>
                        <pic:blipFill>
                          <a:blip r:embed="rId98"/>
                          <a:stretch>
                            <a:fillRect/>
                          </a:stretch>
                        </pic:blipFill>
                        <pic:spPr>
                          <a:xfrm>
                            <a:off x="0" y="0"/>
                            <a:ext cx="5714365" cy="7954010"/>
                          </a:xfrm>
                          <a:prstGeom prst="rect">
                            <a:avLst/>
                          </a:prstGeom>
                        </pic:spPr>
                      </pic:pic>
                    </a:graphicData>
                  </a:graphic>
                </wp:inline>
              </w:drawing>
            </w:r>
          </w:p>
        </w:tc>
      </w:tr>
    </w:tbl>
    <w:p w14:paraId="02C6E80A">
      <w:pPr>
        <w:pStyle w:val="3"/>
        <w:bidi w:val="0"/>
        <w:rPr>
          <w:rFonts w:hint="eastAsia"/>
        </w:rPr>
      </w:pPr>
      <w:r>
        <w:rPr>
          <w:rFonts w:hint="eastAsia"/>
        </w:rPr>
        <w:t>南雄市人民医院</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C6217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3C648B4">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788660" cy="8056880"/>
                  <wp:effectExtent l="0" t="0" r="2540" b="1270"/>
                  <wp:docPr id="121" name="图片 121" descr="南雄年鉴 2014_0065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南雄年鉴 2014_0065 副本"/>
                          <pic:cNvPicPr>
                            <a:picLocks noChangeAspect="1"/>
                          </pic:cNvPicPr>
                        </pic:nvPicPr>
                        <pic:blipFill>
                          <a:blip r:embed="rId99"/>
                          <a:stretch>
                            <a:fillRect/>
                          </a:stretch>
                        </pic:blipFill>
                        <pic:spPr>
                          <a:xfrm>
                            <a:off x="0" y="0"/>
                            <a:ext cx="5788660" cy="8056880"/>
                          </a:xfrm>
                          <a:prstGeom prst="rect">
                            <a:avLst/>
                          </a:prstGeom>
                        </pic:spPr>
                      </pic:pic>
                    </a:graphicData>
                  </a:graphic>
                </wp:inline>
              </w:drawing>
            </w:r>
          </w:p>
        </w:tc>
      </w:tr>
    </w:tbl>
    <w:p w14:paraId="6EA06AC8">
      <w:pPr>
        <w:pStyle w:val="3"/>
        <w:bidi w:val="0"/>
        <w:rPr>
          <w:rFonts w:hint="default"/>
          <w:lang w:val="en-US" w:eastAsia="zh-CN"/>
        </w:rPr>
      </w:pPr>
      <w:r>
        <w:rPr>
          <w:rFonts w:hint="eastAsia"/>
          <w:lang w:val="en-US" w:eastAsia="zh-CN"/>
        </w:rPr>
        <w:t>南雄市中医院</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C7158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A9A39A0">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740400" cy="7989570"/>
                  <wp:effectExtent l="0" t="0" r="12700" b="11430"/>
                  <wp:docPr id="122" name="图片 122" descr="南雄年鉴 2014_0066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南雄年鉴 2014_0066 副本"/>
                          <pic:cNvPicPr>
                            <a:picLocks noChangeAspect="1"/>
                          </pic:cNvPicPr>
                        </pic:nvPicPr>
                        <pic:blipFill>
                          <a:blip r:embed="rId100"/>
                          <a:stretch>
                            <a:fillRect/>
                          </a:stretch>
                        </pic:blipFill>
                        <pic:spPr>
                          <a:xfrm>
                            <a:off x="0" y="0"/>
                            <a:ext cx="5740400" cy="7989570"/>
                          </a:xfrm>
                          <a:prstGeom prst="rect">
                            <a:avLst/>
                          </a:prstGeom>
                        </pic:spPr>
                      </pic:pic>
                    </a:graphicData>
                  </a:graphic>
                </wp:inline>
              </w:drawing>
            </w:r>
          </w:p>
        </w:tc>
      </w:tr>
    </w:tbl>
    <w:p w14:paraId="73F14FA9">
      <w:pPr>
        <w:pStyle w:val="3"/>
        <w:bidi w:val="0"/>
        <w:rPr>
          <w:rFonts w:hint="eastAsia"/>
        </w:rPr>
      </w:pPr>
      <w:r>
        <w:rPr>
          <w:rFonts w:hint="eastAsia"/>
        </w:rPr>
        <w:t>南雄市妇幼保健计划生育服务院</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44B8CC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0C5AA45">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695315" cy="7926705"/>
                  <wp:effectExtent l="0" t="0" r="635" b="17145"/>
                  <wp:docPr id="123" name="图片 123" descr="南雄年鉴 2014_0067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南雄年鉴 2014_0067 副本"/>
                          <pic:cNvPicPr>
                            <a:picLocks noChangeAspect="1"/>
                          </pic:cNvPicPr>
                        </pic:nvPicPr>
                        <pic:blipFill>
                          <a:blip r:embed="rId101"/>
                          <a:stretch>
                            <a:fillRect/>
                          </a:stretch>
                        </pic:blipFill>
                        <pic:spPr>
                          <a:xfrm>
                            <a:off x="0" y="0"/>
                            <a:ext cx="5695315" cy="7926705"/>
                          </a:xfrm>
                          <a:prstGeom prst="rect">
                            <a:avLst/>
                          </a:prstGeom>
                        </pic:spPr>
                      </pic:pic>
                    </a:graphicData>
                  </a:graphic>
                </wp:inline>
              </w:drawing>
            </w:r>
          </w:p>
        </w:tc>
      </w:tr>
    </w:tbl>
    <w:p w14:paraId="43A020A1">
      <w:pPr>
        <w:pStyle w:val="3"/>
        <w:bidi w:val="0"/>
        <w:rPr>
          <w:rFonts w:hint="eastAsia"/>
        </w:rPr>
      </w:pPr>
      <w:r>
        <w:rPr>
          <w:rFonts w:hint="eastAsia"/>
        </w:rPr>
        <w:t>南雄市疾病预防控制中心</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119A9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BFC1981">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696585" cy="7928610"/>
                  <wp:effectExtent l="0" t="0" r="18415" b="15240"/>
                  <wp:docPr id="124" name="图片 124" descr="南雄年鉴 2014_0068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南雄年鉴 2014_0068 副本"/>
                          <pic:cNvPicPr>
                            <a:picLocks noChangeAspect="1"/>
                          </pic:cNvPicPr>
                        </pic:nvPicPr>
                        <pic:blipFill>
                          <a:blip r:embed="rId102"/>
                          <a:stretch>
                            <a:fillRect/>
                          </a:stretch>
                        </pic:blipFill>
                        <pic:spPr>
                          <a:xfrm>
                            <a:off x="0" y="0"/>
                            <a:ext cx="5696585" cy="7928610"/>
                          </a:xfrm>
                          <a:prstGeom prst="rect">
                            <a:avLst/>
                          </a:prstGeom>
                        </pic:spPr>
                      </pic:pic>
                    </a:graphicData>
                  </a:graphic>
                </wp:inline>
              </w:drawing>
            </w:r>
          </w:p>
        </w:tc>
      </w:tr>
    </w:tbl>
    <w:p w14:paraId="1087F0BC">
      <w:pPr>
        <w:pStyle w:val="3"/>
        <w:bidi w:val="0"/>
        <w:rPr>
          <w:rFonts w:hint="default"/>
          <w:lang w:val="en-US" w:eastAsia="zh-CN"/>
        </w:rPr>
      </w:pPr>
      <w:r>
        <w:rPr>
          <w:rFonts w:hint="eastAsia"/>
          <w:lang w:val="en-US" w:eastAsia="zh-CN"/>
        </w:rPr>
        <w:t>南雄市卫生监督所</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4BBDBE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50834A64">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808345" cy="8083550"/>
                  <wp:effectExtent l="0" t="0" r="1905" b="12700"/>
                  <wp:docPr id="125" name="图片 125" descr="南雄年鉴 2014_0069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南雄年鉴 2014_0069 副本"/>
                          <pic:cNvPicPr>
                            <a:picLocks noChangeAspect="1"/>
                          </pic:cNvPicPr>
                        </pic:nvPicPr>
                        <pic:blipFill>
                          <a:blip r:embed="rId103"/>
                          <a:stretch>
                            <a:fillRect/>
                          </a:stretch>
                        </pic:blipFill>
                        <pic:spPr>
                          <a:xfrm>
                            <a:off x="0" y="0"/>
                            <a:ext cx="5808345" cy="8083550"/>
                          </a:xfrm>
                          <a:prstGeom prst="rect">
                            <a:avLst/>
                          </a:prstGeom>
                        </pic:spPr>
                      </pic:pic>
                    </a:graphicData>
                  </a:graphic>
                </wp:inline>
              </w:drawing>
            </w:r>
          </w:p>
        </w:tc>
      </w:tr>
    </w:tbl>
    <w:p w14:paraId="43BEE047">
      <w:pPr>
        <w:pStyle w:val="3"/>
        <w:bidi w:val="0"/>
        <w:rPr>
          <w:rFonts w:hint="eastAsia"/>
        </w:rPr>
      </w:pPr>
      <w:r>
        <w:rPr>
          <w:rFonts w:hint="eastAsia"/>
        </w:rPr>
        <w:t>南雄市慢性病防治站</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8C5F0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073C6B1">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744210" cy="7994015"/>
                  <wp:effectExtent l="0" t="0" r="8890" b="6985"/>
                  <wp:docPr id="126" name="图片 126" descr="南雄年鉴 2014_0070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南雄年鉴 2014_0070 副本"/>
                          <pic:cNvPicPr>
                            <a:picLocks noChangeAspect="1"/>
                          </pic:cNvPicPr>
                        </pic:nvPicPr>
                        <pic:blipFill>
                          <a:blip r:embed="rId104"/>
                          <a:stretch>
                            <a:fillRect/>
                          </a:stretch>
                        </pic:blipFill>
                        <pic:spPr>
                          <a:xfrm>
                            <a:off x="0" y="0"/>
                            <a:ext cx="5744210" cy="7994015"/>
                          </a:xfrm>
                          <a:prstGeom prst="rect">
                            <a:avLst/>
                          </a:prstGeom>
                        </pic:spPr>
                      </pic:pic>
                    </a:graphicData>
                  </a:graphic>
                </wp:inline>
              </w:drawing>
            </w:r>
          </w:p>
        </w:tc>
      </w:tr>
    </w:tbl>
    <w:p w14:paraId="4EB0BAA2">
      <w:pPr>
        <w:pStyle w:val="3"/>
        <w:bidi w:val="0"/>
        <w:rPr>
          <w:rFonts w:hint="eastAsia"/>
        </w:rPr>
      </w:pPr>
      <w:r>
        <w:rPr>
          <w:rFonts w:hint="eastAsia"/>
        </w:rPr>
        <w:t>南雄市第一中学</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F1E76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D3EB62F">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793105" cy="8062595"/>
                  <wp:effectExtent l="0" t="0" r="17145" b="14605"/>
                  <wp:docPr id="127" name="图片 127" descr="南雄年鉴 2014_0071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南雄年鉴 2014_0071 副本"/>
                          <pic:cNvPicPr>
                            <a:picLocks noChangeAspect="1"/>
                          </pic:cNvPicPr>
                        </pic:nvPicPr>
                        <pic:blipFill>
                          <a:blip r:embed="rId105"/>
                          <a:stretch>
                            <a:fillRect/>
                          </a:stretch>
                        </pic:blipFill>
                        <pic:spPr>
                          <a:xfrm>
                            <a:off x="0" y="0"/>
                            <a:ext cx="5793105" cy="8062595"/>
                          </a:xfrm>
                          <a:prstGeom prst="rect">
                            <a:avLst/>
                          </a:prstGeom>
                        </pic:spPr>
                      </pic:pic>
                    </a:graphicData>
                  </a:graphic>
                </wp:inline>
              </w:drawing>
            </w:r>
          </w:p>
        </w:tc>
      </w:tr>
    </w:tbl>
    <w:p w14:paraId="7681DC63">
      <w:pPr>
        <w:pStyle w:val="3"/>
        <w:bidi w:val="0"/>
        <w:rPr>
          <w:rFonts w:hint="default"/>
          <w:lang w:val="en-US" w:eastAsia="zh-CN"/>
        </w:rPr>
      </w:pPr>
      <w:r>
        <w:rPr>
          <w:rFonts w:hint="eastAsia"/>
          <w:lang w:val="en-US" w:eastAsia="zh-CN"/>
        </w:rPr>
        <w:t>南雄市乌迳中学</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5F78F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C2C2060">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734050" cy="7980680"/>
                  <wp:effectExtent l="0" t="0" r="0" b="1270"/>
                  <wp:docPr id="128" name="图片 128" descr="南雄年鉴 2014_0072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南雄年鉴 2014_0072 副本"/>
                          <pic:cNvPicPr>
                            <a:picLocks noChangeAspect="1"/>
                          </pic:cNvPicPr>
                        </pic:nvPicPr>
                        <pic:blipFill>
                          <a:blip r:embed="rId106"/>
                          <a:stretch>
                            <a:fillRect/>
                          </a:stretch>
                        </pic:blipFill>
                        <pic:spPr>
                          <a:xfrm>
                            <a:off x="0" y="0"/>
                            <a:ext cx="5734050" cy="7980680"/>
                          </a:xfrm>
                          <a:prstGeom prst="rect">
                            <a:avLst/>
                          </a:prstGeom>
                        </pic:spPr>
                      </pic:pic>
                    </a:graphicData>
                  </a:graphic>
                </wp:inline>
              </w:drawing>
            </w:r>
          </w:p>
        </w:tc>
      </w:tr>
    </w:tbl>
    <w:p w14:paraId="42ABA4BC">
      <w:pPr>
        <w:pStyle w:val="3"/>
        <w:bidi w:val="0"/>
        <w:rPr>
          <w:rFonts w:hint="eastAsia"/>
        </w:rPr>
      </w:pPr>
      <w:r>
        <w:rPr>
          <w:rFonts w:hint="eastAsia"/>
        </w:rPr>
        <w:t>南雄市第一小学</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0573D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6289DE6">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740400" cy="7988935"/>
                  <wp:effectExtent l="0" t="0" r="12700" b="12065"/>
                  <wp:docPr id="129" name="图片 129" descr="南雄年鉴 2014_0073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南雄年鉴 2014_0073 副本"/>
                          <pic:cNvPicPr>
                            <a:picLocks noChangeAspect="1"/>
                          </pic:cNvPicPr>
                        </pic:nvPicPr>
                        <pic:blipFill>
                          <a:blip r:embed="rId107"/>
                          <a:stretch>
                            <a:fillRect/>
                          </a:stretch>
                        </pic:blipFill>
                        <pic:spPr>
                          <a:xfrm>
                            <a:off x="0" y="0"/>
                            <a:ext cx="5740400" cy="7988935"/>
                          </a:xfrm>
                          <a:prstGeom prst="rect">
                            <a:avLst/>
                          </a:prstGeom>
                        </pic:spPr>
                      </pic:pic>
                    </a:graphicData>
                  </a:graphic>
                </wp:inline>
              </w:drawing>
            </w:r>
          </w:p>
        </w:tc>
      </w:tr>
    </w:tbl>
    <w:p w14:paraId="7A298C21">
      <w:pPr>
        <w:pStyle w:val="3"/>
        <w:bidi w:val="0"/>
        <w:rPr>
          <w:rFonts w:hint="eastAsia"/>
        </w:rPr>
      </w:pPr>
      <w:r>
        <w:rPr>
          <w:rFonts w:hint="eastAsia"/>
        </w:rPr>
        <w:t>南雄市</w:t>
      </w:r>
      <w:r>
        <w:rPr>
          <w:rFonts w:hint="eastAsia"/>
          <w:lang w:val="en-US" w:eastAsia="zh-CN"/>
        </w:rPr>
        <w:t>浈</w:t>
      </w:r>
      <w:r>
        <w:rPr>
          <w:rFonts w:hint="eastAsia"/>
        </w:rPr>
        <w:t>江电业有限责任公司</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4BC94F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0AD4A27">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817870" cy="8097520"/>
                  <wp:effectExtent l="0" t="0" r="11430" b="17780"/>
                  <wp:docPr id="130" name="图片 130" descr="南雄年鉴 2014_0074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南雄年鉴 2014_0074 副本"/>
                          <pic:cNvPicPr>
                            <a:picLocks noChangeAspect="1"/>
                          </pic:cNvPicPr>
                        </pic:nvPicPr>
                        <pic:blipFill>
                          <a:blip r:embed="rId108"/>
                          <a:stretch>
                            <a:fillRect/>
                          </a:stretch>
                        </pic:blipFill>
                        <pic:spPr>
                          <a:xfrm>
                            <a:off x="0" y="0"/>
                            <a:ext cx="5817870" cy="8097520"/>
                          </a:xfrm>
                          <a:prstGeom prst="rect">
                            <a:avLst/>
                          </a:prstGeom>
                        </pic:spPr>
                      </pic:pic>
                    </a:graphicData>
                  </a:graphic>
                </wp:inline>
              </w:drawing>
            </w:r>
          </w:p>
        </w:tc>
      </w:tr>
    </w:tbl>
    <w:p w14:paraId="4850D31D">
      <w:pPr>
        <w:pStyle w:val="3"/>
        <w:bidi w:val="0"/>
        <w:rPr>
          <w:rFonts w:hint="eastAsia"/>
        </w:rPr>
      </w:pPr>
      <w:r>
        <w:rPr>
          <w:rFonts w:hint="eastAsia"/>
        </w:rPr>
        <w:t>南雄市星翔供水有限公司</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1D53B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5A0DF57">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558790" cy="7736840"/>
                  <wp:effectExtent l="0" t="0" r="3810" b="16510"/>
                  <wp:docPr id="131" name="图片 131" descr="南雄年鉴 2014_0075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南雄年鉴 2014_0075 副本"/>
                          <pic:cNvPicPr>
                            <a:picLocks noChangeAspect="1"/>
                          </pic:cNvPicPr>
                        </pic:nvPicPr>
                        <pic:blipFill>
                          <a:blip r:embed="rId109"/>
                          <a:stretch>
                            <a:fillRect/>
                          </a:stretch>
                        </pic:blipFill>
                        <pic:spPr>
                          <a:xfrm>
                            <a:off x="0" y="0"/>
                            <a:ext cx="5558790" cy="7736840"/>
                          </a:xfrm>
                          <a:prstGeom prst="rect">
                            <a:avLst/>
                          </a:prstGeom>
                        </pic:spPr>
                      </pic:pic>
                    </a:graphicData>
                  </a:graphic>
                </wp:inline>
              </w:drawing>
            </w:r>
          </w:p>
        </w:tc>
      </w:tr>
    </w:tbl>
    <w:p w14:paraId="2F3A1BCA">
      <w:pPr>
        <w:pStyle w:val="3"/>
        <w:bidi w:val="0"/>
        <w:rPr>
          <w:rFonts w:hint="default"/>
          <w:lang w:val="en-US" w:eastAsia="zh-CN"/>
        </w:rPr>
      </w:pPr>
      <w:r>
        <w:rPr>
          <w:rFonts w:hint="eastAsia"/>
          <w:lang w:val="en-US" w:eastAsia="zh-CN"/>
        </w:rPr>
        <w:t>南雄市彤置富水泥建材投资有限公司</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733F4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537002B">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601970" cy="7797800"/>
                  <wp:effectExtent l="0" t="0" r="17780" b="12700"/>
                  <wp:docPr id="132" name="图片 132" descr="南雄年鉴 2014_0076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南雄年鉴 2014_0076 副本"/>
                          <pic:cNvPicPr>
                            <a:picLocks noChangeAspect="1"/>
                          </pic:cNvPicPr>
                        </pic:nvPicPr>
                        <pic:blipFill>
                          <a:blip r:embed="rId110"/>
                          <a:stretch>
                            <a:fillRect/>
                          </a:stretch>
                        </pic:blipFill>
                        <pic:spPr>
                          <a:xfrm>
                            <a:off x="0" y="0"/>
                            <a:ext cx="5601970" cy="7797800"/>
                          </a:xfrm>
                          <a:prstGeom prst="rect">
                            <a:avLst/>
                          </a:prstGeom>
                        </pic:spPr>
                      </pic:pic>
                    </a:graphicData>
                  </a:graphic>
                </wp:inline>
              </w:drawing>
            </w:r>
          </w:p>
        </w:tc>
      </w:tr>
    </w:tbl>
    <w:p w14:paraId="1EF760FA">
      <w:pPr>
        <w:pStyle w:val="3"/>
        <w:bidi w:val="0"/>
        <w:rPr>
          <w:rFonts w:hint="eastAsia"/>
        </w:rPr>
      </w:pPr>
      <w:r>
        <w:rPr>
          <w:rFonts w:hint="eastAsia"/>
        </w:rPr>
        <w:t>中国人民财产保险股份有限公司南雄支公司</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F5BC1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2B9505F">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652135" cy="7866380"/>
                  <wp:effectExtent l="0" t="0" r="5715" b="1270"/>
                  <wp:docPr id="133" name="图片 133" descr="南雄年鉴 2014_0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南雄年鉴 2014_0077"/>
                          <pic:cNvPicPr>
                            <a:picLocks noChangeAspect="1"/>
                          </pic:cNvPicPr>
                        </pic:nvPicPr>
                        <pic:blipFill>
                          <a:blip r:embed="rId111"/>
                          <a:stretch>
                            <a:fillRect/>
                          </a:stretch>
                        </pic:blipFill>
                        <pic:spPr>
                          <a:xfrm>
                            <a:off x="0" y="0"/>
                            <a:ext cx="5652135" cy="7866380"/>
                          </a:xfrm>
                          <a:prstGeom prst="rect">
                            <a:avLst/>
                          </a:prstGeom>
                        </pic:spPr>
                      </pic:pic>
                    </a:graphicData>
                  </a:graphic>
                </wp:inline>
              </w:drawing>
            </w:r>
          </w:p>
        </w:tc>
      </w:tr>
    </w:tbl>
    <w:p w14:paraId="38E08652">
      <w:pPr>
        <w:pStyle w:val="3"/>
        <w:bidi w:val="0"/>
        <w:rPr>
          <w:rFonts w:hint="default"/>
          <w:lang w:val="en-US" w:eastAsia="zh-CN"/>
        </w:rPr>
      </w:pPr>
      <w:r>
        <w:rPr>
          <w:rFonts w:hint="eastAsia"/>
          <w:lang w:val="en-US" w:eastAsia="zh-CN"/>
        </w:rPr>
        <w:t>祝贺《南雄年鉴》（2014）出版发行</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4FE6C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EDED82A">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705475" cy="7940675"/>
                  <wp:effectExtent l="0" t="0" r="9525" b="3175"/>
                  <wp:docPr id="134" name="图片 134" descr="南雄年鉴 2014_0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南雄年鉴 2014_0078"/>
                          <pic:cNvPicPr>
                            <a:picLocks noChangeAspect="1"/>
                          </pic:cNvPicPr>
                        </pic:nvPicPr>
                        <pic:blipFill>
                          <a:blip r:embed="rId112"/>
                          <a:stretch>
                            <a:fillRect/>
                          </a:stretch>
                        </pic:blipFill>
                        <pic:spPr>
                          <a:xfrm>
                            <a:off x="0" y="0"/>
                            <a:ext cx="5705475" cy="7940675"/>
                          </a:xfrm>
                          <a:prstGeom prst="rect">
                            <a:avLst/>
                          </a:prstGeom>
                        </pic:spPr>
                      </pic:pic>
                    </a:graphicData>
                  </a:graphic>
                </wp:inline>
              </w:drawing>
            </w:r>
          </w:p>
        </w:tc>
      </w:tr>
    </w:tbl>
    <w:p w14:paraId="08A143C8">
      <w:pPr>
        <w:pStyle w:val="2"/>
        <w:bidi w:val="0"/>
        <w:rPr>
          <w:rFonts w:hint="eastAsia"/>
        </w:rPr>
      </w:pPr>
      <w:r>
        <w:rPr>
          <w:rFonts w:hint="eastAsia"/>
        </w:rPr>
        <w:t>特载</w:t>
      </w:r>
    </w:p>
    <w:p w14:paraId="77F95E64">
      <w:pPr>
        <w:pStyle w:val="3"/>
        <w:bidi w:val="0"/>
        <w:rPr>
          <w:rFonts w:hint="eastAsia"/>
        </w:rPr>
      </w:pPr>
      <w:r>
        <w:rPr>
          <w:rFonts w:hint="eastAsia"/>
        </w:rPr>
        <w:t>坚定信心</w:t>
      </w:r>
      <w:r>
        <w:rPr>
          <w:rFonts w:hint="eastAsia"/>
          <w:lang w:val="en-US" w:eastAsia="zh-CN"/>
        </w:rPr>
        <w:t xml:space="preserve"> </w:t>
      </w:r>
      <w:r>
        <w:rPr>
          <w:rFonts w:hint="eastAsia"/>
        </w:rPr>
        <w:t>攻坚克难</w:t>
      </w:r>
      <w:r>
        <w:rPr>
          <w:rFonts w:hint="eastAsia"/>
          <w:lang w:val="en-US" w:eastAsia="zh-CN"/>
        </w:rPr>
        <w:t xml:space="preserve"> </w:t>
      </w:r>
      <w:r>
        <w:rPr>
          <w:rFonts w:hint="eastAsia"/>
        </w:rPr>
        <w:t>全面加快生态富裕文明和谐的粤北门户城市建设步伐</w:t>
      </w:r>
    </w:p>
    <w:p w14:paraId="792C8805">
      <w:pPr>
        <w:pStyle w:val="10"/>
        <w:bidi w:val="0"/>
        <w:jc w:val="center"/>
        <w:rPr>
          <w:rFonts w:hint="eastAsia"/>
        </w:rPr>
      </w:pPr>
      <w:r>
        <w:rPr>
          <w:rFonts w:hint="eastAsia"/>
          <w:lang w:eastAsia="zh-CN"/>
        </w:rPr>
        <w:t>——</w:t>
      </w:r>
      <w:r>
        <w:rPr>
          <w:rFonts w:hint="eastAsia"/>
        </w:rPr>
        <w:t>在市委十二届三次全会上的讲话</w:t>
      </w:r>
    </w:p>
    <w:p w14:paraId="3D767012">
      <w:pPr>
        <w:pStyle w:val="10"/>
        <w:bidi w:val="0"/>
        <w:jc w:val="center"/>
        <w:rPr>
          <w:rFonts w:hint="eastAsia"/>
        </w:rPr>
      </w:pPr>
      <w:r>
        <w:rPr>
          <w:rFonts w:hint="eastAsia"/>
        </w:rPr>
        <w:t>刘清生</w:t>
      </w:r>
    </w:p>
    <w:p w14:paraId="3AA92E12">
      <w:pPr>
        <w:ind w:left="0" w:leftChars="0" w:firstLine="0" w:firstLineChars="0"/>
        <w:rPr>
          <w:rFonts w:hint="eastAsia"/>
        </w:rPr>
      </w:pPr>
      <w:r>
        <w:rPr>
          <w:rFonts w:hint="eastAsia"/>
        </w:rPr>
        <w:t>同志们：</w:t>
      </w:r>
    </w:p>
    <w:p w14:paraId="349C5BF8">
      <w:pPr>
        <w:rPr>
          <w:rFonts w:hint="eastAsia"/>
        </w:rPr>
      </w:pPr>
      <w:r>
        <w:rPr>
          <w:rFonts w:hint="eastAsia"/>
        </w:rPr>
        <w:t>这次全会的主要任务是，深入学习贯彻党的十八届三中全会、中央经济工作会议和省委十一届</w:t>
      </w:r>
      <w:r>
        <w:rPr>
          <w:rFonts w:hint="eastAsia"/>
          <w:lang w:val="en-US" w:eastAsia="zh-CN"/>
        </w:rPr>
        <w:t>三</w:t>
      </w:r>
      <w:r>
        <w:rPr>
          <w:rFonts w:hint="eastAsia"/>
        </w:rPr>
        <w:t>次全会、韶关市委十一届五次全会精神，回顾总结去年工作，认真分析当前形势，研究部署今年工作，动员全市各级党组织和广大干部群众迅速行动起来，按照中央全面深化改革的思路，进一步解放思想，抢抓机遇，坚定信心，攻坚克难，推动经济社会科学发展，加快建设生态富裕文明和谐的</w:t>
      </w:r>
      <w:r>
        <w:rPr>
          <w:rFonts w:hint="eastAsia"/>
          <w:lang w:val="en-US" w:eastAsia="zh-CN"/>
        </w:rPr>
        <w:t>粤</w:t>
      </w:r>
      <w:r>
        <w:rPr>
          <w:rFonts w:hint="eastAsia"/>
        </w:rPr>
        <w:t>北门户城市。现在，我代表市委常委会作工作报告</w:t>
      </w:r>
      <w:r>
        <w:rPr>
          <w:rFonts w:hint="eastAsia"/>
          <w:lang w:eastAsia="zh-CN"/>
        </w:rPr>
        <w:t>，</w:t>
      </w:r>
      <w:r>
        <w:rPr>
          <w:rFonts w:hint="eastAsia"/>
        </w:rPr>
        <w:t>请予以审议。</w:t>
      </w:r>
    </w:p>
    <w:p w14:paraId="3384F37C">
      <w:pPr>
        <w:rPr>
          <w:rFonts w:hint="eastAsia"/>
          <w:b/>
          <w:bCs/>
        </w:rPr>
      </w:pPr>
      <w:r>
        <w:rPr>
          <w:rFonts w:hint="eastAsia"/>
          <w:b/>
          <w:bCs/>
          <w:lang w:val="en-US" w:eastAsia="zh-CN"/>
        </w:rPr>
        <w:t>一、</w:t>
      </w:r>
      <w:r>
        <w:rPr>
          <w:rFonts w:hint="eastAsia"/>
          <w:b/>
          <w:bCs/>
        </w:rPr>
        <w:t>凝心聚力，真抓实干，圆满完成</w:t>
      </w:r>
      <w:r>
        <w:rPr>
          <w:b/>
          <w:bCs/>
        </w:rPr>
        <w:t>2013年</w:t>
      </w:r>
      <w:r>
        <w:rPr>
          <w:rFonts w:hint="eastAsia"/>
          <w:b/>
          <w:bCs/>
        </w:rPr>
        <w:t>各项任务目标</w:t>
      </w:r>
    </w:p>
    <w:p w14:paraId="50B8535A">
      <w:pPr>
        <w:rPr>
          <w:rFonts w:hint="eastAsia"/>
          <w:lang w:eastAsia="zh-CN"/>
        </w:rPr>
      </w:pPr>
      <w:r>
        <w:t>2013年，我市以学习贯彻落实习近平总书记系</w:t>
      </w:r>
      <w:r>
        <w:rPr>
          <w:rFonts w:hint="eastAsia"/>
        </w:rPr>
        <w:t>列</w:t>
      </w:r>
      <w:r>
        <w:rPr>
          <w:rFonts w:hint="eastAsia"/>
          <w:lang w:val="en-US" w:eastAsia="zh-CN"/>
        </w:rPr>
        <w:t>重要</w:t>
      </w:r>
      <w:r>
        <w:rPr>
          <w:rFonts w:hint="eastAsia"/>
        </w:rPr>
        <w:t>讲话精神和省委书记胡春华同志在韶关、南雄调研时的讲话精神为动力，团结带领全市人民坚持以发展为第一要务，以稳定为第一责任，转作风，抓落实，通过作风的大转变有力推动了经济社会的大发展。过去一年来的工作主要体现在“八个新”</w:t>
      </w:r>
      <w:r>
        <w:rPr>
          <w:rFonts w:hint="eastAsia"/>
          <w:lang w:eastAsia="zh-CN"/>
        </w:rPr>
        <w:t>；</w:t>
      </w:r>
    </w:p>
    <w:p w14:paraId="0A888FE8">
      <w:pPr>
        <w:rPr>
          <w:rFonts w:hint="eastAsia"/>
        </w:rPr>
      </w:pPr>
      <w:r>
        <w:rPr>
          <w:rFonts w:hint="eastAsia"/>
          <w:b/>
          <w:bCs/>
        </w:rPr>
        <w:t>（一）经济发展实现新突破。</w:t>
      </w:r>
      <w:r>
        <w:rPr>
          <w:rFonts w:hint="eastAsia"/>
        </w:rPr>
        <w:t>初步预测，我市生产总值将突破百亿大关，达到</w:t>
      </w:r>
      <w:r>
        <w:t>100.1亿元，同比</w:t>
      </w:r>
      <w:r>
        <w:rPr>
          <w:rFonts w:hint="eastAsia"/>
        </w:rPr>
        <w:t>增长</w:t>
      </w:r>
      <w:r>
        <w:t>13%，比年度预期增长目标高1个百分点；公</w:t>
      </w:r>
      <w:r>
        <w:rPr>
          <w:rFonts w:hint="eastAsia"/>
        </w:rPr>
        <w:t>共财政预算收入</w:t>
      </w:r>
      <w:r>
        <w:t>4.76亿元，同比增长19%；完成</w:t>
      </w:r>
      <w:r>
        <w:rPr>
          <w:rFonts w:hint="eastAsia"/>
        </w:rPr>
        <w:t>固定资产投资</w:t>
      </w:r>
      <w:r>
        <w:t>82.4亿元，同比增长16%。经济结</w:t>
      </w:r>
      <w:r>
        <w:rPr>
          <w:rFonts w:hint="eastAsia"/>
        </w:rPr>
        <w:t>构进一步优化，三次产业比重调整为</w:t>
      </w:r>
      <w:r>
        <w:t>22.9</w:t>
      </w:r>
      <w:r>
        <w:rPr>
          <w:rFonts w:hint="eastAsia"/>
          <w:lang w:eastAsia="zh-CN"/>
        </w:rPr>
        <w:t>：</w:t>
      </w:r>
      <w:r>
        <w:t>37.0</w:t>
      </w:r>
      <w:r>
        <w:rPr>
          <w:rFonts w:hint="eastAsia"/>
          <w:lang w:eastAsia="zh-CN"/>
        </w:rPr>
        <w:t>：</w:t>
      </w:r>
      <w:r>
        <w:t>40.1。总体来看，全市经济运行呈现持续向好、质</w:t>
      </w:r>
      <w:r>
        <w:rPr>
          <w:rFonts w:hint="eastAsia"/>
        </w:rPr>
        <w:t>量提升、主要指标稳步增长的发展态势。</w:t>
      </w:r>
    </w:p>
    <w:p w14:paraId="4540C279">
      <w:r>
        <w:rPr>
          <w:rFonts w:hint="eastAsia"/>
          <w:b/>
          <w:bCs/>
        </w:rPr>
        <w:t>（二）园区建设实现新飞跃。</w:t>
      </w:r>
      <w:r>
        <w:rPr>
          <w:rFonts w:hint="eastAsia"/>
        </w:rPr>
        <w:t>我市坚持把推进园区扩能增效为重点，不断加快园区发展。预计园区全年完成工业总产值</w:t>
      </w:r>
      <w:r>
        <w:t>70亿元，增长42%；实现</w:t>
      </w:r>
      <w:r>
        <w:rPr>
          <w:rFonts w:hint="eastAsia"/>
        </w:rPr>
        <w:t>工业增加值</w:t>
      </w:r>
      <w:r>
        <w:t>18.3亿元，增长38.5%；单位土地面</w:t>
      </w:r>
      <w:r>
        <w:rPr>
          <w:rFonts w:hint="eastAsia"/>
        </w:rPr>
        <w:t>积产出由原来的</w:t>
      </w:r>
      <w:r>
        <w:t>50.7万元</w:t>
      </w:r>
      <w:r>
        <w:rPr>
          <w:rFonts w:hint="eastAsia"/>
          <w:lang w:val="en-US" w:eastAsia="zh-CN"/>
        </w:rPr>
        <w:t>/</w:t>
      </w:r>
      <w:r>
        <w:t>亩提高到115.4万元</w:t>
      </w:r>
      <w:r>
        <w:rPr>
          <w:rFonts w:hint="eastAsia"/>
          <w:lang w:val="en-US" w:eastAsia="zh-CN"/>
        </w:rPr>
        <w:t>/</w:t>
      </w:r>
      <w:r>
        <w:rPr>
          <w:rFonts w:hint="eastAsia"/>
        </w:rPr>
        <w:t>亩，实现产出效益翻番。在全省“双转移”目标责任考核中，园区连续第三年获得优秀等次。与此同时，历时两年的扩园申报成功获批，扩园建设进度加快，已投入基础设施工程建设资金约</w:t>
      </w:r>
      <w:r>
        <w:t>4亿元，平</w:t>
      </w:r>
      <w:r>
        <w:rPr>
          <w:rFonts w:hint="eastAsia"/>
        </w:rPr>
        <w:t>整土地</w:t>
      </w:r>
      <w:r>
        <w:t>4000多亩，路网、水网、电网和污水处理</w:t>
      </w:r>
      <w:r>
        <w:rPr>
          <w:rFonts w:hint="eastAsia"/>
          <w:lang w:val="en-US" w:eastAsia="zh-CN"/>
        </w:rPr>
        <w:t>厂、</w:t>
      </w:r>
      <w:r>
        <w:rPr>
          <w:rFonts w:hint="eastAsia"/>
        </w:rPr>
        <w:t>跨高速公路桥及新村安置工作均按计划推进。在园区经济强有力的推动下，全市工业经济快速发展。预计全年完成工业总产值</w:t>
      </w:r>
      <w:r>
        <w:t>110亿元，同比增长28%，实现工业增加值28.7亿元，同比增</w:t>
      </w:r>
      <w:r>
        <w:rPr>
          <w:rFonts w:hint="eastAsia"/>
        </w:rPr>
        <w:t>长</w:t>
      </w:r>
      <w:r>
        <w:t>26.6%。</w:t>
      </w:r>
    </w:p>
    <w:p w14:paraId="0EE3557B">
      <w:r>
        <w:rPr>
          <w:rFonts w:hint="eastAsia"/>
          <w:b/>
          <w:bCs/>
        </w:rPr>
        <w:t>（三）现代农业取得新进展。</w:t>
      </w:r>
      <w:r>
        <w:rPr>
          <w:rFonts w:hint="eastAsia"/>
        </w:rPr>
        <w:t>围绕构建现代农业体系这一目标，扎实推进现代烟草、禽畜养殖</w:t>
      </w:r>
      <w:r>
        <w:rPr>
          <w:rFonts w:hint="eastAsia"/>
          <w:lang w:eastAsia="zh-CN"/>
        </w:rPr>
        <w:t>、</w:t>
      </w:r>
      <w:r>
        <w:rPr>
          <w:rFonts w:hint="eastAsia"/>
        </w:rPr>
        <w:t>优质米生产等“六大”农业产业基地建设，农业</w:t>
      </w:r>
      <w:r>
        <w:rPr>
          <w:rFonts w:hint="eastAsia"/>
          <w:lang w:val="en-US" w:eastAsia="zh-CN"/>
        </w:rPr>
        <w:t>产</w:t>
      </w:r>
      <w:r>
        <w:rPr>
          <w:rFonts w:hint="eastAsia"/>
        </w:rPr>
        <w:t>业化、专业化水平进一步提高。去年烟叶种植面积</w:t>
      </w:r>
      <w:r>
        <w:t>10.1万亩，收购烟叶29万担，收购资金3.48亿</w:t>
      </w:r>
      <w:r>
        <w:rPr>
          <w:rFonts w:hint="eastAsia"/>
        </w:rPr>
        <w:t>元；创办早、晚稻各</w:t>
      </w:r>
      <w:r>
        <w:t>2个万亩高产示范片和1个花</w:t>
      </w:r>
      <w:r>
        <w:rPr>
          <w:rFonts w:hint="eastAsia"/>
        </w:rPr>
        <w:t>生万亩高产示范片；发展种植罗汉果、金银花、土茯苓等中药材</w:t>
      </w:r>
      <w:r>
        <w:t>7000多亩。农业基础设施建设不断</w:t>
      </w:r>
      <w:r>
        <w:rPr>
          <w:rFonts w:hint="eastAsia"/>
        </w:rPr>
        <w:t>完善。农民专业合作社已发展到</w:t>
      </w:r>
      <w:r>
        <w:t>396家。科技兴农</w:t>
      </w:r>
      <w:r>
        <w:rPr>
          <w:rFonts w:hint="eastAsia"/>
        </w:rPr>
        <w:t>步伐加快，完成国家、省、市试验示范新品种</w:t>
      </w:r>
      <w:r>
        <w:t>168</w:t>
      </w:r>
      <w:r>
        <w:rPr>
          <w:rFonts w:hint="eastAsia"/>
        </w:rPr>
        <w:t>个。农业招商工作有新进展，引进计划总投资</w:t>
      </w:r>
      <w:r>
        <w:t>2934</w:t>
      </w:r>
      <w:r>
        <w:rPr>
          <w:rFonts w:hint="eastAsia"/>
        </w:rPr>
        <w:t>万元的联生药业和总投资</w:t>
      </w:r>
      <w:r>
        <w:t>1.5亿元的台资企业陆河</w:t>
      </w:r>
      <w:r>
        <w:rPr>
          <w:rFonts w:hint="eastAsia"/>
        </w:rPr>
        <w:t>元升农业科技有限公司，农业发展势头良好。预计全年实现农业总产值</w:t>
      </w:r>
      <w:r>
        <w:t>37</w:t>
      </w:r>
      <w:r>
        <w:rPr>
          <w:rFonts w:hint="eastAsia"/>
          <w:lang w:val="en-US" w:eastAsia="zh-CN"/>
        </w:rPr>
        <w:t>.</w:t>
      </w:r>
      <w:r>
        <w:t>6亿元，同比增长4.9%</w:t>
      </w:r>
      <w:r>
        <w:rPr>
          <w:rFonts w:hint="eastAsia"/>
          <w:lang w:eastAsia="zh-CN"/>
        </w:rPr>
        <w:t>；</w:t>
      </w:r>
      <w:r>
        <w:rPr>
          <w:rFonts w:hint="eastAsia"/>
        </w:rPr>
        <w:t>农业增加值</w:t>
      </w:r>
      <w:r>
        <w:t>22.9亿元，同比增长4.8%。</w:t>
      </w:r>
    </w:p>
    <w:p w14:paraId="5EF208C9">
      <w:pPr>
        <w:rPr>
          <w:rFonts w:hint="eastAsia"/>
        </w:rPr>
      </w:pPr>
      <w:r>
        <w:rPr>
          <w:rFonts w:hint="eastAsia"/>
          <w:b/>
          <w:bCs/>
        </w:rPr>
        <w:t>（四）城乡建设呈现新风貌。</w:t>
      </w:r>
      <w:r>
        <w:rPr>
          <w:rFonts w:hint="eastAsia"/>
        </w:rPr>
        <w:t>我市坚持以建设宜居宜业</w:t>
      </w:r>
      <w:r>
        <w:rPr>
          <w:rFonts w:hint="eastAsia"/>
          <w:lang w:val="en-US" w:eastAsia="zh-CN"/>
        </w:rPr>
        <w:t>粤</w:t>
      </w:r>
      <w:r>
        <w:rPr>
          <w:rFonts w:hint="eastAsia"/>
        </w:rPr>
        <w:t>北门户城市为目标，以扩容提质为核心，不断加快新型城镇化建设，城乡面貌有了翻天覆地的变化。交通基础设施快速推进，全年总计完成投资</w:t>
      </w:r>
      <w:r>
        <w:t>7800多万元，城乡交通网络日益完善。城</w:t>
      </w:r>
      <w:r>
        <w:rPr>
          <w:rFonts w:hint="eastAsia"/>
        </w:rPr>
        <w:t>市重点项目建设进度加快，东方大润发广场完成投资</w:t>
      </w:r>
      <w:r>
        <w:t>3亿元，将于明天开业；珠影文化广场已完成投</w:t>
      </w:r>
      <w:r>
        <w:rPr>
          <w:rFonts w:hint="eastAsia"/>
        </w:rPr>
        <w:t>资</w:t>
      </w:r>
      <w:r>
        <w:t>1亿元；大福国际名城已完成土建投资约1.1亿</w:t>
      </w:r>
      <w:r>
        <w:rPr>
          <w:rFonts w:hint="eastAsia"/>
        </w:rPr>
        <w:t>元。雄州森林公园、韶赣汽车城、韶赣铁路南雄站场等其它城市亮点工程扎实推进，污水处理厂、污水排污管网、生活垃圾填埋场等市政设施建设不断加快，城市综合承载能力显著增强。同时，以城区和珠玑、乌迳、黄坑三个中心镇为重点，大力开展农村违法用地和市区违章建筑整治活动，城乡建设秩序不断规范；加快完善城乡生活垃圾处理设施，城乡人居环境不断改善。</w:t>
      </w:r>
    </w:p>
    <w:p w14:paraId="671E2ADD">
      <w:r>
        <w:rPr>
          <w:rFonts w:hint="eastAsia"/>
          <w:b/>
          <w:bCs/>
        </w:rPr>
        <w:t>（五）第三产业迈出新步伐。</w:t>
      </w:r>
      <w:r>
        <w:rPr>
          <w:rFonts w:hint="eastAsia"/>
        </w:rPr>
        <w:t>我市坚持以旅游业为龙头，不断加快第三产业发展。“南粤雄关”和梅关古道被列为全国重点文物保护单位；广东奥威斯乐园建设进度加快，全年完成投资</w:t>
      </w:r>
      <w:r>
        <w:t>1亿多元；</w:t>
      </w:r>
      <w:r>
        <w:rPr>
          <w:rFonts w:hint="eastAsia"/>
        </w:rPr>
        <w:t>投资</w:t>
      </w:r>
      <w:r>
        <w:t>1260万元的珠玑古巷景区停车场已动工建设</w:t>
      </w:r>
      <w:r>
        <w:rPr>
          <w:rFonts w:hint="eastAsia"/>
          <w:lang w:eastAsia="zh-CN"/>
        </w:rPr>
        <w:t>；</w:t>
      </w:r>
      <w:r>
        <w:rPr>
          <w:rFonts w:hint="eastAsia"/>
        </w:rPr>
        <w:t>五星级锦绣花园酒店已完成投资</w:t>
      </w:r>
      <w:r>
        <w:t>3000万元；主田</w:t>
      </w:r>
      <w:r>
        <w:rPr>
          <w:rFonts w:hint="eastAsia"/>
        </w:rPr>
        <w:t>生态观光休闲农场已完成投资</w:t>
      </w:r>
      <w:r>
        <w:t>5000万元。旅游招</w:t>
      </w:r>
      <w:r>
        <w:rPr>
          <w:rFonts w:hint="eastAsia"/>
        </w:rPr>
        <w:t>商工作力度加大，成功引进广东清景旅游、华圣农林科技蓝莓博览园等</w:t>
      </w:r>
      <w:r>
        <w:t>4个项目，签约资金达28.7</w:t>
      </w:r>
      <w:r>
        <w:rPr>
          <w:rFonts w:hint="eastAsia"/>
        </w:rPr>
        <w:t>亿元。预计全年接待游客</w:t>
      </w:r>
      <w:r>
        <w:t>198.4万人次，同比增长15%；旅游总收入14.5亿元，同比增长20%。在</w:t>
      </w:r>
      <w:r>
        <w:rPr>
          <w:rFonts w:hint="eastAsia"/>
        </w:rPr>
        <w:t>旅游经济的发展带动下，第三产业发展活力不断增强。预计</w:t>
      </w:r>
      <w:r>
        <w:rPr>
          <w:rFonts w:hint="eastAsia"/>
          <w:lang w:val="en-US" w:eastAsia="zh-CN"/>
        </w:rPr>
        <w:t>全</w:t>
      </w:r>
      <w:r>
        <w:rPr>
          <w:rFonts w:hint="eastAsia"/>
        </w:rPr>
        <w:t>年完成社会消费品零售总额</w:t>
      </w:r>
      <w:r>
        <w:t>35.5亿元，</w:t>
      </w:r>
      <w:r>
        <w:rPr>
          <w:rFonts w:hint="eastAsia"/>
        </w:rPr>
        <w:t>同比增长</w:t>
      </w:r>
      <w:r>
        <w:t>15%。</w:t>
      </w:r>
    </w:p>
    <w:p w14:paraId="797AB74B">
      <w:r>
        <w:rPr>
          <w:rFonts w:hint="eastAsia"/>
          <w:b/>
          <w:bCs/>
          <w:lang w:eastAsia="zh-CN"/>
        </w:rPr>
        <w:t>（</w:t>
      </w:r>
      <w:r>
        <w:rPr>
          <w:rFonts w:hint="eastAsia"/>
          <w:b/>
          <w:bCs/>
        </w:rPr>
        <w:t>六）生态建设取得新成效。</w:t>
      </w:r>
      <w:r>
        <w:rPr>
          <w:rFonts w:hint="eastAsia"/>
        </w:rPr>
        <w:t>我市以新一轮绿化广东大行动为契机，全面推进生态林业强市建设。全市共完成造林任务</w:t>
      </w:r>
      <w:r>
        <w:t>59550亩，建设森林碳汇</w:t>
      </w:r>
      <w:r>
        <w:rPr>
          <w:rFonts w:hint="eastAsia"/>
        </w:rPr>
        <w:t>重点生态工程林</w:t>
      </w:r>
      <w:r>
        <w:t>37950亩，生态景观林带31公里1860亩。抓好了全市118万亩封山育林工作，完成</w:t>
      </w:r>
      <w:r>
        <w:rPr>
          <w:rFonts w:hint="eastAsia"/>
        </w:rPr>
        <w:t>“万村绿”</w:t>
      </w:r>
      <w:r>
        <w:t>20个示范点的种植任务，建成2公里城</w:t>
      </w:r>
      <w:r>
        <w:rPr>
          <w:rFonts w:hint="eastAsia"/>
        </w:rPr>
        <w:t>市绿道。全市已建立自然保护区</w:t>
      </w:r>
      <w:r>
        <w:t>3个，面积17.7</w:t>
      </w:r>
      <w:r>
        <w:rPr>
          <w:rFonts w:hint="eastAsia"/>
        </w:rPr>
        <w:t>万亩；已建立县级森林公园</w:t>
      </w:r>
      <w:r>
        <w:t>6个，森林公园划定面</w:t>
      </w:r>
      <w:r>
        <w:rPr>
          <w:rFonts w:hint="eastAsia"/>
        </w:rPr>
        <w:t>积</w:t>
      </w:r>
      <w:r>
        <w:t>16.9万亩；建立国家级湿地公园1个，面积2.5</w:t>
      </w:r>
      <w:r>
        <w:rPr>
          <w:rFonts w:hint="eastAsia"/>
        </w:rPr>
        <w:t>万亩。同时，节能减排工作成效显著，单位</w:t>
      </w:r>
      <w:r>
        <w:t>GDP能</w:t>
      </w:r>
      <w:r>
        <w:rPr>
          <w:rFonts w:hint="eastAsia"/>
        </w:rPr>
        <w:t>耗同比下降</w:t>
      </w:r>
      <w:r>
        <w:t>4.3%，圆满完成韶关市下达的任务。</w:t>
      </w:r>
    </w:p>
    <w:p w14:paraId="30631448">
      <w:r>
        <w:rPr>
          <w:rFonts w:hint="eastAsia"/>
          <w:b/>
          <w:bCs/>
        </w:rPr>
        <w:t>（七）民生事业有了新发展。</w:t>
      </w:r>
      <w:r>
        <w:rPr>
          <w:rFonts w:hint="eastAsia"/>
        </w:rPr>
        <w:t>坚持民生为先，预计全年民生类资金投入达</w:t>
      </w:r>
      <w:r>
        <w:t>10.9亿元，占公共财</w:t>
      </w:r>
      <w:r>
        <w:rPr>
          <w:rFonts w:hint="eastAsia"/>
        </w:rPr>
        <w:t>政预算支出的</w:t>
      </w:r>
      <w:r>
        <w:t>70%。政府承诺的九件实事基本完</w:t>
      </w:r>
      <w:r>
        <w:rPr>
          <w:rFonts w:hint="eastAsia"/>
        </w:rPr>
        <w:t>成；投资</w:t>
      </w:r>
      <w:r>
        <w:t>3亿元的教育“四大”民生工程全面建成</w:t>
      </w:r>
      <w:r>
        <w:rPr>
          <w:rFonts w:hint="eastAsia"/>
        </w:rPr>
        <w:t>并投入使用；社会保障体系进一步完善，共有</w:t>
      </w:r>
      <w:r>
        <w:t>16.5</w:t>
      </w:r>
      <w:r>
        <w:rPr>
          <w:rFonts w:hint="eastAsia"/>
        </w:rPr>
        <w:t>万人参加了城乡居民养老保险，完成省下达目标任务数的</w:t>
      </w:r>
      <w:r>
        <w:t>102%，新型农村合作医疗覆盖率达100%，</w:t>
      </w:r>
      <w:r>
        <w:rPr>
          <w:rFonts w:hint="eastAsia"/>
        </w:rPr>
        <w:t>城乡“低保”全覆盖；稳妥推进医药卫生体制改革，医疗卫生服务体系更加健全；博物馆、文化馆、图书馆的异地重建选址及规划工作有序推进，城乡公共文化服务设施逐步完善；精神文明建设成果突出，文明单位、文明村、文明户创建工作扎实推进，顺利通过了省文明城市的复</w:t>
      </w:r>
      <w:r>
        <w:rPr>
          <w:rFonts w:hint="eastAsia"/>
          <w:lang w:eastAsia="zh-CN"/>
        </w:rPr>
        <w:t>查</w:t>
      </w:r>
      <w:r>
        <w:rPr>
          <w:rFonts w:hint="eastAsia"/>
        </w:rPr>
        <w:t>，全市公民的文明素质和社会文明程度不断提升；体育事业加快发展，人口和计生管理水平不断提高；坚持不懈做好信访维稳工作，社会大局保持和谐稳定；新一轮扶贫开发“双到”工作扎实推进，已落实帮扶资金</w:t>
      </w:r>
      <w:r>
        <w:t>1.5亿元，完成250户农村困难户住房改造任务。</w:t>
      </w:r>
      <w:r>
        <w:rPr>
          <w:rFonts w:hint="eastAsia"/>
        </w:rPr>
        <w:t>预计</w:t>
      </w:r>
      <w:r>
        <w:t>2013年城镇居民人均可支配收入达1.75万元，</w:t>
      </w:r>
      <w:r>
        <w:rPr>
          <w:rFonts w:hint="eastAsia"/>
        </w:rPr>
        <w:t>同比增长</w:t>
      </w:r>
      <w:r>
        <w:t>14.5%；农村居民家庭人均现金收入达1.31万元，同比增长16.5%。</w:t>
      </w:r>
    </w:p>
    <w:p w14:paraId="36D0C6A4">
      <w:pPr>
        <w:rPr>
          <w:rFonts w:hint="eastAsia"/>
        </w:rPr>
      </w:pPr>
      <w:r>
        <w:rPr>
          <w:rFonts w:hint="eastAsia"/>
          <w:b/>
          <w:bCs/>
        </w:rPr>
        <w:t>（八）党的建设有了新提高。</w:t>
      </w:r>
      <w:r>
        <w:rPr>
          <w:rFonts w:hint="eastAsia"/>
        </w:rPr>
        <w:t>以建设“五好四有”领导班子为目标，统筹抓好选干部、配班子，建队伍、聚人才，抓基层、强基础等各项工作，党的建设科学化水平有了新的提高。认真贯彻落实中央八项规定和“六项禁令”，深入开展“面向基层、整顿作风、服务群众”主题教育实践活动，建立健全干部住镇、驻村、值班考勤登记和奖惩制度，着力整顿基层干部上班走读、作风飘浮、在职不在岗、在岗不履职等不正之风，全市党员干部作风面貌焕然一新，履职能力不断增强。严格落实党风廉政建设责任制，深化市委权力公开透明运行“阳光工程”，全面开展防止利益冲突工作，扎实推进“廉洁南雄”创建活动。加大反腐倡廉教育力度，切实增强党员干部廉洁自律意识，锻造了一支政治坚定、纪律严明、作风优良、敢抓敢管的干部队伍，有力地支撑了南雄科学发展、跨越发展。</w:t>
      </w:r>
    </w:p>
    <w:p w14:paraId="4288FC0E">
      <w:pPr>
        <w:rPr>
          <w:rFonts w:hint="eastAsia"/>
        </w:rPr>
      </w:pPr>
      <w:r>
        <w:rPr>
          <w:rFonts w:hint="eastAsia"/>
        </w:rPr>
        <w:t>回顾一年来的工作，我们深感成绩来之不易。这是全市各级党组织和广大党员干部攻坚克难、真抓实干的结果，是全市人民同心同德、奋勇拼搏的结果。一年来，我们主要有以下几点体会：</w:t>
      </w:r>
    </w:p>
    <w:p w14:paraId="212B1DA7">
      <w:pPr>
        <w:rPr>
          <w:rFonts w:hint="eastAsia"/>
        </w:rPr>
      </w:pPr>
      <w:r>
        <w:t>1、必须坚定加快发展的信心。过去一年，面</w:t>
      </w:r>
      <w:r>
        <w:rPr>
          <w:rFonts w:hint="eastAsia"/>
        </w:rPr>
        <w:t>对来自省委、省政府和韶关市委、市政府加快发展的要求，面对来自周边县（市、区）你追我赶、竞相发展的压力，我们没有畏难，没有退缩，而是怀着必胜的信心，变压力为动力，化挑战为机遇，调动一切积极因素，以“舍我其谁”的勇气和决心，全身心投入到工作中，圆满完成年初制定的各项任务目标，有力推动经济社会加快发展。实践证明，信心是战胜一切困难的精神支柱和力量源泉。</w:t>
      </w:r>
    </w:p>
    <w:p w14:paraId="0934681A">
      <w:pPr>
        <w:rPr>
          <w:rFonts w:hint="eastAsia"/>
        </w:rPr>
      </w:pPr>
      <w:r>
        <w:t>2、必须坚持正确的用人导向。干事创业，关</w:t>
      </w:r>
      <w:r>
        <w:rPr>
          <w:rFonts w:hint="eastAsia"/>
        </w:rPr>
        <w:t>键在人。我们坚持以德为先、德才兼备的用人原则，通过不断完善干部奖惩机制和干部考核任用机制，注重用结果说话，让激情干事、积极有为的人得到奖励、得到重用，让投机钻营、碌碌无为的干部没有市场、没有位子。通过坚持正确的用人导向，全市广大党员干部进一步把思想和精力集中到谋发展、促发展上来，形成干事创业、创先争优的浓厚氛围。</w:t>
      </w:r>
    </w:p>
    <w:p w14:paraId="559AD209">
      <w:pPr>
        <w:rPr>
          <w:rFonts w:hint="eastAsia"/>
        </w:rPr>
      </w:pPr>
      <w:r>
        <w:t>3、必须坚持民生事业优先。保障和改善民生</w:t>
      </w:r>
      <w:r>
        <w:rPr>
          <w:rFonts w:hint="eastAsia"/>
        </w:rPr>
        <w:t>是我们一切工作的出发点和落脚点。一年来，我们始终坚持民生为本、民生为先，教育事业加快发展，就业创业工作扎实推进，社会保障体系不断健全，城乡基础设施日益完善，强农惠民政策全面落实，人民生活水平不断提高，极大地激发全市人民</w:t>
      </w:r>
      <w:r>
        <w:rPr>
          <w:rFonts w:hint="eastAsia"/>
          <w:lang w:val="en-US" w:eastAsia="zh-CN"/>
        </w:rPr>
        <w:t>干</w:t>
      </w:r>
      <w:r>
        <w:rPr>
          <w:rFonts w:hint="eastAsia"/>
        </w:rPr>
        <w:t>事创业热情。实践证明，只有解决好民生问题，才能调动广大人民群众的积极性，最终形成全市上下一心、共克时艰、推动发展的强大合力。</w:t>
      </w:r>
    </w:p>
    <w:p w14:paraId="622DBDD7">
      <w:pPr>
        <w:rPr>
          <w:rFonts w:hint="eastAsia"/>
        </w:rPr>
      </w:pPr>
      <w:r>
        <w:t>4、必须坚持发展与稳定并重。稳定是加快发</w:t>
      </w:r>
      <w:r>
        <w:rPr>
          <w:rFonts w:hint="eastAsia"/>
        </w:rPr>
        <w:t>展的前提和基础，没有稳定的环境，什么事情都干不成。一年来，我们始终坚持一手抓发展，一手抓稳定。通过建立健全社会矛盾排</w:t>
      </w:r>
      <w:r>
        <w:rPr>
          <w:rFonts w:hint="eastAsia"/>
          <w:lang w:eastAsia="zh-CN"/>
        </w:rPr>
        <w:t>查</w:t>
      </w:r>
      <w:r>
        <w:rPr>
          <w:rFonts w:hint="eastAsia"/>
        </w:rPr>
        <w:t>化解机制，及时消除社会矛盾隐患；通过坚持依法依规办事，积极维护群众合理合法权益；通过加强社会治安综合治理，切实维护正常的社会秩序，全市社会大局保持和谐稳定，为全市各级党员干部和广大群众心无旁骛谋发展、聚精会神搞建设，加快推动经济发展创造了良好的环境。</w:t>
      </w:r>
    </w:p>
    <w:p w14:paraId="74A1E66D">
      <w:pPr>
        <w:rPr>
          <w:rFonts w:hint="eastAsia"/>
          <w:b/>
          <w:bCs/>
        </w:rPr>
      </w:pPr>
      <w:r>
        <w:rPr>
          <w:rFonts w:hint="eastAsia"/>
          <w:b/>
          <w:bCs/>
          <w:lang w:val="en-US" w:eastAsia="zh-CN"/>
        </w:rPr>
        <w:t>二</w:t>
      </w:r>
      <w:r>
        <w:rPr>
          <w:rFonts w:hint="eastAsia"/>
          <w:b/>
          <w:bCs/>
        </w:rPr>
        <w:t>、认清形势，科学研判，准确把握我市当前面临的重大发展机遇</w:t>
      </w:r>
    </w:p>
    <w:p w14:paraId="2CED1537">
      <w:pPr>
        <w:rPr>
          <w:rFonts w:hint="eastAsia"/>
        </w:rPr>
      </w:pPr>
      <w:r>
        <w:t>2014年是全面贯彻落实党的十八届三中全会精</w:t>
      </w:r>
      <w:r>
        <w:rPr>
          <w:rFonts w:hint="eastAsia"/>
        </w:rPr>
        <w:t>神、全面深化改革的第一年，也是进入到“十</w:t>
      </w:r>
      <w:r>
        <w:rPr>
          <w:rFonts w:hint="eastAsia"/>
          <w:lang w:val="en-US" w:eastAsia="zh-CN"/>
        </w:rPr>
        <w:t>二</w:t>
      </w:r>
      <w:r>
        <w:rPr>
          <w:rFonts w:hint="eastAsia"/>
        </w:rPr>
        <w:t>五”规划的第四年，对全面完成“十二五”规划目标至关重要。为此，做好今年工作意义重大。我们必须科学研判当前形势，既要清醒看到存在的困难，把应对措施考虑得更周密一些，又要充分认识自身的优势，尤其要注重从变化的形势中捕捉和把握发展的重大机遇。</w:t>
      </w:r>
    </w:p>
    <w:p w14:paraId="68EBB9AC">
      <w:pPr>
        <w:rPr>
          <w:rFonts w:hint="eastAsia"/>
        </w:rPr>
      </w:pPr>
      <w:r>
        <w:rPr>
          <w:rFonts w:hint="eastAsia"/>
        </w:rPr>
        <w:t>首先，必须准确把握我市当前发展的阶段性特征。虽然经过五六年时间的持续高速发展，我市经济综合实力不断增强，但是由于我们底子薄、基础差，目前我市仍然属于社会主义初级阶段的欠发达地区，发展不足、发展不快、发展不充分依然是我市最大的问题。经济结构不合理、产业层次偏低</w:t>
      </w:r>
      <w:r>
        <w:rPr>
          <w:rFonts w:hint="eastAsia"/>
          <w:lang w:eastAsia="zh-CN"/>
        </w:rPr>
        <w:t>、</w:t>
      </w:r>
      <w:r>
        <w:rPr>
          <w:rFonts w:hint="eastAsia"/>
        </w:rPr>
        <w:t>自主创新能力不强等问题依然突出；工业主导地位仍没有彻底确立，城镇化水平落后于国家、省甚至韶关市平均水平，农业组织化程度仍有待提高；</w:t>
      </w:r>
      <w:r>
        <w:rPr>
          <w:rFonts w:hint="eastAsia"/>
          <w:lang w:val="en-US" w:eastAsia="zh-CN"/>
        </w:rPr>
        <w:t>一</w:t>
      </w:r>
      <w:r>
        <w:rPr>
          <w:rFonts w:hint="eastAsia"/>
        </w:rPr>
        <w:t>些制约发展的制度性障碍仍没有解决，统筹城乡</w:t>
      </w:r>
      <w:r>
        <w:rPr>
          <w:rFonts w:hint="eastAsia"/>
          <w:lang w:eastAsia="zh-CN"/>
        </w:rPr>
        <w:t>、</w:t>
      </w:r>
      <w:r>
        <w:rPr>
          <w:rFonts w:hint="eastAsia"/>
        </w:rPr>
        <w:t>创新驱动、社会管理等方面的体制机制还不够顺畅，改革创新任重道远；而且随着改革发展的不断深入，群众利益诉求日趋多元化，各种矛盾纠纷增多，改善民生、维护稳定的任务艰巨。此外，我们在加快发展中也面临着翁源、新丰等周边县（市</w:t>
      </w:r>
      <w:r>
        <w:rPr>
          <w:rFonts w:hint="eastAsia"/>
          <w:lang w:eastAsia="zh-CN"/>
        </w:rPr>
        <w:t>、</w:t>
      </w:r>
      <w:r>
        <w:rPr>
          <w:rFonts w:hint="eastAsia"/>
        </w:rPr>
        <w:t>区）赶超发展的逼人态势和压力。因此，全市各级</w:t>
      </w:r>
      <w:r>
        <w:rPr>
          <w:rFonts w:hint="eastAsia"/>
          <w:lang w:val="en-US" w:eastAsia="zh-CN"/>
        </w:rPr>
        <w:t>一</w:t>
      </w:r>
      <w:r>
        <w:rPr>
          <w:rFonts w:hint="eastAsia"/>
        </w:rPr>
        <w:t>定要充分认识当前面临的困难和压力，切实增强危机意识，作好迎接挑战的准备。</w:t>
      </w:r>
    </w:p>
    <w:p w14:paraId="7C6BEFAE">
      <w:pPr>
        <w:rPr>
          <w:rFonts w:hint="eastAsia"/>
        </w:rPr>
      </w:pPr>
      <w:r>
        <w:rPr>
          <w:rFonts w:hint="eastAsia"/>
        </w:rPr>
        <w:t>与此同时，面对加快发展的压力，全市各级一定要更多地看到积极的因素，更多地看到有利的一面。</w:t>
      </w:r>
      <w:r>
        <w:rPr>
          <w:rFonts w:hint="eastAsia"/>
          <w:b/>
          <w:bCs/>
        </w:rPr>
        <w:t>从外部环境来看，</w:t>
      </w:r>
      <w:r>
        <w:rPr>
          <w:rFonts w:hint="eastAsia"/>
        </w:rPr>
        <w:t>党的十八届三中全会作出了全面深化改革的总部署，全会提出的改革举措将进一步解放和发展生产力，进一步激发我国经济的活力和潜力，为转变经济增长方式、实现经济的可持续发展指引了新的方向，注入了新的动力。中央经济工作会议提出继续坚持稳中求进的工作总基调，把改革创新贯穿于经济社会发展各个领域各个环节。从中可以看出，中央改革的决心前所未有，改革所释放出来的红利必将进一步激发市场活力，必将更加有利于提升我国经济发展质量和效益，促进经济持续健康发展。此外，省委省政府出台进一步促进粤东西北地区振兴发展的决定，其力度之大、政策之优、含金量之高，为我市实现加快发展提供了难得的历史机遇。</w:t>
      </w:r>
      <w:r>
        <w:rPr>
          <w:rFonts w:hint="eastAsia"/>
          <w:b/>
          <w:bCs/>
        </w:rPr>
        <w:t>从内部环境来看，</w:t>
      </w:r>
      <w:r>
        <w:rPr>
          <w:rFonts w:hint="eastAsia"/>
        </w:rPr>
        <w:t>我市自身拥有的系列发展优势，为我们战胜困难、赢得发展提供了有力保证。一是干部优势。近年来我市不断加强干部队伍建设，各级班子的结构进</w:t>
      </w:r>
      <w:r>
        <w:rPr>
          <w:rFonts w:hint="eastAsia"/>
          <w:lang w:val="en-US" w:eastAsia="zh-CN"/>
        </w:rPr>
        <w:t>一</w:t>
      </w:r>
      <w:r>
        <w:rPr>
          <w:rFonts w:hint="eastAsia"/>
        </w:rPr>
        <w:t>步优化，整体素质进一步提高，锻造了一支想干事、能干事</w:t>
      </w:r>
      <w:r>
        <w:rPr>
          <w:rFonts w:hint="eastAsia"/>
          <w:lang w:eastAsia="zh-CN"/>
        </w:rPr>
        <w:t>、</w:t>
      </w:r>
      <w:r>
        <w:rPr>
          <w:rFonts w:hint="eastAsia"/>
        </w:rPr>
        <w:t>能干成事、能干净干事的优秀干部队伍，为加快发展提供了人才保证。二是地理优势。我市地处省际交界处，是广东省的主要出省通道之一，是“承接珠三角，对接长三角”的“桥头堡”。同时，我市还是珠江水系源头之一，得天独厚的生态资源让我们拥有新鲜的空气、干净的水源，基本没有大的自然灾害，为招商引资、干事创业提供了优良环境。三是基础优势。工业园区发展势头良好，农业现代化扎实推进，旅游项目建设如火如荼，城乡建设亮点纷呈，发展环境不断优化，发展后劲日益增强。四是政策优势。“中央苏区县”、“国家可持续发展实验区”、“国家重点生态功能区”、“省级产业转移园”、“省林业生态县”等众多</w:t>
      </w:r>
      <w:r>
        <w:rPr>
          <w:rFonts w:hint="eastAsia"/>
          <w:lang w:eastAsia="zh-CN"/>
        </w:rPr>
        <w:t>“</w:t>
      </w:r>
      <w:r>
        <w:rPr>
          <w:rFonts w:hint="eastAsia"/>
        </w:rPr>
        <w:t>金字招牌”，为我市跨越发展提供强大的政策支撑。同时，省、韶关市领导高度认可南雄，对南雄的发展给予大力支持。可以说，南雄已经迎来了前所未有的发展机遇。只要我们牢牢抓住这些重大机遇，因势利导、顺势而为，就一定能发展得更好、更快。</w:t>
      </w:r>
    </w:p>
    <w:p w14:paraId="2BF08DBD">
      <w:pPr>
        <w:rPr>
          <w:rFonts w:hint="eastAsia"/>
          <w:b/>
          <w:bCs/>
        </w:rPr>
      </w:pPr>
      <w:r>
        <w:rPr>
          <w:rFonts w:hint="eastAsia"/>
          <w:b/>
          <w:bCs/>
        </w:rPr>
        <w:t>三、坚定信心，攻坚克难，全面加快生态富裕文明和谐的粤北门户城市建设步伐</w:t>
      </w:r>
    </w:p>
    <w:p w14:paraId="5A1B58A2">
      <w:pPr>
        <w:rPr>
          <w:rFonts w:hint="eastAsia"/>
        </w:rPr>
      </w:pPr>
      <w:r>
        <w:rPr>
          <w:rFonts w:hint="eastAsia"/>
          <w:b/>
          <w:bCs/>
        </w:rPr>
        <w:t>今年工作的总体要求是：</w:t>
      </w:r>
      <w:r>
        <w:rPr>
          <w:rFonts w:hint="eastAsia"/>
        </w:rPr>
        <w:t>深入学习贯彻落实党的十八届三中全会、中央经济工作会议和省委十</w:t>
      </w:r>
      <w:r>
        <w:rPr>
          <w:rFonts w:hint="eastAsia"/>
          <w:lang w:val="en-US" w:eastAsia="zh-CN"/>
        </w:rPr>
        <w:t>一</w:t>
      </w:r>
      <w:r>
        <w:rPr>
          <w:rFonts w:hint="eastAsia"/>
        </w:rPr>
        <w:t>届三次全会、韶关市委十一届五次全会精神，牢记发展第一要务、稳定第一责任，坚守生态环保底线，以改革创新为动力，充分发挥南雄干部、地理、基础和政策“四大优势”，着力打好新型工业化、新型城镇化、农业产业化、第三产业和林业生</w:t>
      </w:r>
      <w:r>
        <w:rPr>
          <w:rFonts w:hint="eastAsia"/>
          <w:lang w:val="en-US" w:eastAsia="zh-CN"/>
        </w:rPr>
        <w:t>态</w:t>
      </w:r>
      <w:r>
        <w:rPr>
          <w:rFonts w:hint="eastAsia"/>
        </w:rPr>
        <w:t>强市“五大战役”，不断强化民生工程、干部队伍、平安南雄、党风廉政“四大建设”，力争在经济发展上有新飞跃，在城乡建设上有新发展，在生态南雄建设上有新突破，全年实现生产总值增长</w:t>
      </w:r>
      <w:r>
        <w:t>12%、公共财政预算收入增长13%、固定资产投资</w:t>
      </w:r>
      <w:r>
        <w:rPr>
          <w:rFonts w:hint="eastAsia"/>
        </w:rPr>
        <w:t>增长</w:t>
      </w:r>
      <w:r>
        <w:t>15%的目标，努力把南雄建设成为生态富裕文</w:t>
      </w:r>
      <w:r>
        <w:rPr>
          <w:rFonts w:hint="eastAsia"/>
        </w:rPr>
        <w:t>明和谐的粤北门户城市。今年的工作重点是要全力以赴打好“五大战役”：</w:t>
      </w:r>
    </w:p>
    <w:p w14:paraId="5E6852B6">
      <w:pPr>
        <w:rPr>
          <w:rFonts w:hint="eastAsia"/>
          <w:lang w:eastAsia="zh-CN"/>
        </w:rPr>
      </w:pPr>
      <w:r>
        <w:rPr>
          <w:rFonts w:hint="eastAsia"/>
          <w:b/>
          <w:bCs/>
          <w:lang w:eastAsia="zh-CN"/>
        </w:rPr>
        <w:t>（</w:t>
      </w:r>
      <w:r>
        <w:rPr>
          <w:rFonts w:hint="eastAsia"/>
          <w:b/>
          <w:bCs/>
          <w:lang w:val="en-US" w:eastAsia="zh-CN"/>
        </w:rPr>
        <w:t>一</w:t>
      </w:r>
      <w:r>
        <w:rPr>
          <w:rFonts w:hint="eastAsia"/>
          <w:b/>
          <w:bCs/>
        </w:rPr>
        <w:t>）全力以赴打好以园区扩园增效为重点的新型工业化战役。</w:t>
      </w:r>
      <w:r>
        <w:rPr>
          <w:rFonts w:hint="eastAsia"/>
        </w:rPr>
        <w:t>我市的发展差距在工业，潜力在工业，出路也在工业。只有不断加快新型工业化进程，做大做强工业经济，才能从根本上改变我市落后面貌。为此，必须坚持“工业强市”战略不动摇，把工业园区作为主攻工业的主战场，不断做大做强做优工业经济。一要大力推进一期园区提质增效。目前，园区大部分是规模小、效益低、抗风险能力差的小微企业，对全市工业经济的拉动作用不大。要继续实施市领导和有关单位挂点联系企业制度，引导企业及时适应市场需求，积极调整产品结构和营销策略，加快拓展市场份额。要落实《民营规模以上工业企业技改奖励基金方案》，激励企业加大先进技术和先进设备投入，着力提升企业产品竞争力。经济部门和金融机构要认真研究中央关于金融体制方面的改革措施，加快出台有利于中小企业融资的实施方案，切实解决中小企业融资难问题。同时，要抢抓“新三板”全国扩容这一重大股市新政，鼓励引导一批龙头企业上市，力争从资本市场实现直接融资，为企业做大做强奠定基础。</w:t>
      </w:r>
      <w:r>
        <w:rPr>
          <w:rFonts w:hint="eastAsia"/>
          <w:lang w:val="en-US" w:eastAsia="zh-CN"/>
        </w:rPr>
        <w:t>二</w:t>
      </w:r>
      <w:r>
        <w:rPr>
          <w:rFonts w:hint="eastAsia"/>
        </w:rPr>
        <w:t>要大力推进园区二期建设。紧紧抓住园区扩园成功和东莞南城对口帮扶南雄这一重大机遇，全力加快二期园区路网、管网、电网以及污水处理厂等基础设施建设进度，为企业入驻提供条件。同时，抢抓省关于促进粤东西北产业转移工业园提质增效的政策机遇，想方设法争取园区基础设施建设专项扶持资金。三要加大招商引资工作力度。坚持“招大引强”战略，提高招商选资门槛，重点引进一批投资规模大、科技含量</w:t>
      </w:r>
      <w:r>
        <w:rPr>
          <w:rFonts w:hint="eastAsia"/>
          <w:lang w:val="en-US" w:eastAsia="zh-CN"/>
        </w:rPr>
        <w:t>高</w:t>
      </w:r>
      <w:r>
        <w:rPr>
          <w:rFonts w:hint="eastAsia"/>
        </w:rPr>
        <w:t>、创税能力强而又符合环保要求的支柱型重大项目落户园区二期。继续推进园区</w:t>
      </w:r>
      <w:r>
        <w:rPr>
          <w:rFonts w:hint="eastAsia"/>
          <w:lang w:eastAsia="zh-CN"/>
        </w:rPr>
        <w:t>“</w:t>
      </w:r>
      <w:r>
        <w:t>腾笼换鸟”工作，着力提高园区土地利用率，为</w:t>
      </w:r>
      <w:r>
        <w:rPr>
          <w:rFonts w:hint="eastAsia"/>
        </w:rPr>
        <w:t>今后更多好项目入驻提供用地保障。优化投资环境，加快行政审批制度改革，建立更加高效的行政管理和运行机制，为企业提供高效快捷的服务。与此同时，要加快乐华陶瓷、绿洲公司、金叶包装</w:t>
      </w:r>
      <w:r>
        <w:rPr>
          <w:rFonts w:hint="eastAsia"/>
          <w:lang w:eastAsia="zh-CN"/>
        </w:rPr>
        <w:t>、</w:t>
      </w:r>
      <w:r>
        <w:rPr>
          <w:rFonts w:hint="eastAsia"/>
        </w:rPr>
        <w:t>彤置富水泥厂、圣莲红景天等一批园区外的重点企业发展，形成推动全市工业经济不断发展壮大的强大合力。力争</w:t>
      </w:r>
      <w:r>
        <w:t>2014年，全市工业总产值突破120</w:t>
      </w:r>
      <w:r>
        <w:rPr>
          <w:rFonts w:hint="eastAsia"/>
        </w:rPr>
        <w:t>亿元，工业增加值突破</w:t>
      </w:r>
      <w:r>
        <w:t>30亿元</w:t>
      </w:r>
      <w:r>
        <w:rPr>
          <w:rFonts w:hint="eastAsia"/>
          <w:lang w:eastAsia="zh-CN"/>
        </w:rPr>
        <w:t>。</w:t>
      </w:r>
    </w:p>
    <w:p w14:paraId="49346A40">
      <w:pPr>
        <w:rPr>
          <w:rFonts w:hint="eastAsia"/>
        </w:rPr>
      </w:pPr>
      <w:r>
        <w:rPr>
          <w:rFonts w:hint="eastAsia"/>
          <w:b/>
          <w:bCs/>
        </w:rPr>
        <w:t>（二）全力以赴打好以扩容提质为重点的新型城镇化战役。</w:t>
      </w:r>
      <w:r>
        <w:rPr>
          <w:rFonts w:hint="eastAsia"/>
        </w:rPr>
        <w:t>新型城镇化是欠发达地区加快发展的动力和源泉。必须坚定不移实施新型城镇化战略，大力推进城镇扩容提质工程，力争</w:t>
      </w:r>
      <w:r>
        <w:t>2014年实现城</w:t>
      </w:r>
      <w:r>
        <w:rPr>
          <w:rFonts w:hint="eastAsia"/>
        </w:rPr>
        <w:t>市建成区面积</w:t>
      </w:r>
      <w:r>
        <w:t>13平方公里，城镇人口15万人，城</w:t>
      </w:r>
      <w:r>
        <w:rPr>
          <w:rFonts w:hint="eastAsia"/>
        </w:rPr>
        <w:t>镇化率达到</w:t>
      </w:r>
      <w:r>
        <w:t>46%。一要突出规划的引领作用。以建</w:t>
      </w:r>
      <w:r>
        <w:rPr>
          <w:rFonts w:hint="eastAsia"/>
        </w:rPr>
        <w:t>设“蓝天、碧水、青山、绿地”的山水园林城市为目标，对城镇规模、功能、文化、产业、人口等情况进行深入研究，高起点、高标准、高质量编制完善中心城区总体规划、镇区总体规划、产业发展规划以及各功能区的控制性详细规划、珠玑同城化的概念性规划，优化城镇发展路线图，着力打造一批功能互补、分工合理、各具特色的城镇群。二要以人为本提高城镇发展质量。扎实推进农业转移人口市民化，稳步提高户籍人口城镇化水平；加快构建城镇产业发展体系，根据各自资源禀赋发展壮大主导产业，创造更多工作岗位，增强人口集聚功能；不断完善城镇基础设施和城镇公共服务体系，加快时代广场、大福国际名城、雄州森林公园、汽车城、火车站场等亮点工程建设，切实提升城镇居民生活的幸福感。三要创新城镇管理机制。以建立责任明确、分工合理、运转高效、监管有力的管理机制为目标，推进城市管理体制改革，整合城管、公安、卫生、环保、林业等部门的城市管理职能，构建多部门联动的“大城管”工作格局。加大农村违法用地建房和市区违章建筑的整治力度，切实维护城乡建设秩序。四要节约集约利用土地。严格落实土地用途管制制度，坚守耕地红线，盘活土地存量，优化用地结构，切实提高城镇建设用地集约化程度。认真总结推广珠玑塘东空心村改造的经验和做法，加大“三旧”改造力度，通过土地增减挂钩为城镇赢得更多发展空间。五要创新城镇投融资机制。在保证财政基本投入的基础上，政府要在加强监管的前提下，更加注重市场化融资，鼓励社会资本积极参与城镇农贸市场、供水、污水处理、垃圾处理等公用设施投资运营。</w:t>
      </w:r>
    </w:p>
    <w:p w14:paraId="201AE31C">
      <w:r>
        <w:rPr>
          <w:rFonts w:hint="eastAsia"/>
          <w:b/>
          <w:bCs/>
        </w:rPr>
        <w:t>（三）全力以赴打好以培育农业龙头企业为重点的农业产业化战役。</w:t>
      </w:r>
      <w:r>
        <w:rPr>
          <w:rFonts w:hint="eastAsia"/>
        </w:rPr>
        <w:t>立足资源优势，突出地方特色，加快建立现代农业产业体系，再创农业发展新优势。一要培育壮大农业龙头企业。要把培育壮大农业龙头企业作为推进农业产业化的重点工作来抓，加大政策资金扶持力度，鼓励支持企业改造升级、扩大产能，促进金友集团、温氏集团等现有龙头企业做大做强。加大农业招商力度，着力引进</w:t>
      </w:r>
      <w:r>
        <w:rPr>
          <w:rFonts w:hint="eastAsia"/>
          <w:lang w:val="en-US" w:eastAsia="zh-CN"/>
        </w:rPr>
        <w:t>一</w:t>
      </w:r>
      <w:r>
        <w:rPr>
          <w:rFonts w:hint="eastAsia"/>
        </w:rPr>
        <w:t>批精深加工企业，延长产业链条，提高农业附加值。二要做大做强特色农业。以建设农业六大基地为抓手，全面推进烟草、优质稻、三元杂交猪、五黑鸡、油茶、中药材等优势特色产业发展。加快推进特色农产品品牌建设，进一步提升金友米、坪田白果、珠玑板鸭等农土特产品知名度。三要提升农业组织化程度。规范和引导发展农民专业合作社大力发展家庭农场、旅游农家乐和专业大户，构建集约化、专业化、组织化、社会化相结合的新型农业经营体系，促进农业标准化生产、规模化经营</w:t>
      </w:r>
      <w:r>
        <w:rPr>
          <w:rFonts w:hint="eastAsia"/>
          <w:lang w:eastAsia="zh-CN"/>
        </w:rPr>
        <w:t>、</w:t>
      </w:r>
      <w:r>
        <w:rPr>
          <w:rFonts w:hint="eastAsia"/>
        </w:rPr>
        <w:t>品牌化销售。坚持“依法自愿有偿”的原则，稳步推进土地流转，发展规模生产和经营，提高农业整体效益。力争</w:t>
      </w:r>
      <w:r>
        <w:t>2014年，全市实现农业总产值40亿</w:t>
      </w:r>
      <w:r>
        <w:rPr>
          <w:rFonts w:hint="eastAsia"/>
        </w:rPr>
        <w:t>元，农业加工企业总数达到</w:t>
      </w:r>
      <w:r>
        <w:t>40家。</w:t>
      </w:r>
    </w:p>
    <w:p w14:paraId="74FC7C9D">
      <w:pPr>
        <w:rPr>
          <w:rFonts w:hint="eastAsia"/>
        </w:rPr>
      </w:pPr>
      <w:r>
        <w:rPr>
          <w:rFonts w:hint="eastAsia"/>
          <w:b/>
          <w:bCs/>
        </w:rPr>
        <w:t>（四）全力以赴打好以旅游开发为重点的第三产业战役。</w:t>
      </w:r>
      <w:r>
        <w:rPr>
          <w:rFonts w:hint="eastAsia"/>
        </w:rPr>
        <w:t>随着经济结构的不断优化调整，第三产业在国民经济中的作用越来越大。当前，正是我市加快旅游发展的大好时机，要积极融入韶关“大南华、大丹霞、大南岭、大珠玑”旅游圈，大手笔</w:t>
      </w:r>
      <w:r>
        <w:rPr>
          <w:rFonts w:hint="eastAsia"/>
          <w:lang w:eastAsia="zh-CN"/>
        </w:rPr>
        <w:t>、</w:t>
      </w:r>
      <w:r>
        <w:rPr>
          <w:rFonts w:hint="eastAsia"/>
        </w:rPr>
        <w:t>大气魄推动以旅游业为龙头的第三产业提速发展。</w:t>
      </w:r>
      <w:r>
        <w:rPr>
          <w:rFonts w:hint="eastAsia"/>
          <w:lang w:val="en-US" w:eastAsia="zh-CN"/>
        </w:rPr>
        <w:t>一</w:t>
      </w:r>
      <w:r>
        <w:rPr>
          <w:rFonts w:hint="eastAsia"/>
        </w:rPr>
        <w:t>是加强旅游工作的领导。成立由市政府主要领导挂帅、相关部门领导为成员的市旅游发展委员会，定期研究解决全市旅游发展的各项问题，着力解决旅游发展“有人办事”的问题。二是加快旅游强市建设。加大旅游项目开发力度，扎实推进广东奥威斯乐园、主田生态观光休闲基地、珠玑乌坭水库生态休闲乐园和邓坊镇水庄岭旅游度假森林公园等项目建设，打造一批新的旅游精品项目。加快珠玑古巷游客服务中心、五星级锦绣花园酒店、四星级</w:t>
      </w:r>
      <w:r>
        <w:rPr>
          <w:rFonts w:hint="eastAsia"/>
          <w:lang w:val="en-US" w:eastAsia="zh-CN"/>
        </w:rPr>
        <w:t>广</w:t>
      </w:r>
      <w:r>
        <w:rPr>
          <w:rFonts w:hint="eastAsia"/>
        </w:rPr>
        <w:t>府人之家酒店建设，不断提升旅游接待水平。优化整合旅游资源，认真做好旅游项目策划包装和宣传推介，加大旅游招商工作力度。力争</w:t>
      </w:r>
      <w:r>
        <w:t>2014年，全</w:t>
      </w:r>
      <w:r>
        <w:rPr>
          <w:rFonts w:hint="eastAsia"/>
        </w:rPr>
        <w:t>市接待旅游人数达到</w:t>
      </w:r>
      <w:r>
        <w:t>228万人次，实现旅游收入17</w:t>
      </w:r>
      <w:r>
        <w:rPr>
          <w:rFonts w:hint="eastAsia"/>
          <w:lang w:val="en-US" w:eastAsia="zh-CN"/>
        </w:rPr>
        <w:t>.</w:t>
      </w:r>
      <w:r>
        <w:t>8亿元。三是加快发展商贸金融等现代服务业</w:t>
      </w:r>
      <w:r>
        <w:rPr>
          <w:rFonts w:hint="eastAsia"/>
          <w:lang w:eastAsia="zh-CN"/>
        </w:rPr>
        <w:t>。</w:t>
      </w:r>
      <w:r>
        <w:rPr>
          <w:rFonts w:hint="eastAsia"/>
        </w:rPr>
        <w:t>以韶赣铁路建设为契机，依托我市地方资源和地处</w:t>
      </w:r>
      <w:r>
        <w:rPr>
          <w:rFonts w:hint="eastAsia"/>
          <w:lang w:val="en-US" w:eastAsia="zh-CN"/>
        </w:rPr>
        <w:t>粤</w:t>
      </w:r>
      <w:r>
        <w:rPr>
          <w:rFonts w:hint="eastAsia"/>
        </w:rPr>
        <w:t>赣边、“红三角”节点的区位优势，积极引进投资主体，逐步打造化工产品、义乌小商品城、陶瓷建材、农土特产品、良种培育等专业市场，提升商贸流通整体水平。鼓励引导民营资本大力发展餐饮、商住、零售贸易等服务业，加快推进金融、科技、信息、物流等现代服务产业发展。力争把我市建设成功能特色明显、产业节点分明、配套服务齐全、产业集聚度高的区域性现代服务产业基地。</w:t>
      </w:r>
    </w:p>
    <w:p w14:paraId="193E415E">
      <w:pPr>
        <w:rPr>
          <w:rFonts w:hint="eastAsia"/>
        </w:rPr>
      </w:pPr>
      <w:r>
        <w:rPr>
          <w:rFonts w:hint="eastAsia"/>
          <w:b/>
          <w:bCs/>
          <w:lang w:eastAsia="zh-CN"/>
        </w:rPr>
        <w:t>（</w:t>
      </w:r>
      <w:r>
        <w:rPr>
          <w:rFonts w:hint="eastAsia"/>
          <w:b/>
          <w:bCs/>
        </w:rPr>
        <w:t>五）全力以赴打好以绿化美化为重点的林业生态强市战役。</w:t>
      </w:r>
      <w:r>
        <w:rPr>
          <w:rFonts w:hint="eastAsia"/>
        </w:rPr>
        <w:t>作为广东省林业生态县，我市最大的优势是生态，最大的财富是生态，最大的后劲是生态。保护生态，建设林业生态强市必须不留余力。一要狠抓生态修复工程。以新一轮绿化南雄大行动为契机，坚持“多种树、少砍木、严管护”原则，大力推进森林碳汇、生态景观林带、森林进城围城、乡村绿化美化等四大重点林业生态工程，力争</w:t>
      </w:r>
      <w:r>
        <w:t>2014年，森林面积达230万亩，森林蓄积量达840万立方米，建设森林碳汇林26450亩、生态景</w:t>
      </w:r>
      <w:r>
        <w:rPr>
          <w:rFonts w:hint="eastAsia"/>
        </w:rPr>
        <w:t>观林带</w:t>
      </w:r>
      <w:r>
        <w:t>1860亩；森林覆盖率达65.8%。二要狠抓</w:t>
      </w:r>
      <w:r>
        <w:rPr>
          <w:rFonts w:hint="eastAsia"/>
        </w:rPr>
        <w:t>林业经济发展。充分发挥林业经济功能的作用，坚持以市场为导向，以效益为中心，推进森林资源培育业从单一的丰产林基地向乡土树种、珍贵树种等多元化综合发展。大力发展竹木深加工产业，延长产业链条，提高林业附加值；大力发展林下种植</w:t>
      </w:r>
      <w:r>
        <w:rPr>
          <w:rFonts w:hint="eastAsia"/>
          <w:lang w:eastAsia="zh-CN"/>
        </w:rPr>
        <w:t>、</w:t>
      </w:r>
      <w:r>
        <w:rPr>
          <w:rFonts w:hint="eastAsia"/>
        </w:rPr>
        <w:t>种养和森林旅游业，使林业增效、林农增收，力争</w:t>
      </w:r>
      <w:r>
        <w:t>2014年全市林业总产值达到2.7亿元。三要狠抓节</w:t>
      </w:r>
      <w:r>
        <w:rPr>
          <w:rFonts w:hint="eastAsia"/>
        </w:rPr>
        <w:t>能减排工程。突出抓好珠玑纸业、城市污水处理</w:t>
      </w:r>
      <w:r>
        <w:rPr>
          <w:rFonts w:hint="eastAsia"/>
          <w:lang w:val="en-US" w:eastAsia="zh-CN"/>
        </w:rPr>
        <w:t>厂、</w:t>
      </w:r>
      <w:r>
        <w:rPr>
          <w:rFonts w:hint="eastAsia"/>
        </w:rPr>
        <w:t>园区污水处理厂、禽畜养殖业、涉重金属企业和水泥厂、乐华陶瓷等重点企业落实节能减排与污染防治措施，确保完成节能减排任务。加快工业、建筑、交通等领域的节能技术改造，坚决淘汰落后产能项目，限制高能耗企业发展，确保完成年度节能降耗目标任务。</w:t>
      </w:r>
    </w:p>
    <w:p w14:paraId="7C821E11">
      <w:pPr>
        <w:rPr>
          <w:rFonts w:hint="eastAsia"/>
          <w:b/>
          <w:bCs/>
        </w:rPr>
      </w:pPr>
      <w:r>
        <w:rPr>
          <w:rFonts w:hint="eastAsia"/>
          <w:b/>
          <w:bCs/>
        </w:rPr>
        <w:t>四、强化作风，凝聚力量，全力为加快南雄振兴发展提供坚强保障</w:t>
      </w:r>
    </w:p>
    <w:p w14:paraId="42DBEB5C">
      <w:pPr>
        <w:rPr>
          <w:rFonts w:hint="eastAsia"/>
        </w:rPr>
      </w:pPr>
      <w:r>
        <w:rPr>
          <w:rFonts w:hint="eastAsia"/>
        </w:rPr>
        <w:t>新的形势、新的任务、新的目标，对全市各级党组织和广大党员干部是一场新的更大考验。我们要始终坚持发展为了人民，发展依靠人民，发展成果由人民共享，充分发扬艰苦奋斗、真抓实干的优良作风，为实现全年任务目标提供坚强有力的保障。</w:t>
      </w:r>
    </w:p>
    <w:p w14:paraId="17906002">
      <w:pPr>
        <w:rPr>
          <w:rFonts w:hint="eastAsia"/>
        </w:rPr>
      </w:pPr>
      <w:r>
        <w:rPr>
          <w:rFonts w:hint="eastAsia"/>
          <w:b/>
          <w:bCs/>
        </w:rPr>
        <w:t>（一）坚定不移抓好民生工程建设，不断提升人民群众幸福指数。</w:t>
      </w:r>
      <w:r>
        <w:rPr>
          <w:rFonts w:hint="eastAsia"/>
        </w:rPr>
        <w:t>要以保障和改善民生作为一切工作的出发点和落脚点，加大财政对民生和基本公共服务的投入，着力提高城乡基本公共服务能力，努力办好群众的事情，解决群众的困难，让广大群众每年都感受到生活质量有新提高。一要坚持教育优先发展战略。继续加大教育投入，加快教育强镇建设，全面推进“强师工程”，不断优化教育资源配置，缩小城乡教育差距，促进全市整体办学水平和教育教学质量再上新台阶。二要千方百计稳定和扩大就业。坚持实施更加积极的就业政策，加强职业技能培训，提高劳动者就业创业能力。加快完善就业服务体系，鼓励创业带动就业，做好城镇就业困难人员、农民工、大中专毕业生就业工作，促进城乡居民收入持续稳定增长。三要不断完善社会保障体系。努力实现城乡居民养老保险全覆盖，稳步提高城乡居民基本医疗保险，扩大生育</w:t>
      </w:r>
      <w:r>
        <w:rPr>
          <w:rFonts w:hint="eastAsia"/>
          <w:lang w:eastAsia="zh-CN"/>
        </w:rPr>
        <w:t>、</w:t>
      </w:r>
      <w:r>
        <w:rPr>
          <w:rFonts w:hint="eastAsia"/>
        </w:rPr>
        <w:t>失业和工伤保险的覆盖范围。加快发展社会福利和慈善事业，不断提高城乡低保户、五保户、残疾人等特殊群体的保障水平。加快保障性住房建设，解决城镇低收入家庭住房困难问题。四要大力发展其他各项社会事业。加快城乡公共文化基础设施建设，深化文化体制改革，探索建立促进文体繁荣发展的激励机制。加快文化馆、图书馆、博物馆异地重建工作，扎实推进珠玑文化产业园等文化惠民项目建设。以社会主义核心价值体系为根本，加强舆论宣传引导工作，巩固壮大主流思想舆论，深入开展群众性精神文明创建活动，弘扬主旋律，传播正能量，激发全社会团结奋进的强大力量。深化医药卫生体制改革，巩固基本药物制度，健全农村三级医疗卫生服务网络和城市社区卫生服务体系。创新人口计生工作机制，促进</w:t>
      </w:r>
      <w:r>
        <w:rPr>
          <w:rFonts w:hint="eastAsia"/>
          <w:lang w:val="en-US" w:eastAsia="zh-CN"/>
        </w:rPr>
        <w:t>入</w:t>
      </w:r>
      <w:r>
        <w:rPr>
          <w:rFonts w:hint="eastAsia"/>
        </w:rPr>
        <w:t>口计生服务提质，继续稳定低生育水平。</w:t>
      </w:r>
    </w:p>
    <w:p w14:paraId="6A665BA0">
      <w:pPr>
        <w:rPr>
          <w:rFonts w:hint="eastAsia"/>
        </w:rPr>
      </w:pPr>
      <w:r>
        <w:rPr>
          <w:rFonts w:hint="eastAsia"/>
          <w:b/>
          <w:bCs/>
        </w:rPr>
        <w:t>（二）坚定不移抓好平安南雄建设，不断巩固社会长治久安的基础。</w:t>
      </w:r>
      <w:r>
        <w:rPr>
          <w:rFonts w:hint="eastAsia"/>
        </w:rPr>
        <w:t>要深入贯彻落实党的十八届三中全会精神，以群众满意为目标，积极推进社会治理体系和治理能力的现代化建设，把创建平安南雄、维护社会稳定当作一项重点工作抓好抓实</w:t>
      </w:r>
      <w:r>
        <w:rPr>
          <w:rFonts w:hint="eastAsia"/>
          <w:lang w:eastAsia="zh-CN"/>
        </w:rPr>
        <w:t>。</w:t>
      </w:r>
      <w:r>
        <w:rPr>
          <w:rFonts w:hint="eastAsia"/>
          <w:lang w:val="en-US" w:eastAsia="zh-CN"/>
        </w:rPr>
        <w:t>一</w:t>
      </w:r>
      <w:r>
        <w:rPr>
          <w:rFonts w:hint="eastAsia"/>
        </w:rPr>
        <w:t>要加强综治信访维稳工作。要完善党委领导、政府负责、社会协同、公众参与的社会管理格局，建立健全综治信访维稳排</w:t>
      </w:r>
      <w:r>
        <w:rPr>
          <w:rFonts w:hint="eastAsia"/>
          <w:lang w:eastAsia="zh-CN"/>
        </w:rPr>
        <w:t>查</w:t>
      </w:r>
      <w:r>
        <w:rPr>
          <w:rFonts w:hint="eastAsia"/>
        </w:rPr>
        <w:t>工作例会制度，严格落实领导包案制度、责任追究制度，切实解决好征地拆迁、劳资纠纷、行政行为不规范等涉及群众切身利益的问题，着力把社会矛盾化解在萌芽状态。二要加强和创新社会管理。建立重大社会决策和重大工程建设社会稳定风险评估机制，完善联系服务群众制度，强化网络问政载体作用，畅通和规范群众诉求表达、利益协调、权益保障渠道，从源头上预防和减少社会矛盾。加大对社会组织的培育扶持力度，出台政府购买社会服务目录和暂行办法。扎实推进创建“平安南雄”活动，加强社会治安综合治理和安全生产等工作，努力提高群众的安全感和满意度。三要建设法治政府。坚持依法行政，建立综合行政执法体系，减少行政执法层次，强化行政问责，坚决制止和纠正超越法定权限、违反法定程序的做法，努力建设法治型政府。</w:t>
      </w:r>
    </w:p>
    <w:p w14:paraId="29A35586">
      <w:pPr>
        <w:rPr>
          <w:rFonts w:hint="eastAsia"/>
        </w:rPr>
      </w:pPr>
      <w:r>
        <w:rPr>
          <w:rFonts w:hint="eastAsia"/>
          <w:b/>
          <w:bCs/>
        </w:rPr>
        <w:t>（三）坚定不移抓好干部队伍建设，不断提高执政能力和水平。</w:t>
      </w:r>
      <w:r>
        <w:rPr>
          <w:rFonts w:hint="eastAsia"/>
        </w:rPr>
        <w:t>要以改进工作作风、提高执政能力为主线，以深入开展群众路线教育活动为统领，以改革创新的精神加强干部队伍建设，为加快发展提供坚强保证。一要加强干部思想政</w:t>
      </w:r>
      <w:r>
        <w:rPr>
          <w:rFonts w:hint="eastAsia"/>
          <w:lang w:val="en-US" w:eastAsia="zh-CN"/>
        </w:rPr>
        <w:t>治</w:t>
      </w:r>
      <w:r>
        <w:rPr>
          <w:rFonts w:hint="eastAsia"/>
        </w:rPr>
        <w:t>教育。各级领导干部要把学习贯彻党的十八届三中全会精神作为当前和今后一个时期的重要政治任务，通过召开中心组学习会、民主生活会、专题研讨会等形式，把全会精神学习好、领会好，用扎实的理论知识武装头脑，着力解决影响和制约科学发展的突出问题，不断提高推动科学发展、促进社会和谐的能力和水平。二要加强各级领导班子和干部队伍建设</w:t>
      </w:r>
      <w:r>
        <w:rPr>
          <w:rFonts w:hint="eastAsia"/>
          <w:lang w:eastAsia="zh-CN"/>
        </w:rPr>
        <w:t>。</w:t>
      </w:r>
      <w:r>
        <w:rPr>
          <w:rFonts w:hint="eastAsia"/>
        </w:rPr>
        <w:t>围绕建设“五好四有”领导班子目标，继续开展大规模干部培训，切实提高各级领导班子综合素质，以便更好地驾驭改革发展稳定的大局，更加扎实、更加富有成效地做好各项工作。深化干部人事制度改革，创新选人用人方式，注重用结果说话，让“想干事、能干事、能干成事、能干净干事”的人得到重用，切实打造一支召之即来、来之能战、战之能胜的领导干部队伍。三要加强基层组织建设。继续实施基层党建“五大工程”，扎实推进村级组织运作示范镇创建，提升农村党建工作水平。扩大“两新”组织党组织覆盖面，深化“两新”组织党建示范点创建。要以村级党组织换届为契机，选优配强村级班子，充分发挥农村党组织在发展经济</w:t>
      </w:r>
      <w:r>
        <w:rPr>
          <w:rFonts w:hint="eastAsia"/>
          <w:lang w:eastAsia="zh-CN"/>
        </w:rPr>
        <w:t>、</w:t>
      </w:r>
      <w:r>
        <w:rPr>
          <w:rFonts w:hint="eastAsia"/>
        </w:rPr>
        <w:t>致富群众方面的核心作用。四要深入开展“讲勤俭、比贡献、促发展”主题教育实践活动。近年来，通过全市上下的不懈努力，我市经济社会发展取得了长足进步，涨工资、提待遇，广大干部群众享受到了实实在在的发展成果。但是，我们不能光讲享受，要更多地想一想“好日子大家过，我为南雄做什么”。全市各级各单位要以群众路线教育活动为契机，深入开展“讲勤俭、比贡献、促发展”主题实践活动，严格落实中央八项规定，坚决反对形式主义、官僚主义、享乐主义和奢靡之风，大力弘扬勤劳节俭、无私奉献、求真务实的工作作风，以饱满的精神状态，争创一流业绩，为推动南雄加快发展尽心竭力。</w:t>
      </w:r>
    </w:p>
    <w:p w14:paraId="44B023F2">
      <w:pPr>
        <w:rPr>
          <w:rFonts w:hint="eastAsia"/>
        </w:rPr>
      </w:pPr>
      <w:r>
        <w:rPr>
          <w:rFonts w:hint="eastAsia"/>
          <w:b/>
          <w:bCs/>
        </w:rPr>
        <w:t>（四）坚定不移抓好党风廉政建设，不断提高党的建设科学化水平。</w:t>
      </w:r>
      <w:r>
        <w:rPr>
          <w:rFonts w:hint="eastAsia"/>
        </w:rPr>
        <w:t>严格执行党风廉政建设责任制，深入推进具有南雄特色的惩治和预防腐败体系建设，努力做到干部清正、政府清廉、政治清明，建设廉洁南雄。加强廉政教育和廉政文化建设，筑牢拒腐防变的思想防线。坚持用制度规范从政行为、规范权力运行，做到用制度管权管事管人，确保权力在阳光下运行。扎实开展纠风和专项治理，加强对强农惠农政策落实的监督检</w:t>
      </w:r>
      <w:r>
        <w:rPr>
          <w:rFonts w:hint="eastAsia"/>
          <w:lang w:eastAsia="zh-CN"/>
        </w:rPr>
        <w:t>查</w:t>
      </w:r>
      <w:r>
        <w:rPr>
          <w:rFonts w:hint="eastAsia"/>
        </w:rPr>
        <w:t>，严厉</w:t>
      </w:r>
      <w:r>
        <w:rPr>
          <w:rFonts w:hint="eastAsia"/>
          <w:lang w:eastAsia="zh-CN"/>
        </w:rPr>
        <w:t>查</w:t>
      </w:r>
      <w:r>
        <w:rPr>
          <w:rFonts w:hint="eastAsia"/>
        </w:rPr>
        <w:t>处失职渎职行为，切实保障群众的合法权益。不断加大违纪违法案件</w:t>
      </w:r>
      <w:r>
        <w:rPr>
          <w:rFonts w:hint="eastAsia"/>
          <w:lang w:eastAsia="zh-CN"/>
        </w:rPr>
        <w:t>查</w:t>
      </w:r>
      <w:r>
        <w:rPr>
          <w:rFonts w:hint="eastAsia"/>
        </w:rPr>
        <w:t>处力度，坚决做到有案必</w:t>
      </w:r>
      <w:r>
        <w:rPr>
          <w:rFonts w:hint="eastAsia"/>
          <w:lang w:eastAsia="zh-CN"/>
        </w:rPr>
        <w:t>查</w:t>
      </w:r>
      <w:r>
        <w:rPr>
          <w:rFonts w:hint="eastAsia"/>
        </w:rPr>
        <w:t>、有贪必反、有腐必惩、有乱必治，努力营造清正廉明的政治环境。各位领导干部必须严格执行重大事项报告制度和利益冲突回避制度，既严于律己，又加强对亲属和身边工作人员的教育和约束，绝不允许搞特权，切实做好清正廉洁的表率，以实际行动取信于民。</w:t>
      </w:r>
    </w:p>
    <w:p w14:paraId="038C8456">
      <w:pPr>
        <w:rPr>
          <w:rFonts w:hint="eastAsia"/>
        </w:rPr>
      </w:pPr>
      <w:r>
        <w:rPr>
          <w:rFonts w:hint="eastAsia"/>
        </w:rPr>
        <w:t>做好今年工作，完成各项目标任务，必须最大限度地调动各方面的积极性，凝聚各方面的智慧和力量。我们将全力支持人大及其常委会依法行使职权，更好发挥人民政协作为协商民主重要渠道的作用，巩固发展最广泛的爱国统一战线，加强党对工青妇等人民团体的领导，密切军政军民关系，进步营造民主团结、安定和谐的政治局面。</w:t>
      </w:r>
    </w:p>
    <w:p w14:paraId="4B65DF3E">
      <w:pPr>
        <w:rPr>
          <w:rFonts w:hint="eastAsia"/>
        </w:rPr>
      </w:pPr>
      <w:r>
        <w:rPr>
          <w:rFonts w:hint="eastAsia"/>
        </w:rPr>
        <w:t>同志们，改革发展的大潮把南雄推向了新的起</w:t>
      </w:r>
      <w:r>
        <w:rPr>
          <w:rFonts w:hint="eastAsia"/>
          <w:lang w:val="en-US" w:eastAsia="zh-CN"/>
        </w:rPr>
        <w:t>点</w:t>
      </w:r>
      <w:r>
        <w:rPr>
          <w:rFonts w:hint="eastAsia"/>
        </w:rPr>
        <w:t>，我们正处在一个极其关键的历史时刻。百尺竿头思更进，策马扬鞭再奋蹄。让我们在上级党委的坚强领导下，带领全市人民团结一心、鼓足干劲</w:t>
      </w:r>
      <w:r>
        <w:rPr>
          <w:rFonts w:hint="eastAsia"/>
          <w:lang w:eastAsia="zh-CN"/>
        </w:rPr>
        <w:t>、</w:t>
      </w:r>
      <w:r>
        <w:rPr>
          <w:rFonts w:hint="eastAsia"/>
        </w:rPr>
        <w:t>攻坚克难，以“坐不住”的紧迫感、“等不起”的责任感、“慢不得”的危机感，努力开创各项事业的新局面，为建设生态富裕文明和谐的粤北门户城市作出新的更大贡献！</w:t>
      </w:r>
    </w:p>
    <w:p w14:paraId="5896C10A">
      <w:pPr>
        <w:pStyle w:val="3"/>
        <w:bidi w:val="0"/>
        <w:rPr>
          <w:rFonts w:hint="eastAsia"/>
        </w:rPr>
      </w:pPr>
      <w:r>
        <w:rPr>
          <w:rFonts w:hint="eastAsia"/>
        </w:rPr>
        <w:t>政府工作报告</w:t>
      </w:r>
    </w:p>
    <w:p w14:paraId="758CC5A2">
      <w:pPr>
        <w:pStyle w:val="10"/>
        <w:bidi w:val="0"/>
        <w:jc w:val="center"/>
        <w:rPr>
          <w:rFonts w:hint="eastAsia"/>
          <w:b/>
          <w:bCs/>
        </w:rPr>
      </w:pPr>
      <w:r>
        <w:rPr>
          <w:rFonts w:hint="eastAsia"/>
          <w:b/>
          <w:bCs/>
        </w:rPr>
        <w:t>（</w:t>
      </w:r>
      <w:r>
        <w:rPr>
          <w:b/>
          <w:bCs/>
        </w:rPr>
        <w:t>2014年1月22日在南雄市第</w:t>
      </w:r>
      <w:r>
        <w:rPr>
          <w:rFonts w:hint="eastAsia"/>
          <w:b/>
          <w:bCs/>
        </w:rPr>
        <w:t>十四届人民代表大会第四次会议上）</w:t>
      </w:r>
    </w:p>
    <w:p w14:paraId="4116ADCB">
      <w:pPr>
        <w:pStyle w:val="10"/>
        <w:bidi w:val="0"/>
        <w:jc w:val="center"/>
        <w:rPr>
          <w:rFonts w:hint="eastAsia"/>
        </w:rPr>
      </w:pPr>
      <w:r>
        <w:rPr>
          <w:rFonts w:hint="eastAsia"/>
        </w:rPr>
        <w:t>代市长</w:t>
      </w:r>
      <w:r>
        <w:rPr>
          <w:rFonts w:hint="eastAsia"/>
          <w:lang w:val="en-US" w:eastAsia="zh-CN"/>
        </w:rPr>
        <w:t xml:space="preserve">  </w:t>
      </w:r>
      <w:r>
        <w:rPr>
          <w:rFonts w:hint="eastAsia"/>
        </w:rPr>
        <w:t>曾风保</w:t>
      </w:r>
    </w:p>
    <w:p w14:paraId="37EFD7E9">
      <w:pPr>
        <w:ind w:left="0" w:leftChars="0" w:firstLine="0" w:firstLineChars="0"/>
        <w:rPr>
          <w:rFonts w:hint="eastAsia"/>
        </w:rPr>
      </w:pPr>
      <w:r>
        <w:rPr>
          <w:rFonts w:hint="eastAsia"/>
        </w:rPr>
        <w:t>各位代表：</w:t>
      </w:r>
    </w:p>
    <w:p w14:paraId="54F12774">
      <w:pPr>
        <w:rPr>
          <w:rFonts w:hint="eastAsia"/>
          <w:lang w:val="en-US" w:eastAsia="zh-CN"/>
        </w:rPr>
      </w:pPr>
      <w:r>
        <w:rPr>
          <w:rFonts w:hint="eastAsia"/>
        </w:rPr>
        <w:t>我代表市人民政府向大会作政府工作报告，请予审议，并请政协各位委员和其他列席人员提出</w:t>
      </w:r>
      <w:r>
        <w:rPr>
          <w:rFonts w:hint="eastAsia"/>
          <w:lang w:val="en-US" w:eastAsia="zh-CN"/>
        </w:rPr>
        <w:t>意见。</w:t>
      </w:r>
    </w:p>
    <w:p w14:paraId="47B8100D">
      <w:pPr>
        <w:pStyle w:val="10"/>
        <w:bidi w:val="0"/>
        <w:jc w:val="center"/>
        <w:rPr>
          <w:b/>
          <w:bCs/>
        </w:rPr>
      </w:pPr>
      <w:r>
        <w:rPr>
          <w:rFonts w:hint="eastAsia"/>
          <w:b/>
          <w:bCs/>
          <w:lang w:val="en-US" w:eastAsia="zh-CN"/>
        </w:rPr>
        <w:t>二〇</w:t>
      </w:r>
      <w:r>
        <w:rPr>
          <w:b/>
          <w:bCs/>
        </w:rPr>
        <w:t>一三年工作回顾</w:t>
      </w:r>
    </w:p>
    <w:p w14:paraId="3467517E">
      <w:pPr>
        <w:rPr>
          <w:rFonts w:hint="eastAsia"/>
          <w:lang w:val="en-US" w:eastAsia="zh-CN"/>
        </w:rPr>
      </w:pPr>
      <w:r>
        <w:t>2013年，在市委的正确领导和市人大、市政协</w:t>
      </w:r>
      <w:r>
        <w:rPr>
          <w:rFonts w:hint="eastAsia"/>
        </w:rPr>
        <w:t>的监督支持下，市人民政府深入贯彻党的十八大精神，以务实创新的精神风貌和攻坚克难的工作举措，不断开创南雄科学发展新局面，较好完成了各项工作任务。</w:t>
      </w:r>
      <w:r>
        <w:t>2013年，完成地区生产总值（GDP）100.8亿元、增长12.7%，完成固定资产投资82.4</w:t>
      </w:r>
      <w:r>
        <w:rPr>
          <w:rFonts w:hint="eastAsia"/>
        </w:rPr>
        <w:t>亿元、增长</w:t>
      </w:r>
      <w:r>
        <w:t>16%，完成地方公共财政预算收入4.8</w:t>
      </w:r>
      <w:r>
        <w:rPr>
          <w:rFonts w:hint="eastAsia"/>
        </w:rPr>
        <w:t>亿元、增长</w:t>
      </w:r>
      <w:r>
        <w:t>18.87%。一年来的工作主要体现“四</w:t>
      </w:r>
      <w:r>
        <w:rPr>
          <w:rFonts w:hint="eastAsia"/>
          <w:lang w:val="en-US" w:eastAsia="zh-CN"/>
        </w:rPr>
        <w:t>个新”：</w:t>
      </w:r>
    </w:p>
    <w:p w14:paraId="4E615282">
      <w:pPr>
        <w:rPr>
          <w:rFonts w:hint="eastAsia"/>
          <w:b/>
          <w:bCs/>
        </w:rPr>
      </w:pPr>
      <w:r>
        <w:rPr>
          <w:rFonts w:hint="eastAsia"/>
          <w:b/>
          <w:bCs/>
          <w:lang w:val="en-US" w:eastAsia="zh-CN"/>
        </w:rPr>
        <w:t>一、</w:t>
      </w:r>
      <w:r>
        <w:rPr>
          <w:rFonts w:hint="eastAsia"/>
          <w:b/>
          <w:bCs/>
        </w:rPr>
        <w:t>经济发展跨上新台阶</w:t>
      </w:r>
    </w:p>
    <w:p w14:paraId="11B2BA73">
      <w:r>
        <w:rPr>
          <w:rFonts w:hint="eastAsia"/>
          <w:b/>
          <w:bCs/>
        </w:rPr>
        <w:t>经济发展总量突破百亿元。</w:t>
      </w:r>
      <w:r>
        <w:rPr>
          <w:rFonts w:hint="eastAsia"/>
        </w:rPr>
        <w:t>地区生产总值完成</w:t>
      </w:r>
      <w:r>
        <w:t>100.8亿元，创历史新高。三次产业结构为23.4</w:t>
      </w:r>
      <w:r>
        <w:rPr>
          <w:rFonts w:hint="eastAsia"/>
          <w:lang w:eastAsia="zh-CN"/>
        </w:rPr>
        <w:t>：</w:t>
      </w:r>
      <w:r>
        <w:t>36.8</w:t>
      </w:r>
      <w:r>
        <w:rPr>
          <w:rFonts w:hint="eastAsia"/>
          <w:lang w:eastAsia="zh-CN"/>
        </w:rPr>
        <w:t>：</w:t>
      </w:r>
      <w:r>
        <w:t>39.8，产业结构进一步优化。</w:t>
      </w:r>
    </w:p>
    <w:p w14:paraId="064AF636">
      <w:r>
        <w:rPr>
          <w:rFonts w:hint="eastAsia"/>
        </w:rPr>
        <w:t>工业经济总量超百亿元。完成工业总产值</w:t>
      </w:r>
      <w:r>
        <w:t>109.2亿元、增长28.9%；实现工业增加值28.6亿</w:t>
      </w:r>
      <w:r>
        <w:rPr>
          <w:rFonts w:hint="eastAsia"/>
        </w:rPr>
        <w:t>元、增长</w:t>
      </w:r>
      <w:r>
        <w:t>25.9%，其中规模以上工业实现增加值24.5亿元、增长29.6%。新增规上企业9家，总数</w:t>
      </w:r>
      <w:r>
        <w:rPr>
          <w:rFonts w:hint="eastAsia"/>
        </w:rPr>
        <w:t>达</w:t>
      </w:r>
      <w:r>
        <w:t>82家。园区已经成为我市工业经济支柱，有66</w:t>
      </w:r>
      <w:r>
        <w:rPr>
          <w:rFonts w:hint="eastAsia"/>
        </w:rPr>
        <w:t>家企业投（试）产，完成工业产值</w:t>
      </w:r>
      <w:r>
        <w:t>70.4亿元、增</w:t>
      </w:r>
      <w:r>
        <w:rPr>
          <w:rFonts w:hint="eastAsia"/>
        </w:rPr>
        <w:t>长</w:t>
      </w:r>
      <w:r>
        <w:t>49.6%，实现工业增加值18亿元、增长50%</w:t>
      </w:r>
      <w:r>
        <w:rPr>
          <w:rFonts w:hint="eastAsia"/>
          <w:lang w:eastAsia="zh-CN"/>
        </w:rPr>
        <w:t>，</w:t>
      </w:r>
      <w:r>
        <w:rPr>
          <w:rFonts w:hint="eastAsia"/>
        </w:rPr>
        <w:t>占全市工业总产值和增加值的比重分别为</w:t>
      </w:r>
      <w:r>
        <w:t>64.5%和62.9%，获评省“四星级服务园区”，连续第三年</w:t>
      </w:r>
      <w:r>
        <w:rPr>
          <w:rFonts w:hint="eastAsia"/>
        </w:rPr>
        <w:t>在省双转移目标责任考核中取得优秀等次；园区二期扩园成功，基础设施建设投入资金</w:t>
      </w:r>
      <w:r>
        <w:t>4亿元。</w:t>
      </w:r>
    </w:p>
    <w:p w14:paraId="21C2337D">
      <w:pPr>
        <w:rPr>
          <w:rFonts w:hint="eastAsia"/>
        </w:rPr>
      </w:pPr>
      <w:r>
        <w:rPr>
          <w:rFonts w:hint="eastAsia"/>
          <w:b/>
          <w:bCs/>
        </w:rPr>
        <w:t>农业农村工作稳步发展。</w:t>
      </w:r>
      <w:r>
        <w:rPr>
          <w:rFonts w:hint="eastAsia"/>
        </w:rPr>
        <w:t>完成农业总产值</w:t>
      </w:r>
      <w:r>
        <w:t>38.6</w:t>
      </w:r>
      <w:r>
        <w:rPr>
          <w:rFonts w:hint="eastAsia"/>
        </w:rPr>
        <w:t>亿元、增长</w:t>
      </w:r>
      <w:r>
        <w:t>4.9%，增加值23.6亿元、增长4.8%。</w:t>
      </w:r>
      <w:r>
        <w:rPr>
          <w:rFonts w:hint="eastAsia"/>
        </w:rPr>
        <w:t>创办了四个万亩水稻高产示范片，粮食产量增长</w:t>
      </w:r>
      <w:r>
        <w:t>2.2%，储备流通体系进一步完善，有效保障了粮</w:t>
      </w:r>
      <w:r>
        <w:rPr>
          <w:rFonts w:hint="eastAsia"/>
        </w:rPr>
        <w:t>食安全，荣获“全国粮食流通监督检</w:t>
      </w:r>
      <w:r>
        <w:rPr>
          <w:rFonts w:hint="eastAsia"/>
          <w:lang w:eastAsia="zh-CN"/>
        </w:rPr>
        <w:t>查</w:t>
      </w:r>
      <w:r>
        <w:rPr>
          <w:rFonts w:hint="eastAsia"/>
        </w:rPr>
        <w:t>示范县”称号。烟叶种植成为农民增收稳定来源，收购烟叶</w:t>
      </w:r>
      <w:r>
        <w:t>29</w:t>
      </w:r>
      <w:r>
        <w:rPr>
          <w:rFonts w:hint="eastAsia"/>
        </w:rPr>
        <w:t>万担，收购资金</w:t>
      </w:r>
      <w:r>
        <w:t>3.5亿元，平均价格增长12.5%。</w:t>
      </w:r>
      <w:r>
        <w:rPr>
          <w:rFonts w:hint="eastAsia"/>
        </w:rPr>
        <w:t>新一轮扶贫“双到”工作取得新进展，</w:t>
      </w:r>
      <w:r>
        <w:t>59个省重</w:t>
      </w:r>
      <w:r>
        <w:rPr>
          <w:rFonts w:hint="eastAsia"/>
        </w:rPr>
        <w:t>点帮扶村已全面对接，落实帮扶资金</w:t>
      </w:r>
      <w:r>
        <w:t>1.5亿元，改</w:t>
      </w:r>
      <w:r>
        <w:rPr>
          <w:rFonts w:hint="eastAsia"/>
        </w:rPr>
        <w:t>造</w:t>
      </w:r>
      <w:r>
        <w:t>250户困难户住房。农产品安全工作扎实推进，</w:t>
      </w:r>
      <w:r>
        <w:rPr>
          <w:rFonts w:hint="eastAsia"/>
        </w:rPr>
        <w:t>市农产品质量安全监督检测站资质通过省级认定。农业企业不断发展壮大，</w:t>
      </w:r>
      <w:r>
        <w:t>7家农业龙头企业达到韶</w:t>
      </w:r>
      <w:r>
        <w:rPr>
          <w:rFonts w:hint="eastAsia"/>
        </w:rPr>
        <w:t>关市级标准。</w:t>
      </w:r>
    </w:p>
    <w:p w14:paraId="2C4BDC4D">
      <w:r>
        <w:rPr>
          <w:rFonts w:hint="eastAsia"/>
          <w:b/>
          <w:bCs/>
        </w:rPr>
        <w:t>对外开放水平全面提升。</w:t>
      </w:r>
      <w:r>
        <w:rPr>
          <w:rFonts w:hint="eastAsia"/>
        </w:rPr>
        <w:t>利用首届“世广会”，成功举办了“南雄旅游投资环境推介会”，签约资金</w:t>
      </w:r>
      <w:r>
        <w:t>28.7亿元。全年引进投资项目27个，投资总额8.8亿元。合同利用外资3200万美元，实际利用外</w:t>
      </w:r>
      <w:r>
        <w:rPr>
          <w:rFonts w:hint="eastAsia"/>
        </w:rPr>
        <w:t>资</w:t>
      </w:r>
      <w:r>
        <w:t>2220万美元，外贸出口3415万美元。</w:t>
      </w:r>
    </w:p>
    <w:p w14:paraId="64426766">
      <w:r>
        <w:rPr>
          <w:rFonts w:hint="eastAsia"/>
        </w:rPr>
        <w:t>第三产业持续兴旺。珠玑古巷、梅岭梅花、帽子峰景区及坪田银杏等特色旅游知名度全面提升，全年接待游客</w:t>
      </w:r>
      <w:r>
        <w:t>220.9万人次，旅游总收入15.5亿</w:t>
      </w:r>
      <w:r>
        <w:rPr>
          <w:rFonts w:hint="eastAsia"/>
        </w:rPr>
        <w:t>元，分别增长</w:t>
      </w:r>
      <w:r>
        <w:t>28%和32.7%。城乡消费市场兴旺，</w:t>
      </w:r>
      <w:r>
        <w:rPr>
          <w:rFonts w:hint="eastAsia"/>
        </w:rPr>
        <w:t>全年实现社会消费品零售总额</w:t>
      </w:r>
      <w:r>
        <w:t>35.6亿元、增</w:t>
      </w:r>
      <w:r>
        <w:rPr>
          <w:rFonts w:hint="eastAsia"/>
        </w:rPr>
        <w:t>长</w:t>
      </w:r>
      <w:r>
        <w:t>15.1%。</w:t>
      </w:r>
    </w:p>
    <w:p w14:paraId="5E1F22C2">
      <w:pPr>
        <w:rPr>
          <w:rFonts w:hint="eastAsia"/>
          <w:b/>
          <w:bCs/>
        </w:rPr>
      </w:pPr>
      <w:r>
        <w:rPr>
          <w:rFonts w:hint="eastAsia"/>
          <w:b/>
          <w:bCs/>
          <w:lang w:val="en-US" w:eastAsia="zh-CN"/>
        </w:rPr>
        <w:t>二、</w:t>
      </w:r>
      <w:r>
        <w:rPr>
          <w:rFonts w:hint="eastAsia"/>
          <w:b/>
          <w:bCs/>
        </w:rPr>
        <w:t>城乡建设呈现新面貌</w:t>
      </w:r>
    </w:p>
    <w:p w14:paraId="0742DE8F">
      <w:pPr>
        <w:rPr>
          <w:rFonts w:hint="eastAsia"/>
          <w:lang w:eastAsia="zh-CN"/>
        </w:rPr>
      </w:pPr>
      <w:r>
        <w:rPr>
          <w:rFonts w:hint="eastAsia"/>
          <w:b/>
          <w:bCs/>
        </w:rPr>
        <w:t>重点建设项目加快推进。</w:t>
      </w:r>
      <w:r>
        <w:rPr>
          <w:rFonts w:hint="eastAsia"/>
        </w:rPr>
        <w:t>“三农”项目方面，湖口镇、邓坊镇两个农综项目已竣工，分别完成投资</w:t>
      </w:r>
      <w:r>
        <w:t>1320万元和1500万元；烟叶基础设施完成投资3983万元；水利投入资金1.6亿元，8个重点项目</w:t>
      </w:r>
      <w:r>
        <w:rPr>
          <w:rFonts w:hint="eastAsia"/>
        </w:rPr>
        <w:t>扎实推进；</w:t>
      </w:r>
      <w:r>
        <w:t>44个村级“一事一议”项目、2个名</w:t>
      </w:r>
      <w:r>
        <w:rPr>
          <w:rFonts w:hint="eastAsia"/>
        </w:rPr>
        <w:t>村、</w:t>
      </w:r>
      <w:r>
        <w:t>5个示范村建设全面完成。工业企业方面，乐</w:t>
      </w:r>
      <w:r>
        <w:rPr>
          <w:rFonts w:hint="eastAsia"/>
        </w:rPr>
        <w:t>华二期洁具工程投资</w:t>
      </w:r>
      <w:r>
        <w:t>9500万元，正在进行设备安</w:t>
      </w:r>
      <w:r>
        <w:rPr>
          <w:rFonts w:hint="eastAsia"/>
        </w:rPr>
        <w:t>装调试；绿洲公司扩产技改项目完成投资</w:t>
      </w:r>
      <w:r>
        <w:t>2000万</w:t>
      </w:r>
      <w:r>
        <w:rPr>
          <w:rFonts w:hint="eastAsia"/>
        </w:rPr>
        <w:t>元，已经完成土建工程；彤置富水泥生产线主体工程建设加快。交通基础设施方面，赣韶铁路南雄段完成铺轨，</w:t>
      </w:r>
      <w:r>
        <w:t>2014年6月将正式通车；投资2075万</w:t>
      </w:r>
      <w:r>
        <w:rPr>
          <w:rFonts w:hint="eastAsia"/>
        </w:rPr>
        <w:t>元，完成</w:t>
      </w:r>
      <w:r>
        <w:t>83公里自然村水泥公路建设，超过原计</w:t>
      </w:r>
      <w:r>
        <w:rPr>
          <w:rFonts w:hint="eastAsia"/>
        </w:rPr>
        <w:t>划</w:t>
      </w:r>
      <w:r>
        <w:t>23公里；X342线湖口至南亩段改造，春节前可</w:t>
      </w:r>
      <w:r>
        <w:rPr>
          <w:rFonts w:hint="eastAsia"/>
        </w:rPr>
        <w:t>完成主路面工程。旅游配套项目方面，珠玑古巷停车场建设已完成，广东奥威斯乐园完成投资</w:t>
      </w:r>
      <w:r>
        <w:t>1亿</w:t>
      </w:r>
      <w:r>
        <w:rPr>
          <w:rFonts w:hint="eastAsia"/>
        </w:rPr>
        <w:t>元，元升生态观光休闲农场完成投资</w:t>
      </w:r>
      <w:r>
        <w:t>5000万元，</w:t>
      </w:r>
      <w:r>
        <w:rPr>
          <w:rFonts w:hint="eastAsia"/>
        </w:rPr>
        <w:t>锦绣花园酒店完成投资</w:t>
      </w:r>
      <w:r>
        <w:t>3000万元，国际会展中心</w:t>
      </w:r>
      <w:r>
        <w:rPr>
          <w:rFonts w:hint="eastAsia"/>
        </w:rPr>
        <w:t>酒店已封顶。信息化建设卓有成效，城市宽带、</w:t>
      </w:r>
      <w:r>
        <w:t>C</w:t>
      </w:r>
      <w:r>
        <w:rPr>
          <w:rFonts w:hint="eastAsia"/>
        </w:rPr>
        <w:t>网新建等项目建设完成投资</w:t>
      </w:r>
      <w:r>
        <w:t>974万元。电力、能源</w:t>
      </w:r>
      <w:r>
        <w:rPr>
          <w:rFonts w:hint="eastAsia"/>
        </w:rPr>
        <w:t>等基础设施建设不断完善，农村电网改造完成投资</w:t>
      </w:r>
      <w:r>
        <w:t>3726万元，佛燃天然气公司完成20公里燃气管道</w:t>
      </w:r>
      <w:r>
        <w:rPr>
          <w:rFonts w:hint="eastAsia"/>
        </w:rPr>
        <w:t>铺设</w:t>
      </w:r>
      <w:r>
        <w:rPr>
          <w:rFonts w:hint="eastAsia"/>
          <w:lang w:eastAsia="zh-CN"/>
        </w:rPr>
        <w:t>。</w:t>
      </w:r>
    </w:p>
    <w:p w14:paraId="160A72DA">
      <w:pPr>
        <w:rPr>
          <w:rFonts w:hint="eastAsia"/>
        </w:rPr>
      </w:pPr>
      <w:r>
        <w:rPr>
          <w:rFonts w:hint="eastAsia"/>
          <w:b/>
          <w:bCs/>
        </w:rPr>
        <w:t>城市建设步伐加快。</w:t>
      </w:r>
      <w:r>
        <w:rPr>
          <w:rFonts w:hint="eastAsia"/>
        </w:rPr>
        <w:t>城市总体规划修改和镇村规划编制工作顺利进行。南雄·东方（大润发）项目一期工程完成投资</w:t>
      </w:r>
      <w:r>
        <w:t>3亿元，并建成开业。大福国</w:t>
      </w:r>
      <w:r>
        <w:rPr>
          <w:rFonts w:hint="eastAsia"/>
        </w:rPr>
        <w:t>际名城一期完成投资</w:t>
      </w:r>
      <w:r>
        <w:t>1.1亿元，六栋商住楼和商业</w:t>
      </w:r>
      <w:r>
        <w:rPr>
          <w:rFonts w:hint="eastAsia"/>
        </w:rPr>
        <w:t>中心已经建成，建筑面积</w:t>
      </w:r>
      <w:r>
        <w:t>10.1万平方米。100套廉</w:t>
      </w:r>
      <w:r>
        <w:rPr>
          <w:rFonts w:hint="eastAsia"/>
        </w:rPr>
        <w:t>租房建成并完成配租，公租房一期</w:t>
      </w:r>
      <w:r>
        <w:t>54套基本完工，</w:t>
      </w:r>
      <w:r>
        <w:rPr>
          <w:rFonts w:hint="eastAsia"/>
        </w:rPr>
        <w:t>二期项目已开工建设。雄州新城、时代广场、新雄州公园等城市亮点工程加快推进。</w:t>
      </w:r>
    </w:p>
    <w:p w14:paraId="798B9288">
      <w:pPr>
        <w:rPr>
          <w:rFonts w:hint="eastAsia" w:eastAsia="宋体"/>
          <w:lang w:val="en-US" w:eastAsia="zh-CN"/>
        </w:rPr>
      </w:pPr>
      <w:r>
        <w:rPr>
          <w:rFonts w:hint="eastAsia"/>
          <w:b/>
          <w:bCs/>
        </w:rPr>
        <w:t>生态文明建设全面加强。</w:t>
      </w:r>
      <w:r>
        <w:rPr>
          <w:rFonts w:hint="eastAsia"/>
        </w:rPr>
        <w:t>成功竞得省生态公益林激励性补助资金</w:t>
      </w:r>
      <w:r>
        <w:t>2744万元、省森林碳汇重点生</w:t>
      </w:r>
      <w:r>
        <w:rPr>
          <w:rFonts w:hint="eastAsia"/>
        </w:rPr>
        <w:t>态工程建设资金</w:t>
      </w:r>
      <w:r>
        <w:t>928万元。掀起新一轮绿化南雄大</w:t>
      </w:r>
      <w:r>
        <w:rPr>
          <w:rFonts w:hint="eastAsia"/>
        </w:rPr>
        <w:t>行动，全市完成造林</w:t>
      </w:r>
      <w:r>
        <w:t>5.96万亩。市林业局获得</w:t>
      </w:r>
      <w:r>
        <w:rPr>
          <w:rFonts w:hint="eastAsia"/>
        </w:rPr>
        <w:t>“全国林业系统先进集体”荣誉称号。土地资源得到合理保护利用，雄州街道、百顺、珠玑、古市等城乡建设用地增减挂钩项目拆旧复垦顺利进行。大力抓好城乡清洁工作，苍石垃圾填埋场完成投资</w:t>
      </w:r>
      <w:r>
        <w:t>1622万元，镇级垃圾转运站全部建成；城市排污管</w:t>
      </w:r>
      <w:r>
        <w:rPr>
          <w:rFonts w:hint="eastAsia"/>
        </w:rPr>
        <w:t>网建设完成投资</w:t>
      </w:r>
      <w:r>
        <w:t>1000万元，建成雨污管网6900多</w:t>
      </w:r>
      <w:r>
        <w:rPr>
          <w:rFonts w:hint="eastAsia"/>
        </w:rPr>
        <w:t>米；</w:t>
      </w:r>
      <w:r>
        <w:t>1个省级、4个韶关市级卫生村通过验收。加</w:t>
      </w:r>
      <w:r>
        <w:rPr>
          <w:rFonts w:hint="eastAsia"/>
        </w:rPr>
        <w:t>强重点排污企业监管，两家国控企业、园区污水处理厂和禽畜养殖业落实污染减排与防治措施</w:t>
      </w:r>
      <w:r>
        <w:rPr>
          <w:rFonts w:hint="eastAsia"/>
          <w:lang w:eastAsia="zh-CN"/>
        </w:rPr>
        <w:t>。</w:t>
      </w:r>
    </w:p>
    <w:p w14:paraId="462FFE51">
      <w:pPr>
        <w:rPr>
          <w:rFonts w:hint="eastAsia"/>
          <w:b/>
          <w:bCs/>
        </w:rPr>
      </w:pPr>
      <w:r>
        <w:rPr>
          <w:rFonts w:hint="eastAsia"/>
          <w:b/>
          <w:bCs/>
        </w:rPr>
        <w:t>三、民生事业实现新发展</w:t>
      </w:r>
    </w:p>
    <w:p w14:paraId="102E90C3">
      <w:pPr>
        <w:rPr>
          <w:rFonts w:hint="eastAsia"/>
        </w:rPr>
      </w:pPr>
      <w:r>
        <w:rPr>
          <w:rFonts w:hint="eastAsia"/>
          <w:b/>
          <w:bCs/>
        </w:rPr>
        <w:t>财税保障能力不断增强。</w:t>
      </w:r>
      <w:r>
        <w:rPr>
          <w:rFonts w:hint="eastAsia"/>
        </w:rPr>
        <w:t>国税税收收</w:t>
      </w:r>
      <w:r>
        <w:rPr>
          <w:rFonts w:hint="eastAsia"/>
          <w:lang w:val="en-US" w:eastAsia="zh-CN"/>
        </w:rPr>
        <w:t>入</w:t>
      </w:r>
      <w:r>
        <w:rPr>
          <w:rFonts w:hint="eastAsia"/>
        </w:rPr>
        <w:t>完成</w:t>
      </w:r>
      <w:r>
        <w:t>2</w:t>
      </w:r>
      <w:r>
        <w:rPr>
          <w:rFonts w:hint="eastAsia"/>
        </w:rPr>
        <w:t>亿元、增长</w:t>
      </w:r>
      <w:r>
        <w:t>22.3%，地税税收收入完成3.8亿元</w:t>
      </w:r>
      <w:r>
        <w:rPr>
          <w:rFonts w:hint="eastAsia"/>
          <w:lang w:eastAsia="zh-CN"/>
        </w:rPr>
        <w:t>、</w:t>
      </w:r>
      <w:r>
        <w:rPr>
          <w:rFonts w:hint="eastAsia"/>
        </w:rPr>
        <w:t>增长</w:t>
      </w:r>
      <w:r>
        <w:t>11%。财政总收入16.5亿元、增长5.7%，公</w:t>
      </w:r>
      <w:r>
        <w:rPr>
          <w:rFonts w:hint="eastAsia"/>
        </w:rPr>
        <w:t>共财政预算收入完成</w:t>
      </w:r>
      <w:r>
        <w:t>4.8亿元、增长18.87%，公</w:t>
      </w:r>
      <w:r>
        <w:rPr>
          <w:rFonts w:hint="eastAsia"/>
        </w:rPr>
        <w:t>共财政预算支出完成</w:t>
      </w:r>
      <w:r>
        <w:t>16亿元、增长9.9%。重点加</w:t>
      </w:r>
      <w:r>
        <w:rPr>
          <w:rFonts w:hint="eastAsia"/>
        </w:rPr>
        <w:t>大了对民生项目的支出，民生类资金支出</w:t>
      </w:r>
      <w:r>
        <w:t>11亿元，</w:t>
      </w:r>
      <w:r>
        <w:rPr>
          <w:rFonts w:hint="eastAsia"/>
        </w:rPr>
        <w:t>占公共财政预算支出的</w:t>
      </w:r>
      <w:r>
        <w:t>69%。金融对地方经济支持</w:t>
      </w:r>
      <w:r>
        <w:rPr>
          <w:rFonts w:hint="eastAsia"/>
        </w:rPr>
        <w:t>力度不断增大，成立了中小微企业贷款风险补偿基金，为中小微企业提供临时性资金支持</w:t>
      </w:r>
      <w:r>
        <w:t>2400万元</w:t>
      </w:r>
      <w:r>
        <w:rPr>
          <w:rFonts w:hint="eastAsia"/>
          <w:lang w:eastAsia="zh-CN"/>
        </w:rPr>
        <w:t>；、</w:t>
      </w:r>
      <w:r>
        <w:rPr>
          <w:rFonts w:hint="eastAsia"/>
        </w:rPr>
        <w:t>农村惠农手机支付业务实现乡镇全覆盖；金融机构本外币存款余额</w:t>
      </w:r>
      <w:r>
        <w:t>91.7亿元、比年初增长21.6%</w:t>
      </w:r>
      <w:r>
        <w:rPr>
          <w:rFonts w:hint="eastAsia"/>
          <w:lang w:eastAsia="zh-CN"/>
        </w:rPr>
        <w:t>，</w:t>
      </w:r>
      <w:r>
        <w:rPr>
          <w:rFonts w:hint="eastAsia"/>
        </w:rPr>
        <w:t>贷款余额</w:t>
      </w:r>
      <w:r>
        <w:t>37.2亿元、比年初增长61.2%，为加快</w:t>
      </w:r>
      <w:r>
        <w:rPr>
          <w:rFonts w:hint="eastAsia"/>
        </w:rPr>
        <w:t>发展提供了强劲的资金保障。</w:t>
      </w:r>
    </w:p>
    <w:p w14:paraId="6A5FD9EA">
      <w:pPr>
        <w:rPr>
          <w:rFonts w:hint="eastAsia"/>
          <w:lang w:eastAsia="zh-CN"/>
        </w:rPr>
      </w:pPr>
      <w:r>
        <w:rPr>
          <w:rFonts w:hint="eastAsia"/>
          <w:b/>
          <w:bCs/>
        </w:rPr>
        <w:t>城乡居民收入不断提高。</w:t>
      </w:r>
      <w:r>
        <w:rPr>
          <w:rFonts w:hint="eastAsia"/>
        </w:rPr>
        <w:t>城镇居民人均可支配收</w:t>
      </w:r>
      <w:r>
        <w:rPr>
          <w:rFonts w:hint="eastAsia"/>
          <w:lang w:val="en-US" w:eastAsia="zh-CN"/>
        </w:rPr>
        <w:t>入</w:t>
      </w:r>
      <w:r>
        <w:t>1.8万元、增长14.5%，农村居民家庭人均现</w:t>
      </w:r>
      <w:r>
        <w:rPr>
          <w:rFonts w:hint="eastAsia"/>
        </w:rPr>
        <w:t>金收</w:t>
      </w:r>
      <w:r>
        <w:rPr>
          <w:rFonts w:hint="eastAsia"/>
          <w:lang w:val="en-US" w:eastAsia="zh-CN"/>
        </w:rPr>
        <w:t>入</w:t>
      </w:r>
      <w:r>
        <w:t>1.3万元、增长16.8%，城镇单位在岗职工</w:t>
      </w:r>
      <w:r>
        <w:rPr>
          <w:rFonts w:hint="eastAsia"/>
        </w:rPr>
        <w:t>年均工资</w:t>
      </w:r>
      <w:r>
        <w:t>3.6万元、增长10%。年</w:t>
      </w:r>
      <w:r>
        <w:rPr>
          <w:rFonts w:hint="eastAsia"/>
          <w:lang w:eastAsia="zh-CN"/>
        </w:rPr>
        <w:t>末</w:t>
      </w:r>
      <w:r>
        <w:t>城乡居民储蓄</w:t>
      </w:r>
      <w:r>
        <w:rPr>
          <w:rFonts w:hint="eastAsia"/>
        </w:rPr>
        <w:t>存款余额</w:t>
      </w:r>
      <w:r>
        <w:t>69.7亿元、比年初增长16.3%。</w:t>
      </w:r>
      <w:r>
        <w:rPr>
          <w:rFonts w:hint="eastAsia"/>
        </w:rPr>
        <w:t>社会保障体系不断健全。城乡就业和社会保障服务均等化不断加强，镇级和园区人力资源社会保障服务平台建成使用。城镇新增就业</w:t>
      </w:r>
      <w:r>
        <w:t>4613人，新</w:t>
      </w:r>
      <w:r>
        <w:rPr>
          <w:rFonts w:hint="eastAsia"/>
        </w:rPr>
        <w:t>增农村劳动力转移就业</w:t>
      </w:r>
      <w:r>
        <w:t>7257人，城镇登记失业率</w:t>
      </w:r>
      <w:r>
        <w:rPr>
          <w:rFonts w:hint="eastAsia"/>
        </w:rPr>
        <w:t>为</w:t>
      </w:r>
      <w:r>
        <w:t>2.4%。社会保险覆盖面不断扩大，16.5万人参</w:t>
      </w:r>
      <w:r>
        <w:rPr>
          <w:rFonts w:hint="eastAsia"/>
        </w:rPr>
        <w:t>加了城乡居民养老保险，</w:t>
      </w:r>
      <w:r>
        <w:t>35.5万人参加城乡居民医</w:t>
      </w:r>
      <w:r>
        <w:rPr>
          <w:rFonts w:hint="eastAsia"/>
        </w:rPr>
        <w:t>疗保险。社会救助体系不断完善，支出低保资金</w:t>
      </w:r>
      <w:r>
        <w:t>1020万元，为4820户8100名困难群众提供了基本</w:t>
      </w:r>
      <w:r>
        <w:rPr>
          <w:rFonts w:hint="eastAsia"/>
        </w:rPr>
        <w:t>生活保障；五保老人生活标准每人每月增加了</w:t>
      </w:r>
      <w:r>
        <w:t>50</w:t>
      </w:r>
      <w:r>
        <w:rPr>
          <w:rFonts w:hint="eastAsia"/>
        </w:rPr>
        <w:t>元；医疗救助支出</w:t>
      </w:r>
      <w:r>
        <w:t>190万元，救助640人次，有暴</w:t>
      </w:r>
      <w:r>
        <w:rPr>
          <w:rFonts w:hint="eastAsia"/>
        </w:rPr>
        <w:t>力倾向的</w:t>
      </w:r>
      <w:r>
        <w:t>64名精神病人由市财政全额出资治疗</w:t>
      </w:r>
      <w:r>
        <w:rPr>
          <w:rFonts w:hint="eastAsia"/>
          <w:lang w:eastAsia="zh-CN"/>
        </w:rPr>
        <w:t>。</w:t>
      </w:r>
    </w:p>
    <w:p w14:paraId="57D7467B">
      <w:pPr>
        <w:rPr>
          <w:rFonts w:hint="eastAsia"/>
        </w:rPr>
      </w:pPr>
      <w:r>
        <w:rPr>
          <w:rFonts w:hint="eastAsia"/>
          <w:b/>
          <w:bCs/>
        </w:rPr>
        <w:t>社会各项事业不断发展。</w:t>
      </w:r>
      <w:r>
        <w:rPr>
          <w:rFonts w:hint="eastAsia"/>
        </w:rPr>
        <w:t>市政府承诺的“九件实事”已经完成</w:t>
      </w:r>
      <w:r>
        <w:t>7件，其余2件将在2014年上半</w:t>
      </w:r>
      <w:r>
        <w:rPr>
          <w:rFonts w:hint="eastAsia"/>
        </w:rPr>
        <w:t>年完成。教育事业加快发展，创建省“教育强市”和全国义务教育发展基本均衡县（市）通过省级督导评估，农村地区学校教师享受人均每月</w:t>
      </w:r>
      <w:r>
        <w:t>502元的</w:t>
      </w:r>
      <w:r>
        <w:rPr>
          <w:rFonts w:hint="eastAsia"/>
        </w:rPr>
        <w:t>岗位津贴，投入</w:t>
      </w:r>
      <w:r>
        <w:t>3亿多元的南雄第一小学等教育四</w:t>
      </w:r>
      <w:r>
        <w:rPr>
          <w:rFonts w:hint="eastAsia"/>
        </w:rPr>
        <w:t>大“民生工程”启用。市疾控中心新业务楼投入使用，传染病报告与处理、儿童保健等“十一大基本公共卫生服务项目”全面落实，启动了公立医院改革工作。精神文明创建水平进一步提高，珠玑镇通过了“省文明镇”考评。文化广电事业繁荣发展，新城影剧院建成开业，完成数字电视整体转换工作，博物馆、文化馆、图书馆的异地重建前期工作正在进行；“南</w:t>
      </w:r>
      <w:r>
        <w:rPr>
          <w:rFonts w:hint="eastAsia"/>
          <w:lang w:val="en-US" w:eastAsia="zh-CN"/>
        </w:rPr>
        <w:t>粤</w:t>
      </w:r>
      <w:r>
        <w:rPr>
          <w:rFonts w:hint="eastAsia"/>
        </w:rPr>
        <w:t>雄关与古道”成为第七批全国重点文物保护单位，大成殿等</w:t>
      </w:r>
      <w:r>
        <w:t>3处文物成为第七批省</w:t>
      </w:r>
      <w:r>
        <w:rPr>
          <w:rFonts w:hint="eastAsia"/>
        </w:rPr>
        <w:t>级文物保护单位，恐龙自然保护区获批“省级地质公园”。科技创新能力增强，完成专利申报</w:t>
      </w:r>
      <w:r>
        <w:t>116件，</w:t>
      </w:r>
      <w:r>
        <w:rPr>
          <w:rFonts w:hint="eastAsia"/>
        </w:rPr>
        <w:t>阳普医疗被认定为</w:t>
      </w:r>
      <w:r>
        <w:t>2013年广东省第一批高新技术</w:t>
      </w:r>
      <w:r>
        <w:rPr>
          <w:rFonts w:hint="eastAsia"/>
        </w:rPr>
        <w:t>企业。全民健身运动蓬勃发展，完成了黄坑等</w:t>
      </w:r>
      <w:r>
        <w:t>4个</w:t>
      </w:r>
      <w:r>
        <w:rPr>
          <w:rFonts w:hint="eastAsia"/>
        </w:rPr>
        <w:t>镇农民健身工程建设。人口计生创“国优”工作扎实推进。</w:t>
      </w:r>
    </w:p>
    <w:p w14:paraId="2734186B">
      <w:pPr>
        <w:rPr>
          <w:rFonts w:hint="eastAsia"/>
          <w:b/>
          <w:bCs/>
        </w:rPr>
      </w:pPr>
      <w:r>
        <w:rPr>
          <w:rFonts w:hint="eastAsia"/>
          <w:b/>
          <w:bCs/>
        </w:rPr>
        <w:t>四、社会管理和政府建设取得新成效</w:t>
      </w:r>
    </w:p>
    <w:p w14:paraId="504D163E">
      <w:pPr>
        <w:rPr>
          <w:rFonts w:hint="eastAsia"/>
        </w:rPr>
      </w:pPr>
      <w:r>
        <w:rPr>
          <w:rFonts w:hint="eastAsia"/>
          <w:b/>
          <w:bCs/>
        </w:rPr>
        <w:t>社会管理不断加强。</w:t>
      </w:r>
      <w:r>
        <w:rPr>
          <w:rFonts w:hint="eastAsia"/>
        </w:rPr>
        <w:t>全力推进平安南雄建设，开展“打四黑除四害”等系列专项整治工作，视频监控系统“一类点”</w:t>
      </w:r>
      <w:r>
        <w:t>274个高清视频监控探头建成</w:t>
      </w:r>
      <w:r>
        <w:rPr>
          <w:rFonts w:hint="eastAsia"/>
        </w:rPr>
        <w:t>使用，二期视频监控系统建设已经启动。重拳整</w:t>
      </w:r>
      <w:r>
        <w:rPr>
          <w:rFonts w:hint="eastAsia"/>
          <w:lang w:val="en-US" w:eastAsia="zh-CN"/>
        </w:rPr>
        <w:t>治</w:t>
      </w:r>
      <w:r>
        <w:rPr>
          <w:rFonts w:hint="eastAsia"/>
        </w:rPr>
        <w:t>“两违”，依法拆除“两违”建筑</w:t>
      </w:r>
      <w:r>
        <w:t>26宗3610平方</w:t>
      </w:r>
      <w:r>
        <w:rPr>
          <w:rFonts w:hint="eastAsia"/>
        </w:rPr>
        <w:t>米。认真开展综治信访维稳工作，各类矛盾纠纷得到有效化解。完成了食品药品安全监督管理改革，构建了市镇村三级监管网络，“餐饮食品安全示范县”创建工作通过了省级考评验收。落实安全监管主体责任，安全生产标准化工作得到加强。</w:t>
      </w:r>
    </w:p>
    <w:p w14:paraId="3E509EDE">
      <w:pPr>
        <w:rPr>
          <w:rFonts w:hint="eastAsia"/>
        </w:rPr>
      </w:pPr>
      <w:r>
        <w:rPr>
          <w:rFonts w:hint="eastAsia"/>
          <w:b/>
          <w:bCs/>
        </w:rPr>
        <w:t>政府自身建设不断强化。</w:t>
      </w:r>
      <w:r>
        <w:rPr>
          <w:rFonts w:hint="eastAsia"/>
        </w:rPr>
        <w:t>积极贯彻落实中央八项规定，深入开展“面向基层、整顿作风、服务群众”主题学习教育活动，公职人员的群众观念、服务意识和机关作风不断加强。自觉接受市人大监督和市政协参政议政，办理人大议案及建议</w:t>
      </w:r>
      <w:r>
        <w:t>19</w:t>
      </w:r>
      <w:r>
        <w:rPr>
          <w:rFonts w:hint="eastAsia"/>
        </w:rPr>
        <w:t>件、政协提案</w:t>
      </w:r>
      <w:r>
        <w:t>57件，办复率100%</w:t>
      </w:r>
      <w:r>
        <w:rPr>
          <w:rFonts w:hint="eastAsia"/>
          <w:lang w:eastAsia="zh-CN"/>
        </w:rPr>
        <w:t>。</w:t>
      </w:r>
      <w:r>
        <w:t>重点项目、重</w:t>
      </w:r>
      <w:r>
        <w:rPr>
          <w:rFonts w:hint="eastAsia"/>
        </w:rPr>
        <w:t>要工作督</w:t>
      </w:r>
      <w:r>
        <w:rPr>
          <w:rFonts w:hint="eastAsia"/>
          <w:lang w:eastAsia="zh-CN"/>
        </w:rPr>
        <w:t>查</w:t>
      </w:r>
      <w:r>
        <w:rPr>
          <w:rFonts w:hint="eastAsia"/>
        </w:rPr>
        <w:t>督办机制不断健全。民主法制建设、廉政建设不断深入，依法行政水平进一步提高。全面推行政务公开，电子政务办公业务系统建设顺利推进。深化行政审批制度改革，</w:t>
      </w:r>
      <w:r>
        <w:t>58个部门657项服务</w:t>
      </w:r>
      <w:r>
        <w:rPr>
          <w:rFonts w:hint="eastAsia"/>
        </w:rPr>
        <w:t>事项进入网上办事大厅，完成镇级便民服务中心建设，权力真正在阳光下运行。</w:t>
      </w:r>
    </w:p>
    <w:p w14:paraId="3E080CB1">
      <w:pPr>
        <w:rPr>
          <w:rFonts w:hint="eastAsia"/>
          <w:lang w:eastAsia="zh-CN"/>
        </w:rPr>
      </w:pPr>
      <w:r>
        <w:rPr>
          <w:rFonts w:hint="eastAsia"/>
        </w:rPr>
        <w:t>此外，统计、审计、工商、物价、质监、人防、气象、保密、档案、邮政、保险、供销、史志、政府法制、外事侨务、残疾人事业、工青妇儿、民族宗教和广府人珠玑巷联谊会等工作都取得了较好成绩，为全市经济社会发展做出了积极</w:t>
      </w:r>
      <w:r>
        <w:rPr>
          <w:rFonts w:hint="eastAsia"/>
          <w:lang w:val="en-US" w:eastAsia="zh-CN"/>
        </w:rPr>
        <w:t>贡</w:t>
      </w:r>
      <w:r>
        <w:rPr>
          <w:rFonts w:hint="eastAsia"/>
        </w:rPr>
        <w:t>献</w:t>
      </w:r>
      <w:r>
        <w:rPr>
          <w:rFonts w:hint="eastAsia"/>
          <w:lang w:eastAsia="zh-CN"/>
        </w:rPr>
        <w:t>。</w:t>
      </w:r>
    </w:p>
    <w:p w14:paraId="0340B6BE">
      <w:pPr>
        <w:rPr>
          <w:rFonts w:hint="eastAsia"/>
        </w:rPr>
      </w:pPr>
      <w:r>
        <w:rPr>
          <w:rFonts w:hint="eastAsia"/>
        </w:rPr>
        <w:t>回顾过去一年，我们深切地体会到，南雄要实现加快发展、跨越发展，必须进一步解放思想，推动改革创新，积极构建有利于干事创业的体制机制；必须准确把握科学发展观的深刻内涵，咬住发展机遇不放松，把抓项目、抓园区建设作为加快发展的核心；必须以实干的精神，勇于直面困难，增强工作的预见性、针对性和主动性，解决好发展中遇到的一切问题；必须妥善处理好人民内部矛盾，坚定不移维护社会和谐稳定大局；必须把维护和实现最广大人民群众的根本利益作为政府工作的出发点和落脚点，大力发展社会事业，让人民群众享受到实实在在的发展成果。</w:t>
      </w:r>
    </w:p>
    <w:p w14:paraId="3AEE2F0C">
      <w:pPr>
        <w:rPr>
          <w:rFonts w:hint="eastAsia"/>
        </w:rPr>
      </w:pPr>
      <w:r>
        <w:rPr>
          <w:rFonts w:hint="eastAsia"/>
        </w:rPr>
        <w:t>各位代表，过去一年的成绩，是在市委的正确领导下，得益于市人大、市政协的监督支持，凝聚着全市人民和社会各界的智慧和汗水。在此，我代表市人民政府，向为南雄经济社会发展付出辛勤劳动的全市各部门、各单位和广大干部群众，向给予我们工作大力支持的人大代表、政协委员，向所有关心、支持、参与南雄建设的同志们、朋友们，表示衷心感谢并致以崇高敬意！</w:t>
      </w:r>
    </w:p>
    <w:p w14:paraId="5CF1E595">
      <w:pPr>
        <w:rPr>
          <w:rFonts w:hint="eastAsia"/>
        </w:rPr>
      </w:pPr>
      <w:r>
        <w:rPr>
          <w:rFonts w:hint="eastAsia"/>
        </w:rPr>
        <w:t>在取得成绩的同时，我们也清醒地看到，我市经济社会发展中还面临不少困难和问题：一是服务水平要进一步提升。面对跨越发展、实现赶超目标的新形势、新任务、新要求，有的职能单位感到无所适从，不主动作为，存在消极的思想观念和疲软的工作状态，服务企业的热情和劲头有所松懈；</w:t>
      </w:r>
      <w:r>
        <w:rPr>
          <w:rFonts w:hint="eastAsia"/>
          <w:lang w:val="en-US" w:eastAsia="zh-CN"/>
        </w:rPr>
        <w:t>二</w:t>
      </w:r>
      <w:r>
        <w:rPr>
          <w:rFonts w:hint="eastAsia"/>
        </w:rPr>
        <w:t>是经济发展质量有待进一步提高。我市工业化还处于较低的发展水平、税收占</w:t>
      </w:r>
      <w:r>
        <w:t>GDP的比重偏低，园区</w:t>
      </w:r>
      <w:r>
        <w:rPr>
          <w:rFonts w:hint="eastAsia"/>
        </w:rPr>
        <w:t>企业项目建设进度较慢，新增建成项目不多，大项目更少，带动能力不强，经济效应还未充分显现</w:t>
      </w:r>
      <w:r>
        <w:rPr>
          <w:rFonts w:hint="eastAsia"/>
          <w:lang w:eastAsia="zh-CN"/>
        </w:rPr>
        <w:t>。</w:t>
      </w:r>
      <w:r>
        <w:rPr>
          <w:rFonts w:hint="eastAsia"/>
          <w:lang w:val="en-US" w:eastAsia="zh-CN"/>
        </w:rPr>
        <w:t>三</w:t>
      </w:r>
      <w:r>
        <w:rPr>
          <w:rFonts w:hint="eastAsia"/>
        </w:rPr>
        <w:t>是民生保障和财政支出压力大。</w:t>
      </w:r>
      <w:r>
        <w:t>2013年公共财政</w:t>
      </w:r>
      <w:r>
        <w:rPr>
          <w:rFonts w:hint="eastAsia"/>
        </w:rPr>
        <w:t>预算收入仅为</w:t>
      </w:r>
      <w:r>
        <w:t>4.8亿元，公共财政预算支出高达16</w:t>
      </w:r>
      <w:r>
        <w:rPr>
          <w:rFonts w:hint="eastAsia"/>
        </w:rPr>
        <w:t>亿元；四是维护社会稳定的压力依然较大。当前，正处于经济转型和社会转型期，企业转制、土地征收、房屋拆迁、社会保障、基层干部作风等方面引发的社会问题和累积的矛盾不断显现，群众利益诉求多元化。这在一定程度上不但影响社会和谐稳定，而且消耗了我们大量的人力物力财力和工作精力。今后，我们将采取更加有效的措施，认真解决发展中的问题，为全面实现小康社会目标创造更加有利的环境条件。</w:t>
      </w:r>
    </w:p>
    <w:p w14:paraId="7DE41B45">
      <w:pPr>
        <w:pStyle w:val="10"/>
        <w:bidi w:val="0"/>
        <w:jc w:val="center"/>
        <w:rPr>
          <w:rFonts w:hint="eastAsia"/>
          <w:b/>
          <w:bCs/>
        </w:rPr>
      </w:pPr>
      <w:r>
        <w:rPr>
          <w:rFonts w:hint="eastAsia"/>
          <w:b/>
          <w:bCs/>
        </w:rPr>
        <w:t>二○一三年工作安排</w:t>
      </w:r>
    </w:p>
    <w:p w14:paraId="25E3F918">
      <w:pPr>
        <w:rPr>
          <w:rFonts w:hint="eastAsia"/>
        </w:rPr>
      </w:pPr>
      <w:r>
        <w:t>2014年是贯彻落实党的十八届三中全会精神开</w:t>
      </w:r>
      <w:r>
        <w:rPr>
          <w:rFonts w:hint="eastAsia"/>
        </w:rPr>
        <w:t>局之年，也是“十二五”规划进入攻坚阶段，全面推动跨越发展的关键一年。</w:t>
      </w:r>
      <w:r>
        <w:rPr>
          <w:rFonts w:hint="eastAsia"/>
          <w:b/>
          <w:bCs/>
        </w:rPr>
        <w:t>今年政府工作的总体思路是：</w:t>
      </w:r>
      <w:r>
        <w:rPr>
          <w:rFonts w:hint="eastAsia"/>
        </w:rPr>
        <w:t>认真贯彻落实党的十八大、十八届三中全会精神，以经济建设为中心，以加快发展为主题，牢牢把握省委、省政府进一步促进粤东西北地区振兴发展的历史机遇和东莞韶关对口帮扶发展契机，主动融</w:t>
      </w:r>
      <w:r>
        <w:rPr>
          <w:rFonts w:hint="eastAsia"/>
          <w:lang w:val="en-US" w:eastAsia="zh-CN"/>
        </w:rPr>
        <w:t>入</w:t>
      </w:r>
      <w:r>
        <w:rPr>
          <w:rFonts w:hint="eastAsia"/>
        </w:rPr>
        <w:t>、主动作为，力争在园区建设、城镇化建设和交通基础设施建设上有重大突破，在壮大经济总量、提高发展质量上迈出更大步伐，在改善民生、促进社会和谐上取得更大成效，在推动生态、富裕、文明、和谐的粤北门户城市建设上有更多成果。</w:t>
      </w:r>
    </w:p>
    <w:p w14:paraId="6474C506">
      <w:pPr>
        <w:rPr>
          <w:rFonts w:hint="eastAsia"/>
        </w:rPr>
      </w:pPr>
      <w:r>
        <w:rPr>
          <w:rFonts w:hint="eastAsia"/>
          <w:b/>
          <w:bCs/>
        </w:rPr>
        <w:t>今年经济社会发展主要预期目标：</w:t>
      </w:r>
      <w:r>
        <w:rPr>
          <w:rFonts w:hint="eastAsia"/>
        </w:rPr>
        <w:t>地区生产总值增长</w:t>
      </w:r>
      <w:r>
        <w:t>12%，人均生产总值增长12%，地方公共</w:t>
      </w:r>
      <w:r>
        <w:rPr>
          <w:rFonts w:hint="eastAsia"/>
        </w:rPr>
        <w:t>财政预算收入增长</w:t>
      </w:r>
      <w:r>
        <w:t>13%，固定资产投资增长15%</w:t>
      </w:r>
      <w:r>
        <w:rPr>
          <w:rFonts w:hint="eastAsia"/>
          <w:lang w:eastAsia="zh-CN"/>
        </w:rPr>
        <w:t>，</w:t>
      </w:r>
      <w:r>
        <w:rPr>
          <w:rFonts w:hint="eastAsia"/>
        </w:rPr>
        <w:t>森林覆盖率达到</w:t>
      </w:r>
      <w:r>
        <w:t>65.8%，人口自然增长率控制在9.9‰以内，城镇登记失业率控制在3%以内。要实</w:t>
      </w:r>
      <w:r>
        <w:rPr>
          <w:rFonts w:hint="eastAsia"/>
        </w:rPr>
        <w:t>现这些目标，必须做好以下工作，努力实现“六个提升”。</w:t>
      </w:r>
    </w:p>
    <w:p w14:paraId="2C9C4DCF">
      <w:pPr>
        <w:rPr>
          <w:rFonts w:hint="eastAsia"/>
          <w:b/>
          <w:bCs/>
        </w:rPr>
      </w:pPr>
      <w:r>
        <w:rPr>
          <w:rFonts w:hint="eastAsia"/>
          <w:b/>
          <w:bCs/>
          <w:lang w:val="en-US" w:eastAsia="zh-CN"/>
        </w:rPr>
        <w:t>一、</w:t>
      </w:r>
      <w:r>
        <w:rPr>
          <w:rFonts w:hint="eastAsia"/>
          <w:b/>
          <w:bCs/>
        </w:rPr>
        <w:t>抓好园区建设，提升新型工业化水平</w:t>
      </w:r>
    </w:p>
    <w:p w14:paraId="7141785F">
      <w:r>
        <w:rPr>
          <w:rFonts w:hint="eastAsia"/>
        </w:rPr>
        <w:t>坚持走新型工业化道路，掀起新一轮的园区建设高潮。着力加快经济结构调整，主攻重大企业项目，在提质增效中实现规模做大、质量提升、产业升级。今年，工业增加值力争达到</w:t>
      </w:r>
      <w:r>
        <w:t>36亿元、增</w:t>
      </w:r>
      <w:r>
        <w:rPr>
          <w:rFonts w:hint="eastAsia"/>
        </w:rPr>
        <w:t>长</w:t>
      </w:r>
      <w:r>
        <w:t>23%。</w:t>
      </w:r>
    </w:p>
    <w:p w14:paraId="51DAFB1D">
      <w:pPr>
        <w:rPr>
          <w:rFonts w:hint="eastAsia"/>
          <w:lang w:eastAsia="zh-CN"/>
        </w:rPr>
      </w:pPr>
      <w:r>
        <w:rPr>
          <w:rFonts w:hint="eastAsia"/>
          <w:b/>
          <w:bCs/>
        </w:rPr>
        <w:t>着力加快园区建设。</w:t>
      </w:r>
      <w:r>
        <w:rPr>
          <w:rFonts w:hint="eastAsia"/>
        </w:rPr>
        <w:t>园区一期以企业项目建成见效为统揽，力争年内</w:t>
      </w:r>
      <w:r>
        <w:t>100家入园企业全部建成投</w:t>
      </w:r>
      <w:r>
        <w:rPr>
          <w:rFonts w:hint="eastAsia"/>
        </w:rPr>
        <w:t>产，真正形成精细化工产业的集聚效应，推动企业向高端化、品牌化发展。借助二期扩园成功和东莞南城对口帮扶我市的东风，迅速掀起厂房、管网、污水处理、后勤保障等基础设施建设热潮，优化投资环境；加快二期招商引资步伐，以机械制造为主导产业，引进一批行业龙头企业，增强产业配套能力，尽快形成新的产业集群和新的工业经济增长</w:t>
      </w:r>
      <w:r>
        <w:rPr>
          <w:rFonts w:hint="eastAsia"/>
          <w:lang w:val="en-US" w:eastAsia="zh-CN"/>
        </w:rPr>
        <w:t>点</w:t>
      </w:r>
      <w:r>
        <w:rPr>
          <w:rFonts w:hint="eastAsia"/>
        </w:rPr>
        <w:t>。加强与东莞南城帮扶对接，加快推进</w:t>
      </w:r>
      <w:r>
        <w:t>2000亩</w:t>
      </w:r>
      <w:r>
        <w:rPr>
          <w:rFonts w:hint="eastAsia"/>
        </w:rPr>
        <w:t>“园中园”建设，力促园区扩能增效</w:t>
      </w:r>
      <w:r>
        <w:rPr>
          <w:rFonts w:hint="eastAsia"/>
          <w:lang w:eastAsia="zh-CN"/>
        </w:rPr>
        <w:t>。</w:t>
      </w:r>
    </w:p>
    <w:p w14:paraId="5E69A6EE">
      <w:pPr>
        <w:rPr>
          <w:rFonts w:hint="eastAsia"/>
        </w:rPr>
      </w:pPr>
      <w:r>
        <w:rPr>
          <w:rFonts w:hint="eastAsia"/>
          <w:b/>
          <w:bCs/>
        </w:rPr>
        <w:t>着力推进转型升级。</w:t>
      </w:r>
      <w:r>
        <w:rPr>
          <w:rFonts w:hint="eastAsia"/>
        </w:rPr>
        <w:t>加快园区企业科技创新步伐，大力培育高新技术龙头企业，提高高新技术企业产值占园区工业产值的比重，努力把园区建设成为省级甚至国家级高新技术产业园区。采取有力措施，推进优质企业上市或上“新三板”。加强企业品牌打造，培育若干企业争创国家、省级驰名商标或名牌产品。加大绿洲公司、彤置富水泥等企业技改扩产力度，抓紧谋划珠玑纸业异地搬迁。积极跟踪服务华电（南雄）热电项目，争取年内动工建设。加快广东化工产品电子交易物流中心建设，推进工业化与信息化的深度融合。</w:t>
      </w:r>
    </w:p>
    <w:p w14:paraId="5E14989D">
      <w:pPr>
        <w:rPr>
          <w:rFonts w:hint="eastAsia"/>
        </w:rPr>
      </w:pPr>
      <w:r>
        <w:rPr>
          <w:rFonts w:hint="eastAsia"/>
          <w:b/>
          <w:bCs/>
        </w:rPr>
        <w:t>强化企业扶持服务措施。</w:t>
      </w:r>
      <w:r>
        <w:rPr>
          <w:rFonts w:hint="eastAsia"/>
        </w:rPr>
        <w:t>强化政务平台、科技平台、金融平台、市场平台和人力资源平台建设，打造良好企业发展环境，积极落实企业优惠政策和奖励措施，扶持企业特别是重点企业发展壮大。不断创新金融服务模式，有效解决中小企业融资、担保等难题。支持鼓励企业围绕产业链，与大客商</w:t>
      </w:r>
      <w:r>
        <w:rPr>
          <w:rFonts w:hint="eastAsia"/>
          <w:lang w:eastAsia="zh-CN"/>
        </w:rPr>
        <w:t>、</w:t>
      </w:r>
      <w:r>
        <w:rPr>
          <w:rFonts w:hint="eastAsia"/>
        </w:rPr>
        <w:t>龙头企业开展合作。积极做好企业高层次人才的服务工作，探索建立人才公寓、人才之家，为企业发展提供人才保障。坚持集约和节约用地，加大储地和用地报批工作力度，保障优质项目和龙头企业用地需求。解决外来投资企业员工子女</w:t>
      </w:r>
      <w:r>
        <w:rPr>
          <w:rFonts w:hint="eastAsia"/>
          <w:lang w:val="en-US" w:eastAsia="zh-CN"/>
        </w:rPr>
        <w:t>入</w:t>
      </w:r>
      <w:r>
        <w:rPr>
          <w:rFonts w:hint="eastAsia"/>
        </w:rPr>
        <w:t>学、医疗、社会保障等方面的问题。</w:t>
      </w:r>
    </w:p>
    <w:p w14:paraId="2D0E2796">
      <w:pPr>
        <w:rPr>
          <w:rFonts w:hint="eastAsia"/>
          <w:b/>
          <w:bCs/>
        </w:rPr>
      </w:pPr>
      <w:r>
        <w:rPr>
          <w:rFonts w:hint="eastAsia"/>
          <w:b/>
          <w:bCs/>
          <w:lang w:val="en-US" w:eastAsia="zh-CN"/>
        </w:rPr>
        <w:t>二、</w:t>
      </w:r>
      <w:r>
        <w:rPr>
          <w:rFonts w:hint="eastAsia"/>
          <w:b/>
          <w:bCs/>
        </w:rPr>
        <w:t>抓好宜居建设，提升新型城镇化水平</w:t>
      </w:r>
    </w:p>
    <w:p w14:paraId="148E15F9">
      <w:pPr>
        <w:rPr>
          <w:rFonts w:hint="eastAsia"/>
        </w:rPr>
      </w:pPr>
      <w:r>
        <w:rPr>
          <w:rFonts w:hint="eastAsia"/>
        </w:rPr>
        <w:t>抓住城镇化发展机遇，以城镇化建设作为统筹城乡一体化发展的着力点，努力打造宜居宜业的粤北门户城市新形象。</w:t>
      </w:r>
    </w:p>
    <w:p w14:paraId="561BB69D">
      <w:pPr>
        <w:rPr>
          <w:rFonts w:hint="eastAsia"/>
        </w:rPr>
      </w:pPr>
      <w:r>
        <w:rPr>
          <w:rFonts w:hint="eastAsia"/>
          <w:b/>
          <w:bCs/>
        </w:rPr>
        <w:t>着力完善城市功能。</w:t>
      </w:r>
      <w:r>
        <w:rPr>
          <w:rFonts w:hint="eastAsia"/>
        </w:rPr>
        <w:t>高起点、高标准做好中心城区总体规划修改完善和各镇规划编制工作，以完善的规划体系引领中心城区和镇村科学发展。加快雄州新城、时代广场、大福国际名城等城市亮点工程建设，打造一批高品位的城市建设项目，提升中心城区的综合竞争力。加快垃圾填埋场建设及博物馆、图书馆、文化馆、少年宫的异地重建工作，完善城市配套功能。着手规划建设城区“五大通道”，加快雄州、珠玑的同城化建设，优化城市布局，拓展城市发展空间。强化园区与城镇化融合发展，合理布局二三产业，打造一批地产、商贸、物流等现代服务业项目，创造更多更好的就业</w:t>
      </w:r>
      <w:r>
        <w:rPr>
          <w:rFonts w:hint="eastAsia"/>
          <w:lang w:val="en-US" w:eastAsia="zh-CN"/>
        </w:rPr>
        <w:t>岗</w:t>
      </w:r>
      <w:r>
        <w:rPr>
          <w:rFonts w:hint="eastAsia"/>
        </w:rPr>
        <w:t>位，提高城市吸纳人口能力，促进城市经济繁荣发展。加强城镇土地储备工作，为城镇持续快速发展奠定基础。</w:t>
      </w:r>
    </w:p>
    <w:p w14:paraId="61385AD1">
      <w:pPr>
        <w:rPr>
          <w:rFonts w:hint="eastAsia"/>
        </w:rPr>
      </w:pPr>
      <w:r>
        <w:rPr>
          <w:rFonts w:hint="eastAsia"/>
          <w:b/>
          <w:bCs/>
        </w:rPr>
        <w:t>以综合整治提升城市品位。</w:t>
      </w:r>
      <w:r>
        <w:rPr>
          <w:rFonts w:hint="eastAsia"/>
        </w:rPr>
        <w:t>强化城乡发展环境的综合整治，继续保持打击城乡违法用地和违法建设的高压态势，规范和疏导城乡居民房屋建设，优化城乡发展环境。积极推进一批“三旧”改造项目，重视抓好城区美化绿化净化亮化，建成羊角大桥至三枫闸坝城市绿道。加强城市综合管理，重点强化城区主要街道交通秩序、三大农贸市场周边占道经营行为的常态化治理，确保市容环境整洁有序。</w:t>
      </w:r>
    </w:p>
    <w:p w14:paraId="7D286AD9">
      <w:pPr>
        <w:rPr>
          <w:rFonts w:hint="eastAsia"/>
        </w:rPr>
      </w:pPr>
      <w:r>
        <w:rPr>
          <w:rFonts w:hint="eastAsia"/>
          <w:b/>
          <w:bCs/>
          <w:lang w:val="en-US" w:eastAsia="zh-CN"/>
        </w:rPr>
        <w:t>夯</w:t>
      </w:r>
      <w:r>
        <w:rPr>
          <w:rFonts w:hint="eastAsia"/>
          <w:b/>
          <w:bCs/>
        </w:rPr>
        <w:t>实城乡一体化发展基础。</w:t>
      </w:r>
      <w:r>
        <w:rPr>
          <w:rFonts w:hint="eastAsia"/>
        </w:rPr>
        <w:t>以城乡一体化建设促进基本公共服务均等化，提升镇村宜居水平。坚持积极稳妥、梯度推进的城镇化发展路子，重点加快以中心镇和较大镇为主的墟镇建设，增强镇域的辐射带动功能。以新一轮扶贫开发“双到”工作为契机，建设供水、路网等一批农村公共基础设施，推动社会主义新农村建设，突破城乡统筹发展薄弱环节。本着因地制宜、合理推进的原则，在有条件的镇规划建设小公园、小广场、小型停车场等“三小场所”。做好交通规划，抓紧编制韶赣高速与大广高速公路连接线的踏勘报告，形成一纵一横的高速公路网。加快推进帽子峰战备公路、教育路至主田镇公路建设。抓好城镇电力、通信、能源、水利等基本公共服务设施项目建设，改善群众生产生活条件。大力推进名镇、名村、示范村建设，努力完成</w:t>
      </w:r>
      <w:r>
        <w:t>2个名村、5个示范村和40个村“一事一议”项</w:t>
      </w:r>
      <w:r>
        <w:rPr>
          <w:rFonts w:hint="eastAsia"/>
        </w:rPr>
        <w:t>目。投入资金</w:t>
      </w:r>
      <w:r>
        <w:t>3900多万元，完成一批烟基工程建</w:t>
      </w:r>
      <w:r>
        <w:rPr>
          <w:rFonts w:hint="eastAsia"/>
        </w:rPr>
        <w:t>设。投入资金</w:t>
      </w:r>
      <w:r>
        <w:t>1.7亿元，完成凌江河治理、瀑布灌</w:t>
      </w:r>
      <w:r>
        <w:rPr>
          <w:rFonts w:hint="eastAsia"/>
        </w:rPr>
        <w:t>区节水改造等水利项目。</w:t>
      </w:r>
    </w:p>
    <w:p w14:paraId="77D8F81E">
      <w:pPr>
        <w:rPr>
          <w:rFonts w:hint="eastAsia"/>
          <w:b/>
          <w:bCs/>
        </w:rPr>
      </w:pPr>
      <w:r>
        <w:rPr>
          <w:rFonts w:hint="eastAsia"/>
          <w:b/>
          <w:bCs/>
        </w:rPr>
        <w:t>三、抓好农村产业结构调整，提升农业现代化水平</w:t>
      </w:r>
    </w:p>
    <w:p w14:paraId="0ADDA9F0">
      <w:r>
        <w:rPr>
          <w:rFonts w:hint="eastAsia"/>
        </w:rPr>
        <w:t>落实各项强农惠农政策，以现代农业产业体系建设为抓手，加快传统农业产业转型升级，促进农业增效、农民增收、农村繁荣。今年，农业增加值力争达到</w:t>
      </w:r>
      <w:r>
        <w:t>25亿元、增长4.5%。</w:t>
      </w:r>
    </w:p>
    <w:p w14:paraId="06A8E7F7">
      <w:pPr>
        <w:rPr>
          <w:rFonts w:hint="eastAsia"/>
        </w:rPr>
      </w:pPr>
      <w:r>
        <w:rPr>
          <w:rFonts w:hint="eastAsia"/>
          <w:b/>
          <w:bCs/>
        </w:rPr>
        <w:t>优化农业产业结构。</w:t>
      </w:r>
      <w:r>
        <w:rPr>
          <w:rFonts w:hint="eastAsia"/>
        </w:rPr>
        <w:t>继续抓好优势农业产业发展，稳定烟叶、优质稻、花生等农作物种植面积。抓好全安镇国家级粮食高产创建、雄州街道国家级花生万亩</w:t>
      </w:r>
      <w:r>
        <w:rPr>
          <w:rFonts w:hint="eastAsia"/>
          <w:lang w:val="en-US" w:eastAsia="zh-CN"/>
        </w:rPr>
        <w:t>高</w:t>
      </w:r>
      <w:r>
        <w:rPr>
          <w:rFonts w:hint="eastAsia"/>
        </w:rPr>
        <w:t>产示范创建工作。认真落实国家烟叶</w:t>
      </w:r>
      <w:r>
        <w:rPr>
          <w:rFonts w:hint="eastAsia"/>
          <w:lang w:val="en-US" w:eastAsia="zh-CN"/>
        </w:rPr>
        <w:t>产</w:t>
      </w:r>
      <w:r>
        <w:rPr>
          <w:rFonts w:hint="eastAsia"/>
        </w:rPr>
        <w:t>业发展政策，确保合同种植烤烟</w:t>
      </w:r>
      <w:r>
        <w:t>10.5万亩，收购</w:t>
      </w:r>
      <w:r>
        <w:rPr>
          <w:rFonts w:hint="eastAsia"/>
        </w:rPr>
        <w:t>烟叶</w:t>
      </w:r>
      <w:r>
        <w:t>29万担，收购资金3.5亿元以上，进一步巩</w:t>
      </w:r>
      <w:r>
        <w:rPr>
          <w:rFonts w:hint="eastAsia"/>
        </w:rPr>
        <w:t>固我市在全省烟叶产业的优势地位。趋利避害，合理发展农业六大基地，有效控制农业新增污染源，推动农业产业化、规模化健康发展。大力开展农业招商工作，加快传统农业向高效、高附加值的精品农业、观光休闲农业以及绿色有机生态农业转变，提升农业产业化水平。以莞韶全面交流合作为契机，推动果蔬、大米、畜禽、土特产等农产品全面直供东莞。</w:t>
      </w:r>
    </w:p>
    <w:p w14:paraId="176BD5A8">
      <w:pPr>
        <w:rPr>
          <w:rFonts w:hint="eastAsia"/>
        </w:rPr>
      </w:pPr>
      <w:r>
        <w:rPr>
          <w:rFonts w:hint="eastAsia"/>
          <w:b/>
          <w:bCs/>
        </w:rPr>
        <w:t>深化农村综合改革。</w:t>
      </w:r>
      <w:r>
        <w:rPr>
          <w:rFonts w:hint="eastAsia"/>
        </w:rPr>
        <w:t>根据依法、自愿、有偿原则，加大土地流转政策扶持力度，围绕烟草、优质稻、特色种养等优势产业，支持农村土地和资源的适度集中，扶持、培育一批农民专业合作社、家庭农场、龙头企业、专业大户等农业经营主体健康快速发展。加快农村金融制度创新，积极推进农村惠农手机支付业务，加大支农再贷款发放力度。加快农村剩余劳动力转移就业，有序推动农业人口向城市转移。推进农村“清洁美工程”，实施农村生活垃圾综合管理。加快推进新一轮扶贫开发“双到”工作，完成扶贫开发工作任务。</w:t>
      </w:r>
    </w:p>
    <w:p w14:paraId="45DB3730">
      <w:pPr>
        <w:rPr>
          <w:rFonts w:hint="eastAsia"/>
          <w:b/>
          <w:bCs/>
        </w:rPr>
      </w:pPr>
      <w:r>
        <w:rPr>
          <w:rFonts w:hint="eastAsia"/>
          <w:b/>
          <w:bCs/>
        </w:rPr>
        <w:t>四、抓好旅游业发展，提升第三产业发展水平</w:t>
      </w:r>
    </w:p>
    <w:p w14:paraId="7085F2A3">
      <w:r>
        <w:rPr>
          <w:rFonts w:hint="eastAsia"/>
        </w:rPr>
        <w:t>积极实施国民旅游休闲计划，深化旅游综合改革创新，推动旅游重大项目深度开发，加快推进“广东旅游强市（县）”建设。通过旅游业的快速发展，带动物流、商贸、餐饮、娱乐等行业提升服务水平和市场竞争力，推动第三产业成为结构调整和产业升级的新亮点。今年，第三产业增加值力争达到</w:t>
      </w:r>
      <w:r>
        <w:t>45亿元、增长9%。</w:t>
      </w:r>
    </w:p>
    <w:p w14:paraId="225E9F28">
      <w:pPr>
        <w:rPr>
          <w:rFonts w:hint="eastAsia"/>
          <w:lang w:eastAsia="zh-CN"/>
        </w:rPr>
      </w:pPr>
      <w:r>
        <w:rPr>
          <w:rFonts w:hint="eastAsia"/>
          <w:b/>
          <w:bCs/>
        </w:rPr>
        <w:t>提升旅游业发展水平。</w:t>
      </w:r>
      <w:r>
        <w:rPr>
          <w:rFonts w:hint="eastAsia"/>
        </w:rPr>
        <w:t>成立“南雄市旅游发展委员会”，研究制定南雄旅游业改革发展总体战略和工作措施，加大对旅游资源开发建设的统筹协调力度，激发旅游发展活力。抓住南雄纳入韶关“大丹霞、大南华、大南岭、大珠玑”旅游圈机遇，立足“一巷一叶一花一恐龙”的旅游资源优势，大力发展地方特色旅游。加快五星级锦绣花园酒店、奥威斯乐园酒店、国际会展中心酒店等旅游接待设施建设，提高住宿、餐饮服务水平。加快广东奥威斯乐园、元升生态观光休闲农场、主田旅游度假区等旅游重点项目建设，打造新的旅游精品。本着加强保护、合理利用的原则，适度开发帽子峰森林公园、孔</w:t>
      </w:r>
      <w:r>
        <w:rPr>
          <w:rFonts w:hint="eastAsia"/>
          <w:lang w:val="en-US" w:eastAsia="zh-CN"/>
        </w:rPr>
        <w:t>江</w:t>
      </w:r>
      <w:r>
        <w:rPr>
          <w:rFonts w:hint="eastAsia"/>
        </w:rPr>
        <w:t>国家湿地公园、坪田银杏等旅游资源。深入发掘红色文化和姓氏文化资源，把南雄建设成为粤北红色旅游“首选地”，并扩大南雄作为广府文化发祥地的影响。加强旅游招商，着力引进信誉良好、目标明确、实力强劲的战略合作伙伴，参与我市旅游资源开发，促进旅游业健康快速发展。加强珠玑—梅关</w:t>
      </w:r>
      <w:r>
        <w:t>4A景区的环境整治，规范旅游市场管</w:t>
      </w:r>
      <w:r>
        <w:rPr>
          <w:rFonts w:hint="eastAsia"/>
        </w:rPr>
        <w:t>理，优化旅游发展环境。做好旅游宣传促销，加大在国家、省、市主流新闻媒体的宣传力度，强化与港澳、国际友好城市旅游部门和广府人珠玑巷后裔海外联谊会的合作，并充分发挥微博、微信公众账号等网络新兴媒体作用，扩大南雄旅游影响力</w:t>
      </w:r>
      <w:r>
        <w:rPr>
          <w:rFonts w:hint="eastAsia"/>
          <w:lang w:eastAsia="zh-CN"/>
        </w:rPr>
        <w:t>。</w:t>
      </w:r>
    </w:p>
    <w:p w14:paraId="0C3451D2">
      <w:pPr>
        <w:rPr>
          <w:rFonts w:hint="eastAsia"/>
        </w:rPr>
      </w:pPr>
      <w:r>
        <w:rPr>
          <w:rFonts w:hint="eastAsia"/>
          <w:b/>
          <w:bCs/>
        </w:rPr>
        <w:t>大力发展商贸物流等现代服务业。</w:t>
      </w:r>
      <w:r>
        <w:rPr>
          <w:rFonts w:hint="eastAsia"/>
        </w:rPr>
        <w:t>加快广东化工产品电子交易中心建设，大力发展电子商务等新型商业模式，推动制造业与现代服务业融合发展。以韶赣铁路即将建成通车为契机，加快广东化工产品仓储物流中心建设，推进仓储、物流业发展。以南雄·东方（大润发）广场和规划建设的建材批发市场、义乌小商品市场为商贸发展的“三大发动机”，推动商贸业实现新跨越。大力培育金融、中介、咨询服务、文化、家政服务等消费热点，确保第三产业增加值在三次产业结构中的优势地位。</w:t>
      </w:r>
    </w:p>
    <w:p w14:paraId="4E031923">
      <w:pPr>
        <w:rPr>
          <w:rFonts w:hint="eastAsia"/>
          <w:b/>
          <w:bCs/>
        </w:rPr>
      </w:pPr>
      <w:r>
        <w:rPr>
          <w:rFonts w:hint="eastAsia"/>
          <w:b/>
          <w:bCs/>
        </w:rPr>
        <w:t>五、抓好社会民生事业，提升群众幸福指数</w:t>
      </w:r>
    </w:p>
    <w:p w14:paraId="4C23B8E7">
      <w:pPr>
        <w:rPr>
          <w:rFonts w:hint="eastAsia"/>
        </w:rPr>
      </w:pPr>
      <w:r>
        <w:rPr>
          <w:rFonts w:hint="eastAsia"/>
        </w:rPr>
        <w:t>在加快经济发展的基础上，坚持发展为民，继续把大力发展社会民生事业当作政府工作的出发点和落脚点，通过加大投入，上下联动，推进社会事业全面繁荣。</w:t>
      </w:r>
    </w:p>
    <w:p w14:paraId="771DCE3E">
      <w:pPr>
        <w:rPr>
          <w:rFonts w:hint="eastAsia"/>
        </w:rPr>
      </w:pPr>
      <w:r>
        <w:rPr>
          <w:rFonts w:hint="eastAsia"/>
          <w:b/>
          <w:bCs/>
        </w:rPr>
        <w:t>着力办好九件惠民实事。</w:t>
      </w:r>
      <w:r>
        <w:t>1、市本级财政投资200多万元，完成浈江路、林荫西路人行道、沿江</w:t>
      </w:r>
      <w:r>
        <w:rPr>
          <w:rFonts w:hint="eastAsia"/>
        </w:rPr>
        <w:t>东西路人行道升级改造；</w:t>
      </w:r>
      <w:r>
        <w:t>2、投资2400多万元，完</w:t>
      </w:r>
      <w:r>
        <w:rPr>
          <w:rFonts w:hint="eastAsia"/>
        </w:rPr>
        <w:t>成乌迳、黄坑、珠玑</w:t>
      </w:r>
      <w:r>
        <w:t>3个中心镇生活污水处理设施</w:t>
      </w:r>
      <w:r>
        <w:rPr>
          <w:rFonts w:hint="eastAsia"/>
        </w:rPr>
        <w:t>建设；</w:t>
      </w:r>
      <w:r>
        <w:t>3、投资5000万元，完成城区路灯节能改造</w:t>
      </w:r>
      <w:r>
        <w:rPr>
          <w:rFonts w:hint="eastAsia"/>
        </w:rPr>
        <w:t>及新建市政路道路灯亮化工程。</w:t>
      </w:r>
      <w:r>
        <w:t>4、完成投入2.2</w:t>
      </w:r>
      <w:r>
        <w:rPr>
          <w:rFonts w:hint="eastAsia"/>
        </w:rPr>
        <w:t>亿元的高标准农田建设；</w:t>
      </w:r>
      <w:r>
        <w:t>5、完成时代广场建设；6、投资400万元，建设界址、江头、帽子峰、百</w:t>
      </w:r>
      <w:r>
        <w:rPr>
          <w:rFonts w:hint="eastAsia"/>
        </w:rPr>
        <w:t>顺四个镇卫生院业务楼；</w:t>
      </w:r>
      <w:r>
        <w:t>7、市本级财政连续三年，</w:t>
      </w:r>
      <w:r>
        <w:rPr>
          <w:rFonts w:hint="eastAsia"/>
        </w:rPr>
        <w:t>每年安排</w:t>
      </w:r>
      <w:r>
        <w:t>500万元资金，建设300人以下自然村水</w:t>
      </w:r>
      <w:r>
        <w:rPr>
          <w:rFonts w:hint="eastAsia"/>
        </w:rPr>
        <w:t>泥路；</w:t>
      </w:r>
      <w:r>
        <w:t>8、市本级财政投入6000万元，完成火车站</w:t>
      </w:r>
      <w:r>
        <w:rPr>
          <w:rFonts w:hint="eastAsia"/>
        </w:rPr>
        <w:t>公路、站前广场建设；</w:t>
      </w:r>
      <w:r>
        <w:t>9、投资700万元，完成54</w:t>
      </w:r>
      <w:r>
        <w:rPr>
          <w:rFonts w:hint="eastAsia"/>
        </w:rPr>
        <w:t>套保障性住房建设。</w:t>
      </w:r>
    </w:p>
    <w:p w14:paraId="25A6EE85">
      <w:pPr>
        <w:rPr>
          <w:rFonts w:hint="eastAsia"/>
        </w:rPr>
      </w:pPr>
      <w:r>
        <w:rPr>
          <w:rFonts w:hint="eastAsia"/>
          <w:b/>
          <w:bCs/>
        </w:rPr>
        <w:t>提高财税保障水平和城乡居民收入。</w:t>
      </w:r>
      <w:r>
        <w:rPr>
          <w:rFonts w:hint="eastAsia"/>
        </w:rPr>
        <w:t>依法治税，加大税收清理力度，加强对园区和重点纳税企业的跟踪服务，实现挖潜增效。强化纳税评估和稽</w:t>
      </w:r>
      <w:r>
        <w:rPr>
          <w:rFonts w:hint="eastAsia"/>
          <w:lang w:eastAsia="zh-CN"/>
        </w:rPr>
        <w:t>查</w:t>
      </w:r>
      <w:r>
        <w:rPr>
          <w:rFonts w:hint="eastAsia"/>
        </w:rPr>
        <w:t>工作，建立人人有责、各单位共同把关的协税护税工作机制，确保财税稳定增长。加强财政资金监管，优化支出结构，加大对教育、医疗卫生、救济救助等重点民生领域的资金支出，努力提高财政保障水平。以市场需求为导向，通过创业和扩大就业，促进城乡居民收入持续增长。完善提高城乡居民收</w:t>
      </w:r>
      <w:r>
        <w:rPr>
          <w:rFonts w:hint="eastAsia"/>
          <w:lang w:val="en-US" w:eastAsia="zh-CN"/>
        </w:rPr>
        <w:t>入</w:t>
      </w:r>
      <w:r>
        <w:rPr>
          <w:rFonts w:hint="eastAsia"/>
        </w:rPr>
        <w:t>的配套措施，适时适度调整最低工资标准和福利待遇，提高单位从业人员劳动报酬。</w:t>
      </w:r>
    </w:p>
    <w:p w14:paraId="4D64882E">
      <w:pPr>
        <w:rPr>
          <w:rFonts w:hint="eastAsia"/>
        </w:rPr>
      </w:pPr>
      <w:r>
        <w:rPr>
          <w:rFonts w:hint="eastAsia"/>
          <w:b/>
          <w:bCs/>
        </w:rPr>
        <w:t>完善社会保障体系。</w:t>
      </w:r>
      <w:r>
        <w:rPr>
          <w:rFonts w:hint="eastAsia"/>
        </w:rPr>
        <w:t>做好养老、医疗、工伤</w:t>
      </w:r>
      <w:r>
        <w:rPr>
          <w:rFonts w:hint="eastAsia"/>
          <w:lang w:eastAsia="zh-CN"/>
        </w:rPr>
        <w:t>、</w:t>
      </w:r>
      <w:r>
        <w:rPr>
          <w:rFonts w:hint="eastAsia"/>
        </w:rPr>
        <w:t>生育、失业五项基本社会保险扩面征缴，推进统筹城乡居民养老保险和城乡居民医疗保险工作，完成城乡居民医疗保险</w:t>
      </w:r>
      <w:r>
        <w:t>36.46万人参保工作。完善社会</w:t>
      </w:r>
      <w:r>
        <w:rPr>
          <w:rFonts w:hint="eastAsia"/>
        </w:rPr>
        <w:t>救助体系，加大对孤、残及低保户、五保户等社会弱势群体的帮扶救助力度。加大保障性住房投入，加快廉租房、公共租赁住房等保障性住房建设，有序推进危旧房改造，让低收入群众安居乐业。</w:t>
      </w:r>
    </w:p>
    <w:p w14:paraId="0797A77F">
      <w:pPr>
        <w:rPr>
          <w:rFonts w:hint="eastAsia"/>
        </w:rPr>
      </w:pPr>
      <w:r>
        <w:rPr>
          <w:rFonts w:hint="eastAsia"/>
          <w:b/>
          <w:bCs/>
        </w:rPr>
        <w:t>推进生态文明建设。</w:t>
      </w:r>
      <w:r>
        <w:rPr>
          <w:rFonts w:hint="eastAsia"/>
        </w:rPr>
        <w:t>精心组织实施新一轮绿化南雄大行动，以森林碳汇、生态景观林带、森林进城围城、乡村绿化四大生态工程建设为抓手，全面推进林业生态建设。加强水土保持工作，大力推进崩岗治理工程和下洞水小流域综合治理项目。加大环境保护和整治力度，着力加强国控企业等重点</w:t>
      </w:r>
      <w:r>
        <w:rPr>
          <w:rFonts w:hint="eastAsia"/>
          <w:lang w:val="en-US" w:eastAsia="zh-CN"/>
        </w:rPr>
        <w:t>污</w:t>
      </w:r>
      <w:r>
        <w:rPr>
          <w:rFonts w:hint="eastAsia"/>
        </w:rPr>
        <w:t>染源的日常监管，推进瀑布水库库区周边环境综合整治。按照生态园区标准，大力发展园区循环经济。抓好清洁生产，促进节能减排，推进重点企业和二期园区污染集中治理设施建设；做好城乡垃圾处理设施和中心镇污水处理厂的建设。</w:t>
      </w:r>
    </w:p>
    <w:p w14:paraId="31C27A37">
      <w:pPr>
        <w:rPr>
          <w:rFonts w:hint="eastAsia"/>
        </w:rPr>
      </w:pPr>
      <w:r>
        <w:rPr>
          <w:rFonts w:hint="eastAsia"/>
          <w:b/>
          <w:bCs/>
        </w:rPr>
        <w:t>加强和创新社会管理。</w:t>
      </w:r>
      <w:r>
        <w:rPr>
          <w:rFonts w:hint="eastAsia"/>
        </w:rPr>
        <w:t>加强社会治安综合治理，强化社会治安防控体系建设，提高人民群众安全感。完善人民调解、行政调解、司法调解联动工作体系，健全行政复议、案件审理机制，就地解决群众合理诉求。强化落实安全生产“一岗双责”制度，健全应急救援体系，提高应对各类事故的处置能力。健全食品药品安全责任体系，强化对食品</w:t>
      </w:r>
      <w:r>
        <w:rPr>
          <w:rFonts w:hint="eastAsia"/>
          <w:lang w:eastAsia="zh-CN"/>
        </w:rPr>
        <w:t>、</w:t>
      </w:r>
      <w:r>
        <w:rPr>
          <w:rFonts w:hint="eastAsia"/>
        </w:rPr>
        <w:t>药品等行业的监督管理。按照商事登记制度改革要求，创新服务经济发展举措。大力推进信用体系和市场监管体系建设，营造诚信公平、宽松有序的市场经济环境。加强普法和依法治市工作，营造良好民主法制环境。加强劳动保障监察执法，努力构建和谐劳动关系。加大依法管理网络力度，确保政府机关网络和信息安全。</w:t>
      </w:r>
    </w:p>
    <w:p w14:paraId="026B8864">
      <w:pPr>
        <w:rPr>
          <w:rFonts w:hint="eastAsia"/>
        </w:rPr>
      </w:pPr>
      <w:r>
        <w:rPr>
          <w:rFonts w:hint="eastAsia"/>
          <w:b/>
          <w:bCs/>
        </w:rPr>
        <w:t>大力发展社会各项事业。</w:t>
      </w:r>
      <w:r>
        <w:rPr>
          <w:rFonts w:hint="eastAsia"/>
        </w:rPr>
        <w:t>深入开展精神文明创建活动和乡村文明行动，提高公民道德素养，提升城市文明程度。扎实推进文化惠民工程建设，不断完善文化基础设施。加强文化遗产保护，完成三影塔保护规划和修复工程。大力发展教育事业，启动新城中学异地建设，推进南亩、湖口、界址、油山等镇的教育创强工作，全面提升教育综合实力。深化医药</w:t>
      </w:r>
      <w:r>
        <w:rPr>
          <w:rFonts w:hint="eastAsia"/>
          <w:lang w:val="en-US" w:eastAsia="zh-CN"/>
        </w:rPr>
        <w:t>卫</w:t>
      </w:r>
      <w:r>
        <w:rPr>
          <w:rFonts w:hint="eastAsia"/>
        </w:rPr>
        <w:t>生体制改革，积极创建国家慢性病综合防控示范区，加快推进市中医院住院大楼二期和镇卫生院业务综合大楼建设。加快人口计生创“国优”步伐，严格落实计生工作机制，稳定低生育水平。认真做好村（居）“两委”换届选举工作。加强统计、科技、体育、信息、国防和人防工作，进一步做好民族宗教、外事侨务、档案、质监、气象、物价、邮政、通信和地方史志等工作。</w:t>
      </w:r>
    </w:p>
    <w:p w14:paraId="165ABF0E">
      <w:pPr>
        <w:rPr>
          <w:rFonts w:hint="eastAsia"/>
          <w:b/>
          <w:bCs/>
        </w:rPr>
      </w:pPr>
      <w:r>
        <w:rPr>
          <w:rFonts w:hint="eastAsia"/>
          <w:b/>
          <w:bCs/>
        </w:rPr>
        <w:t>六、抓好政府自身建设，提升人民满意度</w:t>
      </w:r>
    </w:p>
    <w:p w14:paraId="64EE1854">
      <w:pPr>
        <w:rPr>
          <w:rFonts w:hint="eastAsia"/>
        </w:rPr>
      </w:pPr>
      <w:r>
        <w:rPr>
          <w:rFonts w:hint="eastAsia"/>
        </w:rPr>
        <w:t>继续深入贯彻落实中央关于改进工作作风、密切联系群众的“八项规定”，稳步推进为民、务实</w:t>
      </w:r>
      <w:r>
        <w:rPr>
          <w:rFonts w:hint="eastAsia"/>
          <w:lang w:eastAsia="zh-CN"/>
        </w:rPr>
        <w:t>、</w:t>
      </w:r>
      <w:r>
        <w:rPr>
          <w:rFonts w:hint="eastAsia"/>
        </w:rPr>
        <w:t>廉洁、高效政府建设，以良好的政风促工作、带民风。</w:t>
      </w:r>
    </w:p>
    <w:p w14:paraId="4B963231">
      <w:pPr>
        <w:rPr>
          <w:rFonts w:hint="eastAsia"/>
          <w:lang w:eastAsia="zh-CN"/>
        </w:rPr>
      </w:pPr>
      <w:r>
        <w:rPr>
          <w:rFonts w:hint="eastAsia"/>
          <w:lang w:val="en-US" w:eastAsia="zh-CN"/>
        </w:rPr>
        <w:t>严</w:t>
      </w:r>
      <w:r>
        <w:rPr>
          <w:rFonts w:hint="eastAsia"/>
        </w:rPr>
        <w:t>格按照法定权限和程序行使权力、履行职责。健全监督体系，主动接受人大、政协和社会各界的监督，促进政府决策民主化、科学化、法制化，提高依法行政水平。完善规范性文件、重大决策合法性审</w:t>
      </w:r>
      <w:r>
        <w:rPr>
          <w:rFonts w:hint="eastAsia"/>
          <w:lang w:eastAsia="zh-CN"/>
        </w:rPr>
        <w:t>查</w:t>
      </w:r>
      <w:r>
        <w:rPr>
          <w:rFonts w:hint="eastAsia"/>
        </w:rPr>
        <w:t>机制。深化行政审批制度改革，推进事业单位分类改革，加快政府职能转变。深入推进便民服务体系建设，完善网上办事大厅和镇村便民服务平台。着力倡导立说立行、敢于负责、敢于担当的务实作风，认真解决行政不作为、慢作为、乱作为等问题，全面提高工作效率。深入推进“廉洁南雄”创建活动，努力促进干部清正、政府清廉、政治清明、社会和谐。不断完善和执行工作规章制度，形成从严管钱、管物、管人、管事、管言行的良好工作制度。进一步改进文风会风，坚持厉行节约，反对奢侈浪费，努力营造风清气正的政务环境</w:t>
      </w:r>
      <w:r>
        <w:rPr>
          <w:rFonts w:hint="eastAsia"/>
          <w:lang w:eastAsia="zh-CN"/>
        </w:rPr>
        <w:t>。</w:t>
      </w:r>
    </w:p>
    <w:p w14:paraId="562397A9">
      <w:pPr>
        <w:rPr>
          <w:rFonts w:hint="eastAsia"/>
        </w:rPr>
      </w:pPr>
      <w:r>
        <w:rPr>
          <w:rFonts w:hint="eastAsia"/>
        </w:rPr>
        <w:t>各位代表，南雄进入了科学发展、跨越发展的关键阶段，带领全市人民在</w:t>
      </w:r>
      <w:r>
        <w:rPr>
          <w:rFonts w:hint="eastAsia"/>
          <w:lang w:val="en-US" w:eastAsia="zh-CN"/>
        </w:rPr>
        <w:t>粤</w:t>
      </w:r>
      <w:r>
        <w:rPr>
          <w:rFonts w:hint="eastAsia"/>
        </w:rPr>
        <w:t>东西北欠发达地区中奋勇前进，并赶上发达地区的发展水平，最终实现全面建成小康社会的宏伟目标，是政府的神圣使命和光荣职责。对此，我们将义不容辞，勇于承担。让我们在市委的坚强领导下，以更加昂扬的斗志、更加扎实的作风，励精图</w:t>
      </w:r>
      <w:r>
        <w:rPr>
          <w:rFonts w:hint="eastAsia"/>
          <w:lang w:val="en-US" w:eastAsia="zh-CN"/>
        </w:rPr>
        <w:t>治</w:t>
      </w:r>
      <w:r>
        <w:rPr>
          <w:rFonts w:hint="eastAsia"/>
        </w:rPr>
        <w:t>，开拓创新，为把南雄建设成为生态、富裕、文明、和谐的</w:t>
      </w:r>
      <w:r>
        <w:rPr>
          <w:rFonts w:hint="eastAsia"/>
          <w:lang w:val="en-US" w:eastAsia="zh-CN"/>
        </w:rPr>
        <w:t>粤</w:t>
      </w:r>
      <w:r>
        <w:rPr>
          <w:rFonts w:hint="eastAsia"/>
        </w:rPr>
        <w:t>北门户城市而努力奋斗！</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46E24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069B876">
            <w:pPr>
              <w:ind w:left="0" w:leftChars="0" w:firstLine="0" w:firstLineChars="0"/>
              <w:rPr>
                <w:rFonts w:hint="eastAsia" w:eastAsia="宋体"/>
                <w:vertAlign w:val="baseline"/>
                <w:lang w:eastAsia="zh-CN"/>
              </w:rPr>
            </w:pPr>
            <w:r>
              <w:rPr>
                <w:rFonts w:hint="eastAsia" w:eastAsia="宋体"/>
                <w:vertAlign w:val="baseline"/>
                <w:lang w:eastAsia="zh-CN"/>
              </w:rPr>
              <w:drawing>
                <wp:inline distT="0" distB="0" distL="114300" distR="114300">
                  <wp:extent cx="6175375" cy="2326005"/>
                  <wp:effectExtent l="0" t="0" r="15875" b="17145"/>
                  <wp:docPr id="43" name="图片 43" descr="南雄年鉴2014-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南雄年鉴2014-043"/>
                          <pic:cNvPicPr>
                            <a:picLocks noChangeAspect="1"/>
                          </pic:cNvPicPr>
                        </pic:nvPicPr>
                        <pic:blipFill>
                          <a:blip r:embed="rId113"/>
                          <a:stretch>
                            <a:fillRect/>
                          </a:stretch>
                        </pic:blipFill>
                        <pic:spPr>
                          <a:xfrm>
                            <a:off x="0" y="0"/>
                            <a:ext cx="6175375" cy="2326005"/>
                          </a:xfrm>
                          <a:prstGeom prst="rect">
                            <a:avLst/>
                          </a:prstGeom>
                        </pic:spPr>
                      </pic:pic>
                    </a:graphicData>
                  </a:graphic>
                </wp:inline>
              </w:drawing>
            </w:r>
          </w:p>
        </w:tc>
      </w:tr>
    </w:tbl>
    <w:p w14:paraId="07A98A9F">
      <w:pPr>
        <w:pStyle w:val="3"/>
        <w:bidi w:val="0"/>
        <w:rPr>
          <w:rFonts w:hint="eastAsia"/>
        </w:rPr>
      </w:pPr>
      <w:r>
        <w:rPr>
          <w:rFonts w:hint="eastAsia"/>
        </w:rPr>
        <w:t>全国重点文物保护单位南粤雄关与古道</w:t>
      </w:r>
    </w:p>
    <w:p w14:paraId="33A487CC">
      <w:pPr>
        <w:rPr>
          <w:rFonts w:hint="eastAsia"/>
          <w:lang w:eastAsia="zh-CN"/>
        </w:rPr>
      </w:pPr>
      <w:r>
        <w:rPr>
          <w:rFonts w:hint="eastAsia"/>
        </w:rPr>
        <w:t>南</w:t>
      </w:r>
      <w:r>
        <w:rPr>
          <w:rFonts w:hint="eastAsia"/>
          <w:lang w:val="en-US" w:eastAsia="zh-CN"/>
        </w:rPr>
        <w:t>粤</w:t>
      </w:r>
      <w:r>
        <w:rPr>
          <w:rFonts w:hint="eastAsia"/>
        </w:rPr>
        <w:t>雄关与古道位于南雄市珠玑镇梅岭。梅关关楼坐落在江广交界的梅岭山巅隘口，位于东经</w:t>
      </w:r>
      <w:r>
        <w:t>114°20</w:t>
      </w:r>
      <w:r>
        <w:rPr>
          <w:rFonts w:hint="eastAsia"/>
          <w:lang w:val="en-US" w:eastAsia="zh-CN"/>
        </w:rPr>
        <w:t>′</w:t>
      </w:r>
      <w:r>
        <w:t>北纬25°2</w:t>
      </w:r>
      <w:r>
        <w:rPr>
          <w:rFonts w:hint="eastAsia"/>
          <w:lang w:val="en-US" w:eastAsia="zh-CN"/>
        </w:rPr>
        <w:t>0′</w:t>
      </w:r>
      <w:r>
        <w:rPr>
          <w:rFonts w:hint="eastAsia"/>
          <w:lang w:eastAsia="zh-CN"/>
        </w:rPr>
        <w:t>。</w:t>
      </w:r>
    </w:p>
    <w:p w14:paraId="294F88A3">
      <w:pPr>
        <w:rPr>
          <w:rFonts w:hint="eastAsia"/>
        </w:rPr>
      </w:pPr>
      <w:r>
        <w:rPr>
          <w:rFonts w:hint="eastAsia"/>
        </w:rPr>
        <w:t>秦代设关，称秦关，亦称横浦关。唐开元四年（</w:t>
      </w:r>
      <w:r>
        <w:t>716年），张九龄奉诏开凿大庾岭路。古道曾多次</w:t>
      </w:r>
      <w:r>
        <w:rPr>
          <w:rFonts w:hint="eastAsia"/>
        </w:rPr>
        <w:t>进行修葺。宋嘉祐八年（</w:t>
      </w:r>
      <w:r>
        <w:t>1063年）广东转运使蔡</w:t>
      </w:r>
      <w:r>
        <w:rPr>
          <w:rFonts w:hint="eastAsia"/>
        </w:rPr>
        <w:t>抗与江西提点刑</w:t>
      </w:r>
      <w:r>
        <w:rPr>
          <w:rFonts w:hint="eastAsia"/>
          <w:lang w:val="en-US" w:eastAsia="zh-CN"/>
        </w:rPr>
        <w:t>获</w:t>
      </w:r>
      <w:r>
        <w:rPr>
          <w:rFonts w:hint="eastAsia"/>
        </w:rPr>
        <w:t>公事蔡挺共同发动民众平整岭路，植树夹道，并立关于岭上，颜曰“梅关”。明英宗正统十一年（</w:t>
      </w:r>
      <w:r>
        <w:t>1446年）南雄知府郑述征集民</w:t>
      </w:r>
      <w:r>
        <w:rPr>
          <w:rFonts w:hint="eastAsia"/>
        </w:rPr>
        <w:t>工，用鹅卵石、花岗片石铺砌岭道路面。明万历戊戌中秋（</w:t>
      </w:r>
      <w:r>
        <w:t>1598年）南雄知府蒋杰题“岭南第一关”</w:t>
      </w:r>
      <w:r>
        <w:rPr>
          <w:rFonts w:hint="eastAsia"/>
        </w:rPr>
        <w:t>关匾。清康熙岁次己未（</w:t>
      </w:r>
      <w:r>
        <w:t>1679年）三月谷</w:t>
      </w:r>
      <w:r>
        <w:rPr>
          <w:rFonts w:hint="eastAsia"/>
          <w:lang w:val="en-US" w:eastAsia="zh-CN"/>
        </w:rPr>
        <w:t>旦</w:t>
      </w:r>
      <w:r>
        <w:t>，南</w:t>
      </w:r>
      <w:r>
        <w:rPr>
          <w:rFonts w:hint="eastAsia"/>
        </w:rPr>
        <w:t>雄知府蒋凤翔重题“梅岭”两字立碑刻于关前。</w:t>
      </w:r>
    </w:p>
    <w:p w14:paraId="78B4CE7D">
      <w:pPr>
        <w:rPr>
          <w:rFonts w:hint="eastAsia"/>
          <w:lang w:eastAsia="zh-CN"/>
        </w:rPr>
      </w:pPr>
      <w:r>
        <w:rPr>
          <w:rFonts w:hint="eastAsia"/>
        </w:rPr>
        <w:t>梅关关楼东西两侧紧连山崖，关楼地面由北向南倾斜。关楼北面高</w:t>
      </w:r>
      <w:r>
        <w:t>5.70米，宽5.84米，进深5.46米，拱门高3.20米，占地面积31.9平方米。</w:t>
      </w:r>
      <w:r>
        <w:rPr>
          <w:rFonts w:hint="eastAsia"/>
        </w:rPr>
        <w:t>关楼南向拱门上镶“岭南第一关”石匾一块，北向拱门上镶“南</w:t>
      </w:r>
      <w:r>
        <w:rPr>
          <w:rFonts w:hint="eastAsia"/>
          <w:lang w:eastAsia="zh-CN"/>
        </w:rPr>
        <w:t>粤</w:t>
      </w:r>
      <w:r>
        <w:rPr>
          <w:rFonts w:hint="eastAsia"/>
        </w:rPr>
        <w:t>雄关”石匾一块。关楼北向左侧立石碑一块，高</w:t>
      </w:r>
      <w:r>
        <w:t>2.2米，宽1.2米，上刻“梅岭”两</w:t>
      </w:r>
      <w:r>
        <w:rPr>
          <w:rFonts w:hint="eastAsia"/>
        </w:rPr>
        <w:t>个大字，古道自南雄境内穿关达江西大余县境。南雄段自梅岭山脚的梅岭村至关楼长</w:t>
      </w:r>
      <w:r>
        <w:t>1.2公里，宽3</w:t>
      </w:r>
      <w:r>
        <w:rPr>
          <w:rFonts w:hint="eastAsia"/>
        </w:rPr>
        <w:t>米</w:t>
      </w:r>
      <w:r>
        <w:rPr>
          <w:rFonts w:hint="eastAsia"/>
          <w:lang w:val="en-US" w:eastAsia="zh-CN"/>
        </w:rPr>
        <w:t>~</w:t>
      </w:r>
      <w:r>
        <w:t>4米，保存较好。古道以当地青石、鹅卵石铺</w:t>
      </w:r>
      <w:r>
        <w:rPr>
          <w:rFonts w:hint="eastAsia"/>
        </w:rPr>
        <w:t>砌，两旁砌排水沟</w:t>
      </w:r>
      <w:r>
        <w:rPr>
          <w:rFonts w:hint="eastAsia"/>
          <w:lang w:eastAsia="zh-CN"/>
        </w:rPr>
        <w:t>。</w:t>
      </w:r>
    </w:p>
    <w:p w14:paraId="57D128AA">
      <w:pPr>
        <w:rPr>
          <w:rFonts w:hint="eastAsia"/>
          <w:lang w:eastAsia="zh-CN"/>
        </w:rPr>
      </w:pPr>
      <w:r>
        <w:t>1982年5月21日，列为南雄县文物保护单位。1989年6月29日，列为广东省文物保护单位。1995年，南雄市政府对梅关与古道进行维修。2013</w:t>
      </w:r>
      <w:r>
        <w:rPr>
          <w:rFonts w:hint="eastAsia"/>
        </w:rPr>
        <w:t>年</w:t>
      </w:r>
      <w:r>
        <w:t>3月5日，公布为全国重点文物保护单位</w:t>
      </w:r>
      <w:r>
        <w:rPr>
          <w:rFonts w:hint="eastAsia"/>
          <w:lang w:eastAsia="zh-CN"/>
        </w:rPr>
        <w:t>。</w:t>
      </w:r>
    </w:p>
    <w:p w14:paraId="3485C6B1">
      <w:pPr>
        <w:jc w:val="right"/>
        <w:rPr>
          <w:rFonts w:hint="eastAsia"/>
          <w:b/>
          <w:bCs/>
        </w:rPr>
      </w:pPr>
      <w:r>
        <w:rPr>
          <w:rFonts w:hint="eastAsia"/>
          <w:b/>
          <w:bCs/>
        </w:rPr>
        <w:t>（市博物馆）</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4E124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8B17619">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0455" cy="3834765"/>
                  <wp:effectExtent l="0" t="0" r="10795" b="13335"/>
                  <wp:docPr id="44" name="图片 44" descr="南雄年鉴2014-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南雄年鉴2014-044"/>
                          <pic:cNvPicPr>
                            <a:picLocks noChangeAspect="1"/>
                          </pic:cNvPicPr>
                        </pic:nvPicPr>
                        <pic:blipFill>
                          <a:blip r:embed="rId114"/>
                          <a:stretch>
                            <a:fillRect/>
                          </a:stretch>
                        </pic:blipFill>
                        <pic:spPr>
                          <a:xfrm>
                            <a:off x="0" y="0"/>
                            <a:ext cx="6180455" cy="3834765"/>
                          </a:xfrm>
                          <a:prstGeom prst="rect">
                            <a:avLst/>
                          </a:prstGeom>
                        </pic:spPr>
                      </pic:pic>
                    </a:graphicData>
                  </a:graphic>
                </wp:inline>
              </w:drawing>
            </w:r>
          </w:p>
        </w:tc>
      </w:tr>
    </w:tbl>
    <w:p w14:paraId="45BD274B">
      <w:pPr>
        <w:pStyle w:val="2"/>
        <w:bidi w:val="0"/>
      </w:pPr>
      <w:r>
        <w:t>2013年大事记</w:t>
      </w:r>
    </w:p>
    <w:p w14:paraId="43C37D78">
      <w:pPr>
        <w:pStyle w:val="3"/>
        <w:bidi w:val="0"/>
      </w:pPr>
      <w:r>
        <w:t>1月</w:t>
      </w:r>
    </w:p>
    <w:p w14:paraId="61B95539">
      <w:pPr>
        <w:rPr>
          <w:rFonts w:hint="eastAsia"/>
        </w:rPr>
      </w:pPr>
      <w:r>
        <w:rPr>
          <w:rFonts w:hint="eastAsia"/>
          <w:b/>
          <w:bCs/>
          <w:lang w:val="en-US" w:eastAsia="zh-CN"/>
        </w:rPr>
        <w:t>1月</w:t>
      </w:r>
      <w:r>
        <w:rPr>
          <w:b/>
          <w:bCs/>
        </w:rPr>
        <w:t>7日</w:t>
      </w:r>
      <w:r>
        <w:rPr>
          <w:rFonts w:hint="eastAsia"/>
          <w:b/>
          <w:bCs/>
          <w:lang w:val="en-US" w:eastAsia="zh-CN"/>
        </w:rPr>
        <w:t xml:space="preserve">  </w:t>
      </w:r>
      <w:r>
        <w:t>市组织3个综合考核考评工作组，</w:t>
      </w:r>
      <w:r>
        <w:rPr>
          <w:rFonts w:hint="eastAsia"/>
        </w:rPr>
        <w:t>对全市市直副科以上（含垂直管理）单位进行绩效评估和政绩考核。</w:t>
      </w:r>
    </w:p>
    <w:p w14:paraId="08E0DEDA">
      <w:pPr>
        <w:rPr>
          <w:rFonts w:hint="eastAsia"/>
        </w:rPr>
      </w:pPr>
      <w:r>
        <w:rPr>
          <w:b/>
          <w:bCs/>
        </w:rPr>
        <w:t>1月11日</w:t>
      </w:r>
      <w:r>
        <w:rPr>
          <w:rFonts w:hint="eastAsia"/>
          <w:b/>
          <w:bCs/>
          <w:lang w:val="en-US" w:eastAsia="zh-CN"/>
        </w:rPr>
        <w:t xml:space="preserve">  </w:t>
      </w:r>
      <w:r>
        <w:t>中国科学院广州分院和中科院广州</w:t>
      </w:r>
      <w:r>
        <w:rPr>
          <w:rFonts w:hint="eastAsia"/>
        </w:rPr>
        <w:t>化学公司领导到市园区，检</w:t>
      </w:r>
      <w:r>
        <w:rPr>
          <w:rFonts w:hint="eastAsia"/>
          <w:lang w:eastAsia="zh-CN"/>
        </w:rPr>
        <w:t>查</w:t>
      </w:r>
      <w:r>
        <w:rPr>
          <w:rFonts w:hint="eastAsia"/>
        </w:rPr>
        <w:t>中科院广州化学研究所南雄中试基地、中科院广州有限公司南雄材料生产基地项目建设情况。</w:t>
      </w:r>
    </w:p>
    <w:p w14:paraId="16EA888E">
      <w:pPr>
        <w:rPr>
          <w:rFonts w:hint="eastAsia"/>
        </w:rPr>
      </w:pPr>
      <w:r>
        <w:rPr>
          <w:b/>
          <w:bCs/>
        </w:rPr>
        <w:t>1月11日</w:t>
      </w:r>
      <w:r>
        <w:rPr>
          <w:rFonts w:hint="eastAsia"/>
          <w:b/>
          <w:bCs/>
          <w:lang w:val="en-US" w:eastAsia="zh-CN"/>
        </w:rPr>
        <w:t xml:space="preserve">  </w:t>
      </w:r>
      <w:r>
        <w:t>广东省人口与计划生育目标管理责</w:t>
      </w:r>
      <w:r>
        <w:rPr>
          <w:rFonts w:hint="eastAsia"/>
        </w:rPr>
        <w:t>任制考核工作组到南雄市检</w:t>
      </w:r>
      <w:r>
        <w:rPr>
          <w:rFonts w:hint="eastAsia"/>
          <w:lang w:eastAsia="zh-CN"/>
        </w:rPr>
        <w:t>查</w:t>
      </w:r>
      <w:r>
        <w:rPr>
          <w:rFonts w:hint="eastAsia"/>
        </w:rPr>
        <w:t>考核。</w:t>
      </w:r>
    </w:p>
    <w:p w14:paraId="6F2E6A09">
      <w:pPr>
        <w:rPr>
          <w:rFonts w:hint="eastAsia"/>
          <w:lang w:eastAsia="zh-CN"/>
        </w:rPr>
      </w:pPr>
      <w:r>
        <w:rPr>
          <w:b/>
          <w:bCs/>
        </w:rPr>
        <w:t>1月14日</w:t>
      </w:r>
      <w:r>
        <w:rPr>
          <w:rFonts w:hint="eastAsia"/>
          <w:b/>
          <w:bCs/>
          <w:lang w:val="en-US" w:eastAsia="zh-CN"/>
        </w:rPr>
        <w:t xml:space="preserve">  </w:t>
      </w:r>
      <w:r>
        <w:t>市下发《关于整治市区道路交通运</w:t>
      </w:r>
      <w:r>
        <w:rPr>
          <w:rFonts w:hint="eastAsia"/>
        </w:rPr>
        <w:t>输市场秩序的通告》，决定在市区部分路段禁止三轮车辆通行，将于</w:t>
      </w:r>
      <w:r>
        <w:t>4月1日起实施</w:t>
      </w:r>
      <w:r>
        <w:rPr>
          <w:rFonts w:hint="eastAsia"/>
          <w:lang w:eastAsia="zh-CN"/>
        </w:rPr>
        <w:t>。</w:t>
      </w:r>
    </w:p>
    <w:p w14:paraId="325573E7">
      <w:r>
        <w:rPr>
          <w:b/>
          <w:bCs/>
        </w:rPr>
        <w:t>1月18日</w:t>
      </w:r>
      <w:r>
        <w:rPr>
          <w:rFonts w:hint="eastAsia"/>
          <w:b/>
          <w:bCs/>
          <w:lang w:val="en-US" w:eastAsia="zh-CN"/>
        </w:rPr>
        <w:t xml:space="preserve">  </w:t>
      </w:r>
      <w:r>
        <w:t>大学生村官笔试在黎灿学校举行，268名大学生报名参加应聘笔试。</w:t>
      </w:r>
    </w:p>
    <w:p w14:paraId="24AD3CA9">
      <w:pPr>
        <w:rPr>
          <w:rFonts w:hint="eastAsia"/>
        </w:rPr>
      </w:pPr>
      <w:r>
        <w:rPr>
          <w:b/>
          <w:bCs/>
        </w:rPr>
        <w:t>1月23日上午</w:t>
      </w:r>
      <w:r>
        <w:rPr>
          <w:rFonts w:hint="eastAsia"/>
          <w:lang w:val="en-US" w:eastAsia="zh-CN"/>
        </w:rPr>
        <w:t xml:space="preserve">  </w:t>
      </w:r>
      <w:r>
        <w:t>市委召开第十二届二次全会</w:t>
      </w:r>
      <w:r>
        <w:rPr>
          <w:rFonts w:hint="eastAsia"/>
          <w:lang w:eastAsia="zh-CN"/>
        </w:rPr>
        <w:t>，</w:t>
      </w:r>
      <w:r>
        <w:rPr>
          <w:rFonts w:hint="eastAsia"/>
        </w:rPr>
        <w:t>市委书记、市人大常委会主任许志新作《坚定不移走生态发展道路奋力开创南雄跨越发展新局面》报告。会议传达贯彻省委第十一届二次全会和韶关市经济工作会议精神，提出</w:t>
      </w:r>
      <w:r>
        <w:t>2013年目标是实现全市</w:t>
      </w:r>
      <w:r>
        <w:rPr>
          <w:rFonts w:hint="eastAsia"/>
        </w:rPr>
        <w:t>生产总值增长</w:t>
      </w:r>
      <w:r>
        <w:t>12%以上，地方财政一般预算收入增</w:t>
      </w:r>
      <w:r>
        <w:rPr>
          <w:rFonts w:hint="eastAsia"/>
        </w:rPr>
        <w:t>长</w:t>
      </w:r>
      <w:r>
        <w:t>13%以上，固定资产投资增长14%以上经济</w:t>
      </w:r>
      <w:r>
        <w:rPr>
          <w:rFonts w:hint="eastAsia"/>
        </w:rPr>
        <w:t>目标。</w:t>
      </w:r>
    </w:p>
    <w:p w14:paraId="2059828A">
      <w:r>
        <w:rPr>
          <w:b/>
          <w:bCs/>
        </w:rPr>
        <w:t>1月23日</w:t>
      </w:r>
      <w:r>
        <w:rPr>
          <w:rFonts w:hint="eastAsia"/>
          <w:b/>
          <w:bCs/>
          <w:lang w:val="en-US" w:eastAsia="zh-CN"/>
        </w:rPr>
        <w:t xml:space="preserve">  </w:t>
      </w:r>
      <w:r>
        <w:t>市公安局交警大队依法公开销毁262辆报废车辆。</w:t>
      </w:r>
    </w:p>
    <w:p w14:paraId="0225AC57">
      <w:pPr>
        <w:pStyle w:val="3"/>
        <w:bidi w:val="0"/>
      </w:pPr>
      <w:r>
        <w:t>2月</w:t>
      </w:r>
    </w:p>
    <w:p w14:paraId="1A7A502E">
      <w:pPr>
        <w:rPr>
          <w:rFonts w:hint="eastAsia"/>
          <w:lang w:eastAsia="zh-CN"/>
        </w:rPr>
      </w:pPr>
      <w:r>
        <w:rPr>
          <w:rFonts w:hint="eastAsia"/>
          <w:b/>
          <w:bCs/>
          <w:lang w:val="en-US" w:eastAsia="zh-CN"/>
        </w:rPr>
        <w:t>2月</w:t>
      </w:r>
      <w:r>
        <w:rPr>
          <w:b/>
          <w:bCs/>
        </w:rPr>
        <w:t>2日</w:t>
      </w:r>
      <w:r>
        <w:rPr>
          <w:rFonts w:hint="eastAsia"/>
          <w:b/>
          <w:bCs/>
          <w:lang w:val="en-US" w:eastAsia="zh-CN"/>
        </w:rPr>
        <w:t xml:space="preserve">  </w:t>
      </w:r>
      <w:r>
        <w:t>南雄市珠影文化广场影院落成开业，</w:t>
      </w:r>
      <w:r>
        <w:rPr>
          <w:rFonts w:hint="eastAsia"/>
        </w:rPr>
        <w:t>珠影文化广场影院项目是南雄重点民生工程之</w:t>
      </w:r>
      <w:r>
        <w:rPr>
          <w:rFonts w:hint="eastAsia"/>
          <w:lang w:val="en-US" w:eastAsia="zh-CN"/>
        </w:rPr>
        <w:t>一，</w:t>
      </w:r>
      <w:r>
        <w:rPr>
          <w:rFonts w:hint="eastAsia"/>
        </w:rPr>
        <w:t>投资</w:t>
      </w:r>
      <w:r>
        <w:t>3500万元，建筑面积1万平方米，设5个放映</w:t>
      </w:r>
      <w:r>
        <w:rPr>
          <w:rFonts w:hint="eastAsia"/>
        </w:rPr>
        <w:t>厅，约</w:t>
      </w:r>
      <w:r>
        <w:t>800个座位，3D、4D、5D放影齐全。配套</w:t>
      </w:r>
      <w:r>
        <w:rPr>
          <w:rFonts w:hint="eastAsia"/>
        </w:rPr>
        <w:t>世界先进</w:t>
      </w:r>
      <w:r>
        <w:t>SONY4K放映设备，β3环绕立体音响，</w:t>
      </w:r>
      <w:r>
        <w:rPr>
          <w:rFonts w:hint="eastAsia"/>
        </w:rPr>
        <w:t>进口无缝金属幕。该项目建成，填补南雄影视文化产业空白，成为南雄文化新地标</w:t>
      </w:r>
      <w:r>
        <w:rPr>
          <w:rFonts w:hint="eastAsia"/>
          <w:lang w:eastAsia="zh-CN"/>
        </w:rPr>
        <w:t>。</w:t>
      </w:r>
    </w:p>
    <w:p w14:paraId="6FE29D8C">
      <w:pPr>
        <w:rPr>
          <w:rFonts w:hint="eastAsia"/>
        </w:rPr>
      </w:pPr>
      <w:r>
        <w:rPr>
          <w:b/>
          <w:bCs/>
        </w:rPr>
        <w:t>2月18日</w:t>
      </w:r>
      <w:r>
        <w:rPr>
          <w:rFonts w:hint="eastAsia"/>
          <w:b/>
          <w:bCs/>
          <w:lang w:val="en-US" w:eastAsia="zh-CN"/>
        </w:rPr>
        <w:t xml:space="preserve">  </w:t>
      </w:r>
      <w:r>
        <w:t>市召开四级干部开春动员大会。在</w:t>
      </w:r>
      <w:r>
        <w:rPr>
          <w:rFonts w:hint="eastAsia"/>
        </w:rPr>
        <w:t>全市开展以“面向基层、整顿作风、服务群众”为主题实践教育活动。</w:t>
      </w:r>
    </w:p>
    <w:p w14:paraId="64C68F5A">
      <w:pPr>
        <w:rPr>
          <w:rFonts w:hint="eastAsia"/>
          <w:lang w:eastAsia="zh-CN"/>
        </w:rPr>
      </w:pPr>
      <w:r>
        <w:rPr>
          <w:b/>
          <w:bCs/>
        </w:rPr>
        <w:t>2月21日</w:t>
      </w:r>
      <w:r>
        <w:rPr>
          <w:rFonts w:hint="eastAsia"/>
          <w:b/>
          <w:bCs/>
          <w:lang w:val="en-US" w:eastAsia="zh-CN"/>
        </w:rPr>
        <w:t xml:space="preserve">  </w:t>
      </w:r>
      <w:r>
        <w:t>政协南雄市九届三次会议在南雄市</w:t>
      </w:r>
      <w:r>
        <w:rPr>
          <w:rFonts w:hint="eastAsia"/>
        </w:rPr>
        <w:t>区召开。市政协主席何万飞作政协工作报告</w:t>
      </w:r>
      <w:r>
        <w:rPr>
          <w:rFonts w:hint="eastAsia"/>
          <w:lang w:eastAsia="zh-CN"/>
        </w:rPr>
        <w:t>。</w:t>
      </w:r>
    </w:p>
    <w:p w14:paraId="0D2FE6E5">
      <w:pPr>
        <w:rPr>
          <w:rFonts w:hint="eastAsia"/>
          <w:lang w:eastAsia="zh-CN"/>
        </w:rPr>
      </w:pPr>
      <w:r>
        <w:rPr>
          <w:b/>
          <w:bCs/>
        </w:rPr>
        <w:t>2月21日</w:t>
      </w:r>
      <w:r>
        <w:rPr>
          <w:rFonts w:hint="eastAsia"/>
          <w:b/>
          <w:bCs/>
          <w:lang w:val="en-US" w:eastAsia="zh-CN"/>
        </w:rPr>
        <w:t xml:space="preserve">  </w:t>
      </w:r>
      <w:r>
        <w:t>市十四届人民代表大会第三次会议</w:t>
      </w:r>
      <w:r>
        <w:rPr>
          <w:rFonts w:hint="eastAsia"/>
        </w:rPr>
        <w:t>在南雄大会堂召开。市委书记、市人大常委会主任许志新主持大会。市长刘清生作政府工作报告</w:t>
      </w:r>
      <w:r>
        <w:rPr>
          <w:rFonts w:hint="eastAsia"/>
          <w:lang w:eastAsia="zh-CN"/>
        </w:rPr>
        <w:t>。</w:t>
      </w:r>
    </w:p>
    <w:p w14:paraId="7306F279">
      <w:pPr>
        <w:rPr>
          <w:rFonts w:hint="eastAsia"/>
        </w:rPr>
      </w:pPr>
      <w:r>
        <w:rPr>
          <w:b/>
          <w:bCs/>
        </w:rPr>
        <w:t>2月28日</w:t>
      </w:r>
      <w:r>
        <w:rPr>
          <w:rFonts w:hint="eastAsia"/>
          <w:b/>
          <w:bCs/>
          <w:lang w:val="en-US" w:eastAsia="zh-CN"/>
        </w:rPr>
        <w:t xml:space="preserve">  </w:t>
      </w:r>
      <w:r>
        <w:t>2013年全市新招录77名大学生村</w:t>
      </w:r>
      <w:r>
        <w:rPr>
          <w:rFonts w:hint="eastAsia"/>
        </w:rPr>
        <w:t>官，签订聘用合同。并对这批新招录村官进行</w:t>
      </w:r>
      <w:r>
        <w:rPr>
          <w:rFonts w:hint="eastAsia"/>
          <w:lang w:val="en-US" w:eastAsia="zh-CN"/>
        </w:rPr>
        <w:t>岗</w:t>
      </w:r>
      <w:r>
        <w:rPr>
          <w:rFonts w:hint="eastAsia"/>
        </w:rPr>
        <w:t>前培训。</w:t>
      </w:r>
    </w:p>
    <w:p w14:paraId="273FBC64">
      <w:pPr>
        <w:pStyle w:val="3"/>
        <w:bidi w:val="0"/>
      </w:pPr>
      <w:r>
        <w:t>3月</w:t>
      </w:r>
    </w:p>
    <w:p w14:paraId="11EC1992">
      <w:pPr>
        <w:rPr>
          <w:rFonts w:hint="eastAsia"/>
        </w:rPr>
      </w:pPr>
      <w:r>
        <w:rPr>
          <w:rFonts w:hint="eastAsia"/>
          <w:b/>
          <w:bCs/>
          <w:lang w:val="en-US" w:eastAsia="zh-CN"/>
        </w:rPr>
        <w:t>3月</w:t>
      </w:r>
      <w:r>
        <w:rPr>
          <w:b/>
          <w:bCs/>
        </w:rPr>
        <w:t>5日</w:t>
      </w:r>
      <w:r>
        <w:rPr>
          <w:rFonts w:hint="eastAsia"/>
          <w:b/>
          <w:bCs/>
          <w:lang w:val="en-US" w:eastAsia="zh-CN"/>
        </w:rPr>
        <w:t xml:space="preserve">  </w:t>
      </w:r>
      <w:r>
        <w:t>广东省委第五巡视组进驻南雄市，</w:t>
      </w:r>
      <w:r>
        <w:rPr>
          <w:rFonts w:hint="eastAsia"/>
        </w:rPr>
        <w:t>对南雄市党政班子及其成员开展巡视检</w:t>
      </w:r>
      <w:r>
        <w:rPr>
          <w:rFonts w:hint="eastAsia"/>
          <w:lang w:eastAsia="zh-CN"/>
        </w:rPr>
        <w:t>查</w:t>
      </w:r>
      <w:r>
        <w:rPr>
          <w:rFonts w:hint="eastAsia"/>
        </w:rPr>
        <w:t>，巡视工作为期一个月。</w:t>
      </w:r>
    </w:p>
    <w:p w14:paraId="3D72E1C2">
      <w:pPr>
        <w:rPr>
          <w:rFonts w:hint="eastAsia"/>
        </w:rPr>
      </w:pPr>
      <w:r>
        <w:rPr>
          <w:b/>
          <w:bCs/>
        </w:rPr>
        <w:t>3月11日下午</w:t>
      </w:r>
      <w:r>
        <w:rPr>
          <w:rFonts w:hint="eastAsia"/>
          <w:b/>
          <w:bCs/>
          <w:lang w:val="en-US" w:eastAsia="zh-CN"/>
        </w:rPr>
        <w:t xml:space="preserve">  </w:t>
      </w:r>
      <w:r>
        <w:t>市委书记、市人大常委会主任</w:t>
      </w:r>
      <w:r>
        <w:rPr>
          <w:rFonts w:hint="eastAsia"/>
        </w:rPr>
        <w:t>许志新专程前往黄坑、湖口等烟叶主产镇，了解当前干旱天气下黄烟种植遇到的困难，并就</w:t>
      </w:r>
      <w:r>
        <w:t>2个乡镇</w:t>
      </w:r>
      <w:r>
        <w:rPr>
          <w:rFonts w:hint="eastAsia"/>
        </w:rPr>
        <w:t>作风建设进行调研。</w:t>
      </w:r>
    </w:p>
    <w:p w14:paraId="6D9072A2">
      <w:pPr>
        <w:rPr>
          <w:rFonts w:hint="eastAsia"/>
        </w:rPr>
      </w:pPr>
      <w:r>
        <w:rPr>
          <w:b/>
          <w:bCs/>
        </w:rPr>
        <w:t>3月13日</w:t>
      </w:r>
      <w:r>
        <w:rPr>
          <w:rFonts w:hint="eastAsia"/>
          <w:b/>
          <w:bCs/>
          <w:lang w:val="en-US" w:eastAsia="zh-CN"/>
        </w:rPr>
        <w:t xml:space="preserve">  </w:t>
      </w:r>
      <w:r>
        <w:t>市召开第十二届纪委第三次全会。</w:t>
      </w:r>
      <w:r>
        <w:rPr>
          <w:rFonts w:hint="eastAsia"/>
        </w:rPr>
        <w:t>许志新、刘清生、何万飞等市四套班子领导和各镇（街道）、市直副科以上单位有关领导干部参加会议。</w:t>
      </w:r>
    </w:p>
    <w:p w14:paraId="24BE6E84">
      <w:pPr>
        <w:rPr>
          <w:rFonts w:hint="eastAsia"/>
        </w:rPr>
      </w:pPr>
      <w:r>
        <w:rPr>
          <w:rFonts w:hint="eastAsia"/>
          <w:b/>
          <w:bCs/>
        </w:rPr>
        <w:t>同日</w:t>
      </w:r>
      <w:r>
        <w:rPr>
          <w:rFonts w:hint="eastAsia"/>
          <w:b/>
          <w:bCs/>
          <w:lang w:val="en-US" w:eastAsia="zh-CN"/>
        </w:rPr>
        <w:t xml:space="preserve">  </w:t>
      </w:r>
      <w:r>
        <w:rPr>
          <w:rFonts w:hint="eastAsia"/>
        </w:rPr>
        <w:t>市党风廉政建设、干部任前法纪教育暨预防职务犯罪教育基地在市人民检察院举行建成揭牌仪式。许志新、刘清生、何万飞等市四套班子领导参加仪式。</w:t>
      </w:r>
    </w:p>
    <w:p w14:paraId="7BB9480D">
      <w:pPr>
        <w:rPr>
          <w:rFonts w:hint="eastAsia"/>
        </w:rPr>
      </w:pPr>
      <w:r>
        <w:rPr>
          <w:b/>
          <w:bCs/>
        </w:rPr>
        <w:t>3月21日</w:t>
      </w:r>
      <w:r>
        <w:rPr>
          <w:rFonts w:hint="eastAsia"/>
          <w:b/>
          <w:bCs/>
          <w:lang w:val="en-US" w:eastAsia="zh-CN"/>
        </w:rPr>
        <w:t xml:space="preserve">  </w:t>
      </w:r>
      <w:r>
        <w:t>南雄市城区公交车正式开通，市投</w:t>
      </w:r>
      <w:r>
        <w:rPr>
          <w:rFonts w:hint="eastAsia"/>
        </w:rPr>
        <w:t>资</w:t>
      </w:r>
      <w:r>
        <w:t>150万元，购置6辆城区专用公交车，开通线路3条，基本覆盖城区居民点，还辐射到城区附近古</w:t>
      </w:r>
      <w:r>
        <w:rPr>
          <w:rFonts w:hint="eastAsia"/>
        </w:rPr>
        <w:t>市镇。公交运行时间为每天早上</w:t>
      </w:r>
      <w:r>
        <w:t>7点至晚上8点，</w:t>
      </w:r>
      <w:r>
        <w:rPr>
          <w:rFonts w:hint="eastAsia"/>
        </w:rPr>
        <w:t>每条线路运行都在</w:t>
      </w:r>
      <w:r>
        <w:t>20趟以上，全程票价2元。随</w:t>
      </w:r>
      <w:r>
        <w:rPr>
          <w:rFonts w:hint="eastAsia"/>
        </w:rPr>
        <w:t>着城镇化建设步伐加快，城区面积扩大，人口日益增加，城区公交线开通，市民出行将更为便捷舒适。</w:t>
      </w:r>
    </w:p>
    <w:p w14:paraId="645D8058">
      <w:pPr>
        <w:rPr>
          <w:rFonts w:hint="eastAsia"/>
        </w:rPr>
      </w:pPr>
      <w:r>
        <w:rPr>
          <w:b/>
          <w:bCs/>
        </w:rPr>
        <w:t>3月28日</w:t>
      </w:r>
      <w:r>
        <w:rPr>
          <w:rFonts w:hint="eastAsia"/>
          <w:b/>
          <w:bCs/>
          <w:lang w:val="en-US" w:eastAsia="zh-CN"/>
        </w:rPr>
        <w:t xml:space="preserve"> </w:t>
      </w:r>
      <w:r>
        <w:rPr>
          <w:rFonts w:hint="eastAsia"/>
          <w:lang w:val="en-US" w:eastAsia="zh-CN"/>
        </w:rPr>
        <w:t xml:space="preserve"> </w:t>
      </w:r>
      <w:r>
        <w:t>市召开2012年度经济社会科学发</w:t>
      </w:r>
      <w:r>
        <w:rPr>
          <w:rFonts w:hint="eastAsia"/>
        </w:rPr>
        <w:t>展总结表彰大会，表彰</w:t>
      </w:r>
      <w:r>
        <w:t>2012年度在经济社会各项</w:t>
      </w:r>
      <w:r>
        <w:rPr>
          <w:rFonts w:hint="eastAsia"/>
        </w:rPr>
        <w:t>事业建设中作出突出贡献先进单位和先进个人。</w:t>
      </w:r>
    </w:p>
    <w:p w14:paraId="7D910DB2">
      <w:pPr>
        <w:pStyle w:val="3"/>
        <w:bidi w:val="0"/>
        <w:rPr>
          <w:rFonts w:hint="default"/>
          <w:lang w:val="en-US" w:eastAsia="zh-CN"/>
        </w:rPr>
      </w:pPr>
      <w:r>
        <w:rPr>
          <w:rFonts w:hint="eastAsia"/>
          <w:lang w:val="en-US" w:eastAsia="zh-CN"/>
        </w:rPr>
        <w:t>4月</w:t>
      </w:r>
    </w:p>
    <w:p w14:paraId="35EC061F">
      <w:pPr>
        <w:rPr>
          <w:rFonts w:hint="eastAsia"/>
        </w:rPr>
      </w:pPr>
      <w:r>
        <w:rPr>
          <w:b/>
          <w:bCs/>
        </w:rPr>
        <w:t>4月2日</w:t>
      </w:r>
      <w:r>
        <w:rPr>
          <w:rFonts w:hint="eastAsia"/>
          <w:b/>
          <w:bCs/>
          <w:lang w:val="en-US" w:eastAsia="zh-CN"/>
        </w:rPr>
        <w:t xml:space="preserve">  </w:t>
      </w:r>
      <w:r>
        <w:t>广东省副省长许瑞生到南雄珠玑镇</w:t>
      </w:r>
      <w:r>
        <w:rPr>
          <w:rFonts w:hint="eastAsia"/>
        </w:rPr>
        <w:t>叟里元村和塘东村检</w:t>
      </w:r>
      <w:r>
        <w:rPr>
          <w:rFonts w:hint="eastAsia"/>
          <w:lang w:eastAsia="zh-CN"/>
        </w:rPr>
        <w:t>查</w:t>
      </w:r>
      <w:r>
        <w:rPr>
          <w:rFonts w:hint="eastAsia"/>
        </w:rPr>
        <w:t>指导农村清洁工程与村庄整治工作。</w:t>
      </w:r>
    </w:p>
    <w:p w14:paraId="093A47D9">
      <w:pPr>
        <w:rPr>
          <w:rFonts w:hint="eastAsia"/>
        </w:rPr>
      </w:pPr>
      <w:r>
        <w:rPr>
          <w:b/>
          <w:bCs/>
        </w:rPr>
        <w:t>4月11日</w:t>
      </w:r>
      <w:r>
        <w:rPr>
          <w:rFonts w:hint="eastAsia"/>
          <w:b/>
          <w:bCs/>
          <w:lang w:val="en-US" w:eastAsia="zh-CN"/>
        </w:rPr>
        <w:t xml:space="preserve">  </w:t>
      </w:r>
      <w:r>
        <w:t>国家人力资源和社会保障部、国家</w:t>
      </w:r>
      <w:r>
        <w:rPr>
          <w:rFonts w:hint="eastAsia"/>
        </w:rPr>
        <w:t>林业局联合对全国林业系统先进集体和个人进行表彰，市林业局被授予“全国林业系统先进集体”称号。</w:t>
      </w:r>
    </w:p>
    <w:p w14:paraId="6EA1AF38">
      <w:pPr>
        <w:rPr>
          <w:rFonts w:hint="eastAsia"/>
        </w:rPr>
      </w:pPr>
      <w:r>
        <w:rPr>
          <w:b/>
          <w:bCs/>
        </w:rPr>
        <w:t>4月16日</w:t>
      </w:r>
      <w:r>
        <w:rPr>
          <w:rFonts w:hint="eastAsia"/>
          <w:b/>
          <w:bCs/>
          <w:lang w:val="en-US" w:eastAsia="zh-CN"/>
        </w:rPr>
        <w:t xml:space="preserve">  </w:t>
      </w:r>
      <w:r>
        <w:t>南雄籍开国少将彭显伦后代回故乡</w:t>
      </w:r>
      <w:r>
        <w:rPr>
          <w:rFonts w:hint="eastAsia"/>
        </w:rPr>
        <w:t>寻访将军的红色足迹，缅怀革命先烈。市政府举行欢迎仪式。彭显伦将军后代向市博物馆捐赠他们珍藏多年将军的部分遗物。</w:t>
      </w:r>
    </w:p>
    <w:p w14:paraId="4EAB8372">
      <w:pPr>
        <w:rPr>
          <w:rFonts w:hint="eastAsia"/>
        </w:rPr>
      </w:pPr>
      <w:r>
        <w:rPr>
          <w:b/>
          <w:bCs/>
        </w:rPr>
        <w:t>4月19日</w:t>
      </w:r>
      <w:r>
        <w:rPr>
          <w:rFonts w:hint="eastAsia"/>
          <w:b/>
          <w:bCs/>
          <w:lang w:val="en-US" w:eastAsia="zh-CN"/>
        </w:rPr>
        <w:t xml:space="preserve">  </w:t>
      </w:r>
      <w:r>
        <w:t>南雄市召开第一季度经济形势分析</w:t>
      </w:r>
      <w:r>
        <w:rPr>
          <w:rFonts w:hint="eastAsia"/>
        </w:rPr>
        <w:t>会，全面分析一季度经济运行情况及存在问题，并对下一阶段经济工作进行部署。</w:t>
      </w:r>
    </w:p>
    <w:p w14:paraId="7B8A6476">
      <w:pPr>
        <w:rPr>
          <w:rFonts w:hint="eastAsia"/>
        </w:rPr>
      </w:pPr>
      <w:r>
        <w:rPr>
          <w:b/>
          <w:bCs/>
        </w:rPr>
        <w:t>4月22日</w:t>
      </w:r>
      <w:r>
        <w:rPr>
          <w:rFonts w:hint="eastAsia"/>
          <w:b/>
          <w:bCs/>
          <w:lang w:val="en-US" w:eastAsia="zh-CN"/>
        </w:rPr>
        <w:t xml:space="preserve">  </w:t>
      </w:r>
      <w:r>
        <w:t>市召开计生工作会议，总结年初以</w:t>
      </w:r>
      <w:r>
        <w:rPr>
          <w:rFonts w:hint="eastAsia"/>
        </w:rPr>
        <w:t>来全市计生服务工作，针对计生工作中存在的不足提出改进方案。</w:t>
      </w:r>
    </w:p>
    <w:p w14:paraId="0DF9DEC6">
      <w:pPr>
        <w:rPr>
          <w:rFonts w:hint="eastAsia"/>
        </w:rPr>
      </w:pPr>
      <w:r>
        <w:rPr>
          <w:b/>
          <w:bCs/>
        </w:rPr>
        <w:t>4月28日</w:t>
      </w:r>
      <w:r>
        <w:rPr>
          <w:rFonts w:hint="eastAsia"/>
          <w:b/>
          <w:bCs/>
          <w:lang w:val="en-US" w:eastAsia="zh-CN"/>
        </w:rPr>
        <w:t xml:space="preserve">  </w:t>
      </w:r>
      <w:r>
        <w:t>市召开庆祝“五一”暨劳模表彰</w:t>
      </w:r>
      <w:r>
        <w:rPr>
          <w:rFonts w:hint="eastAsia"/>
        </w:rPr>
        <w:t>大会，对</w:t>
      </w:r>
      <w:r>
        <w:t>2013年度广东省五一劳动奖章获得者和</w:t>
      </w:r>
      <w:r>
        <w:rPr>
          <w:rFonts w:hint="eastAsia"/>
        </w:rPr>
        <w:t>韶关市劳模进行表彰。</w:t>
      </w:r>
    </w:p>
    <w:p w14:paraId="0D65A964">
      <w:pPr>
        <w:pStyle w:val="3"/>
        <w:bidi w:val="0"/>
        <w:rPr>
          <w:rFonts w:hint="default"/>
          <w:lang w:val="en-US" w:eastAsia="zh-CN"/>
        </w:rPr>
      </w:pPr>
      <w:r>
        <w:rPr>
          <w:rFonts w:hint="eastAsia"/>
          <w:lang w:val="en-US" w:eastAsia="zh-CN"/>
        </w:rPr>
        <w:t>5月</w:t>
      </w:r>
    </w:p>
    <w:p w14:paraId="5D26F104">
      <w:pPr>
        <w:rPr>
          <w:rFonts w:hint="eastAsia"/>
          <w:lang w:eastAsia="zh-CN"/>
        </w:rPr>
      </w:pPr>
      <w:r>
        <w:rPr>
          <w:b/>
          <w:bCs/>
        </w:rPr>
        <w:t>5月1日</w:t>
      </w:r>
      <w:r>
        <w:rPr>
          <w:rFonts w:hint="eastAsia"/>
          <w:b/>
          <w:bCs/>
          <w:lang w:val="en-US" w:eastAsia="zh-CN"/>
        </w:rPr>
        <w:t xml:space="preserve">  </w:t>
      </w:r>
      <w:r>
        <w:t>中央政治局委员、广东省委书记胡</w:t>
      </w:r>
      <w:r>
        <w:rPr>
          <w:rFonts w:hint="eastAsia"/>
        </w:rPr>
        <w:t>春华莅临南雄参观考察南雄市旅游发展、工业建设及城镇化建设工作。韶关市委书记郑振涛陪同考察</w:t>
      </w:r>
      <w:r>
        <w:rPr>
          <w:rFonts w:hint="eastAsia"/>
          <w:lang w:eastAsia="zh-CN"/>
        </w:rPr>
        <w:t>。</w:t>
      </w:r>
    </w:p>
    <w:p w14:paraId="69E9EA3F">
      <w:pPr>
        <w:rPr>
          <w:rFonts w:hint="eastAsia"/>
        </w:rPr>
      </w:pPr>
      <w:r>
        <w:rPr>
          <w:b/>
          <w:bCs/>
        </w:rPr>
        <w:t>5月6日</w:t>
      </w:r>
      <w:r>
        <w:rPr>
          <w:rFonts w:hint="eastAsia"/>
          <w:b/>
          <w:bCs/>
          <w:lang w:val="en-US" w:eastAsia="zh-CN"/>
        </w:rPr>
        <w:t xml:space="preserve">  </w:t>
      </w:r>
      <w:r>
        <w:t>市召开全市推进城镇化建设动员大</w:t>
      </w:r>
      <w:r>
        <w:rPr>
          <w:rFonts w:hint="eastAsia"/>
        </w:rPr>
        <w:t>会，对全市城镇化建设工作进行安排部署。</w:t>
      </w:r>
    </w:p>
    <w:p w14:paraId="2A4C68CA">
      <w:pPr>
        <w:rPr>
          <w:rFonts w:hint="eastAsia"/>
        </w:rPr>
      </w:pPr>
      <w:r>
        <w:rPr>
          <w:b/>
          <w:bCs/>
        </w:rPr>
        <w:t>5月7日</w:t>
      </w:r>
      <w:r>
        <w:rPr>
          <w:rFonts w:hint="eastAsia"/>
          <w:b/>
          <w:bCs/>
          <w:lang w:val="en-US" w:eastAsia="zh-CN"/>
        </w:rPr>
        <w:t xml:space="preserve">  </w:t>
      </w:r>
      <w:r>
        <w:t>市召开清理整顿机关事业单位工作</w:t>
      </w:r>
      <w:r>
        <w:rPr>
          <w:rFonts w:hint="eastAsia"/>
        </w:rPr>
        <w:t>人员离岗吃空饷问题工作会议。</w:t>
      </w:r>
    </w:p>
    <w:p w14:paraId="154D7E81">
      <w:r>
        <w:rPr>
          <w:b/>
          <w:bCs/>
        </w:rPr>
        <w:t>5月9日</w:t>
      </w:r>
      <w:r>
        <w:rPr>
          <w:rFonts w:hint="eastAsia"/>
          <w:b/>
          <w:bCs/>
          <w:lang w:val="en-US" w:eastAsia="zh-CN"/>
        </w:rPr>
        <w:t xml:space="preserve">  </w:t>
      </w:r>
      <w:r>
        <w:t>南雄籍著名画家陈公权回乡探亲。</w:t>
      </w:r>
    </w:p>
    <w:p w14:paraId="498D24A6">
      <w:pPr>
        <w:rPr>
          <w:rFonts w:hint="eastAsia"/>
        </w:rPr>
      </w:pPr>
      <w:r>
        <w:rPr>
          <w:b/>
          <w:bCs/>
        </w:rPr>
        <w:t>5月17日</w:t>
      </w:r>
      <w:r>
        <w:rPr>
          <w:rFonts w:hint="eastAsia"/>
          <w:b/>
          <w:bCs/>
          <w:lang w:val="en-US" w:eastAsia="zh-CN"/>
        </w:rPr>
        <w:t xml:space="preserve">  </w:t>
      </w:r>
      <w:r>
        <w:t>广东省广府人珠玑巷后裔海外联谊</w:t>
      </w:r>
      <w:r>
        <w:rPr>
          <w:rFonts w:hint="eastAsia"/>
        </w:rPr>
        <w:t>会向美国广府籍华人华侨捐赠姓氏族谱。</w:t>
      </w:r>
    </w:p>
    <w:p w14:paraId="54808DB6">
      <w:pPr>
        <w:rPr>
          <w:rFonts w:hint="eastAsia"/>
        </w:rPr>
      </w:pPr>
      <w:r>
        <w:rPr>
          <w:b/>
          <w:bCs/>
        </w:rPr>
        <w:t>5月22日</w:t>
      </w:r>
      <w:r>
        <w:rPr>
          <w:rFonts w:hint="eastAsia"/>
          <w:b/>
          <w:bCs/>
          <w:lang w:val="en-US" w:eastAsia="zh-CN"/>
        </w:rPr>
        <w:t xml:space="preserve">  </w:t>
      </w:r>
      <w:r>
        <w:t>广东省财政厅副巡视员彭明官率领</w:t>
      </w:r>
      <w:r>
        <w:rPr>
          <w:rFonts w:hint="eastAsia"/>
        </w:rPr>
        <w:t>考核组，考核南雄市</w:t>
      </w:r>
      <w:r>
        <w:t>2012年省产业转移目标责任</w:t>
      </w:r>
      <w:r>
        <w:rPr>
          <w:rFonts w:hint="eastAsia"/>
        </w:rPr>
        <w:t>工作进展情况。</w:t>
      </w:r>
    </w:p>
    <w:p w14:paraId="1276CFCB">
      <w:pPr>
        <w:rPr>
          <w:rFonts w:hint="eastAsia"/>
          <w:lang w:eastAsia="zh-CN"/>
        </w:rPr>
      </w:pPr>
      <w:r>
        <w:rPr>
          <w:b/>
          <w:bCs/>
        </w:rPr>
        <w:t>5月24日</w:t>
      </w:r>
      <w:r>
        <w:rPr>
          <w:rFonts w:hint="eastAsia"/>
          <w:b/>
          <w:bCs/>
          <w:lang w:val="en-US" w:eastAsia="zh-CN"/>
        </w:rPr>
        <w:t xml:space="preserve">  </w:t>
      </w:r>
      <w:r>
        <w:t>市开展第一次旅游资源普</w:t>
      </w:r>
      <w:r>
        <w:rPr>
          <w:rFonts w:hint="eastAsia"/>
          <w:lang w:eastAsia="zh-CN"/>
        </w:rPr>
        <w:t>查</w:t>
      </w:r>
      <w:r>
        <w:t>，全面</w:t>
      </w:r>
      <w:r>
        <w:rPr>
          <w:rFonts w:hint="eastAsia"/>
        </w:rPr>
        <w:t>掌握旅游资源现状，整合旅游资源，促进旅游业的快速健康有序发展</w:t>
      </w:r>
      <w:r>
        <w:rPr>
          <w:rFonts w:hint="eastAsia"/>
          <w:lang w:eastAsia="zh-CN"/>
        </w:rPr>
        <w:t>。</w:t>
      </w:r>
    </w:p>
    <w:p w14:paraId="1978DA28">
      <w:pPr>
        <w:rPr>
          <w:rFonts w:hint="eastAsia"/>
          <w:lang w:eastAsia="zh-CN"/>
        </w:rPr>
      </w:pPr>
      <w:r>
        <w:rPr>
          <w:b/>
          <w:bCs/>
        </w:rPr>
        <w:t>5月25日</w:t>
      </w:r>
      <w:r>
        <w:rPr>
          <w:rFonts w:hint="eastAsia"/>
          <w:b/>
          <w:bCs/>
          <w:lang w:val="en-US" w:eastAsia="zh-CN"/>
        </w:rPr>
        <w:t xml:space="preserve">  </w:t>
      </w:r>
      <w:r>
        <w:t>仲恺农学院农业推广专业硕士研究</w:t>
      </w:r>
      <w:r>
        <w:rPr>
          <w:rFonts w:hint="eastAsia"/>
        </w:rPr>
        <w:t>生南雄班在市委党校举行开学典礼。仲恺农学院首次与南雄市合作培养高级在职人才</w:t>
      </w:r>
      <w:r>
        <w:rPr>
          <w:rFonts w:hint="eastAsia"/>
          <w:lang w:eastAsia="zh-CN"/>
        </w:rPr>
        <w:t>。</w:t>
      </w:r>
    </w:p>
    <w:p w14:paraId="2E62C225">
      <w:pPr>
        <w:rPr>
          <w:rFonts w:hint="eastAsia"/>
        </w:rPr>
      </w:pPr>
      <w:r>
        <w:rPr>
          <w:b/>
          <w:bCs/>
        </w:rPr>
        <w:t>5月28日</w:t>
      </w:r>
      <w:r>
        <w:rPr>
          <w:rFonts w:hint="eastAsia"/>
          <w:b/>
          <w:bCs/>
          <w:lang w:val="en-US" w:eastAsia="zh-CN"/>
        </w:rPr>
        <w:t xml:space="preserve">  </w:t>
      </w:r>
      <w:r>
        <w:t>市召开2013年科技与知识产权工</w:t>
      </w:r>
      <w:r>
        <w:rPr>
          <w:rFonts w:hint="eastAsia"/>
        </w:rPr>
        <w:t>作暨科技奖励大会，对获得科学技术进步奖的个人及专利工作先进单位进行表彰。</w:t>
      </w:r>
    </w:p>
    <w:p w14:paraId="641B07BD">
      <w:pPr>
        <w:pStyle w:val="3"/>
        <w:bidi w:val="0"/>
        <w:rPr>
          <w:rFonts w:hint="default"/>
          <w:lang w:val="en-US" w:eastAsia="zh-CN"/>
        </w:rPr>
      </w:pPr>
      <w:r>
        <w:rPr>
          <w:rFonts w:hint="eastAsia"/>
          <w:lang w:val="en-US" w:eastAsia="zh-CN"/>
        </w:rPr>
        <w:t>6月</w:t>
      </w:r>
    </w:p>
    <w:p w14:paraId="3286B4B4">
      <w:pPr>
        <w:rPr>
          <w:rFonts w:hint="eastAsia"/>
          <w:lang w:eastAsia="zh-CN"/>
        </w:rPr>
      </w:pPr>
      <w:r>
        <w:rPr>
          <w:b/>
          <w:bCs/>
        </w:rPr>
        <w:t>6月4日</w:t>
      </w:r>
      <w:r>
        <w:rPr>
          <w:rFonts w:hint="eastAsia"/>
          <w:b/>
          <w:bCs/>
          <w:lang w:val="en-US" w:eastAsia="zh-CN"/>
        </w:rPr>
        <w:t xml:space="preserve">  </w:t>
      </w:r>
      <w:r>
        <w:t>市政协主席何万飞率领部分政协委</w:t>
      </w:r>
      <w:r>
        <w:rPr>
          <w:rFonts w:hint="eastAsia"/>
        </w:rPr>
        <w:t>员到珠玑镇灵潭村“石斛”中药生产基地、广东金友集团有限公司粮油生产加工基地等地视察农业</w:t>
      </w:r>
      <w:r>
        <w:rPr>
          <w:rFonts w:hint="eastAsia"/>
          <w:lang w:eastAsia="zh-CN"/>
        </w:rPr>
        <w:t>“</w:t>
      </w:r>
      <w:r>
        <w:rPr>
          <w:rFonts w:hint="eastAsia"/>
        </w:rPr>
        <w:t>六大基地”建设情况</w:t>
      </w:r>
      <w:r>
        <w:rPr>
          <w:rFonts w:hint="eastAsia"/>
          <w:lang w:eastAsia="zh-CN"/>
        </w:rPr>
        <w:t>。</w:t>
      </w:r>
    </w:p>
    <w:p w14:paraId="40DBC152">
      <w:pPr>
        <w:rPr>
          <w:rFonts w:hint="eastAsia"/>
        </w:rPr>
      </w:pPr>
      <w:r>
        <w:rPr>
          <w:b/>
          <w:bCs/>
        </w:rPr>
        <w:t>6月5日</w:t>
      </w:r>
      <w:r>
        <w:rPr>
          <w:rFonts w:hint="eastAsia"/>
          <w:b/>
          <w:bCs/>
          <w:lang w:val="en-US" w:eastAsia="zh-CN"/>
        </w:rPr>
        <w:t xml:space="preserve">  </w:t>
      </w:r>
      <w:r>
        <w:t>市长刘清生主持召开市人民政府十</w:t>
      </w:r>
      <w:r>
        <w:rPr>
          <w:rFonts w:hint="eastAsia"/>
        </w:rPr>
        <w:t>四届六次常务会议，研究解决</w:t>
      </w:r>
      <w:r>
        <w:t>13项涉及经费审批</w:t>
      </w:r>
      <w:r>
        <w:rPr>
          <w:rFonts w:hint="eastAsia"/>
        </w:rPr>
        <w:t>与社会服务问题。</w:t>
      </w:r>
    </w:p>
    <w:p w14:paraId="35782FCA">
      <w:pPr>
        <w:rPr>
          <w:rFonts w:hint="eastAsia"/>
        </w:rPr>
      </w:pPr>
      <w:r>
        <w:rPr>
          <w:b/>
          <w:bCs/>
        </w:rPr>
        <w:t>6月9日</w:t>
      </w:r>
      <w:r>
        <w:rPr>
          <w:rFonts w:hint="eastAsia"/>
          <w:b/>
          <w:bCs/>
          <w:lang w:val="en-US" w:eastAsia="zh-CN"/>
        </w:rPr>
        <w:t xml:space="preserve">  </w:t>
      </w:r>
      <w:r>
        <w:t>韶关市2013年县（市、区）级公安</w:t>
      </w:r>
      <w:r>
        <w:rPr>
          <w:rFonts w:hint="eastAsia"/>
        </w:rPr>
        <w:t>特警队跨区域演练活动，在南雄市全民健身广场举行，南雄、始兴、仁化三地特警参加。</w:t>
      </w:r>
    </w:p>
    <w:p w14:paraId="10023E69">
      <w:pPr>
        <w:rPr>
          <w:rFonts w:hint="eastAsia"/>
        </w:rPr>
      </w:pPr>
      <w:r>
        <w:rPr>
          <w:b/>
          <w:bCs/>
        </w:rPr>
        <w:t>6月9日</w:t>
      </w:r>
      <w:r>
        <w:rPr>
          <w:rFonts w:hint="eastAsia"/>
          <w:b/>
          <w:bCs/>
          <w:lang w:val="en-US" w:eastAsia="zh-CN"/>
        </w:rPr>
        <w:t xml:space="preserve">  </w:t>
      </w:r>
      <w:r>
        <w:t>市召开2012-2013年度少先队先进</w:t>
      </w:r>
      <w:r>
        <w:rPr>
          <w:rFonts w:hint="eastAsia"/>
        </w:rPr>
        <w:t>集体和个人表彰会议，对在服务少年儿童健康成长方面涌现出一批先进集体和个人进行表彰。</w:t>
      </w:r>
    </w:p>
    <w:p w14:paraId="243DBC9C">
      <w:r>
        <w:rPr>
          <w:b/>
          <w:bCs/>
        </w:rPr>
        <w:t>6月11日</w:t>
      </w:r>
      <w:r>
        <w:rPr>
          <w:rFonts w:hint="eastAsia"/>
          <w:b/>
          <w:bCs/>
          <w:lang w:val="en-US" w:eastAsia="zh-CN"/>
        </w:rPr>
        <w:t xml:space="preserve">  </w:t>
      </w:r>
      <w:r>
        <w:t>南雄市体育局成立“钓鱼协会”。</w:t>
      </w:r>
    </w:p>
    <w:p w14:paraId="25E91A70">
      <w:pPr>
        <w:rPr>
          <w:rFonts w:hint="eastAsia"/>
          <w:lang w:val="en-US" w:eastAsia="zh-CN"/>
        </w:rPr>
      </w:pPr>
      <w:r>
        <w:rPr>
          <w:b/>
          <w:bCs/>
        </w:rPr>
        <w:t>6月14日</w:t>
      </w:r>
      <w:r>
        <w:rPr>
          <w:rFonts w:hint="eastAsia"/>
          <w:b/>
          <w:bCs/>
          <w:lang w:val="en-US" w:eastAsia="zh-CN"/>
        </w:rPr>
        <w:t xml:space="preserve">  </w:t>
      </w:r>
      <w:r>
        <w:t>市召开新一轮扶贫开发“双到</w:t>
      </w:r>
      <w:r>
        <w:rPr>
          <w:rFonts w:hint="eastAsia"/>
          <w:lang w:eastAsia="zh-CN"/>
        </w:rPr>
        <w:t>”</w:t>
      </w:r>
      <w:r>
        <w:rPr>
          <w:rFonts w:hint="eastAsia"/>
        </w:rPr>
        <w:t>工作动员大会，部署新一轮扶贫工作。南雄市被省列为</w:t>
      </w:r>
      <w:r>
        <w:t>21个重点扶贫县市之</w:t>
      </w:r>
      <w:r>
        <w:rPr>
          <w:rFonts w:hint="eastAsia"/>
          <w:lang w:val="en-US" w:eastAsia="zh-CN"/>
        </w:rPr>
        <w:t>一。</w:t>
      </w:r>
    </w:p>
    <w:p w14:paraId="5D75429C">
      <w:pPr>
        <w:rPr>
          <w:rFonts w:hint="eastAsia"/>
          <w:lang w:eastAsia="zh-CN"/>
        </w:rPr>
      </w:pPr>
      <w:r>
        <w:rPr>
          <w:b/>
          <w:bCs/>
        </w:rPr>
        <w:t>6月17日</w:t>
      </w:r>
      <w:r>
        <w:rPr>
          <w:rFonts w:hint="eastAsia"/>
          <w:b/>
          <w:bCs/>
          <w:lang w:val="en-US" w:eastAsia="zh-CN"/>
        </w:rPr>
        <w:t xml:space="preserve">  </w:t>
      </w:r>
      <w:r>
        <w:t>市召开市县域经济社会科学发展考</w:t>
      </w:r>
      <w:r>
        <w:rPr>
          <w:rFonts w:hint="eastAsia"/>
        </w:rPr>
        <w:t>核工作会议，分析上半年市经济社会发展形势，制定出台《南雄市镇（街道）经济社会科学发展考核办法》和《南雄市县域经济社会科学发展考核奖</w:t>
      </w:r>
      <w:r>
        <w:rPr>
          <w:rFonts w:hint="eastAsia"/>
          <w:lang w:val="en-US" w:eastAsia="zh-CN"/>
        </w:rPr>
        <w:t>励</w:t>
      </w:r>
      <w:r>
        <w:rPr>
          <w:rFonts w:hint="eastAsia"/>
        </w:rPr>
        <w:t>办法》</w:t>
      </w:r>
      <w:r>
        <w:rPr>
          <w:rFonts w:hint="eastAsia"/>
          <w:lang w:eastAsia="zh-CN"/>
        </w:rPr>
        <w:t>。</w:t>
      </w:r>
    </w:p>
    <w:p w14:paraId="4995C1A4">
      <w:pPr>
        <w:rPr>
          <w:rFonts w:hint="eastAsia"/>
        </w:rPr>
      </w:pPr>
      <w:r>
        <w:rPr>
          <w:b/>
          <w:bCs/>
        </w:rPr>
        <w:t>6月18日</w:t>
      </w:r>
      <w:r>
        <w:rPr>
          <w:rFonts w:hint="eastAsia"/>
          <w:b/>
          <w:bCs/>
          <w:lang w:val="en-US" w:eastAsia="zh-CN"/>
        </w:rPr>
        <w:t xml:space="preserve">  </w:t>
      </w:r>
      <w:r>
        <w:t>市召开全市安全生产工作会议，分</w:t>
      </w:r>
      <w:r>
        <w:rPr>
          <w:rFonts w:hint="eastAsia"/>
        </w:rPr>
        <w:t>析上半年全市安全生产形势，动员部署下阶段全市安全生产工作。</w:t>
      </w:r>
    </w:p>
    <w:p w14:paraId="7B6C3B7D">
      <w:pPr>
        <w:rPr>
          <w:rFonts w:hint="eastAsia"/>
          <w:lang w:eastAsia="zh-CN"/>
        </w:rPr>
      </w:pPr>
      <w:r>
        <w:rPr>
          <w:b/>
          <w:bCs/>
        </w:rPr>
        <w:t>6月19日</w:t>
      </w:r>
      <w:r>
        <w:rPr>
          <w:rFonts w:hint="eastAsia"/>
          <w:b/>
          <w:bCs/>
          <w:lang w:val="en-US" w:eastAsia="zh-CN"/>
        </w:rPr>
        <w:t xml:space="preserve">  </w:t>
      </w:r>
      <w:r>
        <w:t>市召开2013年“广东扶贫济困日”</w:t>
      </w:r>
      <w:r>
        <w:rPr>
          <w:rFonts w:hint="eastAsia"/>
        </w:rPr>
        <w:t>活动动员大会。</w:t>
      </w:r>
      <w:r>
        <w:t>6月20日韶关市委副书记、市长艾学峰和南</w:t>
      </w:r>
      <w:r>
        <w:rPr>
          <w:rFonts w:hint="eastAsia"/>
        </w:rPr>
        <w:t>雄代表团的部分省、韶关市党代表在南雄开展“服务中心、共谋发展”党代表视察调研活动。</w:t>
      </w:r>
      <w:r>
        <w:t>6月24日市召开全市整治农村违法用地建房</w:t>
      </w:r>
      <w:r>
        <w:rPr>
          <w:rFonts w:hint="eastAsia"/>
        </w:rPr>
        <w:t>和市区违章建筑工作会议</w:t>
      </w:r>
      <w:r>
        <w:rPr>
          <w:rFonts w:hint="eastAsia"/>
          <w:lang w:eastAsia="zh-CN"/>
        </w:rPr>
        <w:t>。</w:t>
      </w:r>
    </w:p>
    <w:p w14:paraId="6C53931F">
      <w:pPr>
        <w:rPr>
          <w:rFonts w:hint="eastAsia"/>
        </w:rPr>
      </w:pPr>
      <w:r>
        <w:rPr>
          <w:rFonts w:hint="eastAsia"/>
          <w:b/>
          <w:bCs/>
        </w:rPr>
        <w:t>日同</w:t>
      </w:r>
      <w:r>
        <w:rPr>
          <w:rFonts w:hint="eastAsia"/>
          <w:b/>
          <w:bCs/>
          <w:lang w:val="en-US" w:eastAsia="zh-CN"/>
        </w:rPr>
        <w:t xml:space="preserve">  </w:t>
      </w:r>
      <w:r>
        <w:rPr>
          <w:rFonts w:hint="eastAsia"/>
        </w:rPr>
        <w:t>市举行“广东扶贫济困日”捐款活动，市四套班子领导参加捐款仪式。</w:t>
      </w:r>
    </w:p>
    <w:p w14:paraId="2FDCB37C">
      <w:pPr>
        <w:rPr>
          <w:rFonts w:hint="eastAsia"/>
        </w:rPr>
      </w:pPr>
      <w:r>
        <w:rPr>
          <w:b/>
          <w:bCs/>
        </w:rPr>
        <w:t>6月25日</w:t>
      </w:r>
      <w:r>
        <w:rPr>
          <w:rFonts w:hint="eastAsia"/>
          <w:b/>
          <w:bCs/>
          <w:lang w:val="en-US" w:eastAsia="zh-CN"/>
        </w:rPr>
        <w:t xml:space="preserve">  </w:t>
      </w:r>
      <w:r>
        <w:t>市十四届人大常委会召开第十一次</w:t>
      </w:r>
      <w:r>
        <w:rPr>
          <w:rFonts w:hint="eastAsia"/>
        </w:rPr>
        <w:t>会议，审议通过《南雄市人民代表大会开展专题询问办法（试行）》。</w:t>
      </w:r>
    </w:p>
    <w:p w14:paraId="633ABA85">
      <w:pPr>
        <w:rPr>
          <w:rFonts w:hint="eastAsia"/>
        </w:rPr>
      </w:pPr>
      <w:r>
        <w:rPr>
          <w:b/>
          <w:bCs/>
        </w:rPr>
        <w:t>6月30日</w:t>
      </w:r>
      <w:r>
        <w:rPr>
          <w:rFonts w:hint="eastAsia"/>
          <w:b/>
          <w:bCs/>
          <w:lang w:val="en-US" w:eastAsia="zh-CN"/>
        </w:rPr>
        <w:t xml:space="preserve">  </w:t>
      </w:r>
      <w:r>
        <w:t>来自深圳40多名爱心传播使者，</w:t>
      </w:r>
      <w:r>
        <w:rPr>
          <w:rFonts w:hint="eastAsia"/>
        </w:rPr>
        <w:t>与</w:t>
      </w:r>
      <w:r>
        <w:t>400多位黎口中学师生、家长进行“爱心传递手</w:t>
      </w:r>
      <w:r>
        <w:rPr>
          <w:rFonts w:hint="eastAsia"/>
        </w:rPr>
        <w:t>拉手”活动。</w:t>
      </w:r>
    </w:p>
    <w:p w14:paraId="0D9EC6DC">
      <w:pPr>
        <w:pStyle w:val="3"/>
        <w:bidi w:val="0"/>
        <w:rPr>
          <w:rFonts w:hint="default"/>
          <w:lang w:val="en-US" w:eastAsia="zh-CN"/>
        </w:rPr>
      </w:pPr>
      <w:r>
        <w:rPr>
          <w:rFonts w:hint="eastAsia"/>
          <w:lang w:val="en-US" w:eastAsia="zh-CN"/>
        </w:rPr>
        <w:t>7月</w:t>
      </w:r>
    </w:p>
    <w:p w14:paraId="16658B87">
      <w:pPr>
        <w:rPr>
          <w:rFonts w:hint="eastAsia"/>
        </w:rPr>
      </w:pPr>
      <w:r>
        <w:rPr>
          <w:b/>
          <w:bCs/>
        </w:rPr>
        <w:t>7月1日</w:t>
      </w:r>
      <w:r>
        <w:rPr>
          <w:rFonts w:hint="eastAsia"/>
          <w:b/>
          <w:bCs/>
          <w:lang w:val="en-US" w:eastAsia="zh-CN"/>
        </w:rPr>
        <w:t xml:space="preserve"> </w:t>
      </w:r>
      <w:r>
        <w:rPr>
          <w:rFonts w:hint="eastAsia"/>
          <w:lang w:val="en-US" w:eastAsia="zh-CN"/>
        </w:rPr>
        <w:t xml:space="preserve"> </w:t>
      </w:r>
      <w:r>
        <w:t>全国政协原副主席罗豪才到南雄市</w:t>
      </w:r>
      <w:r>
        <w:rPr>
          <w:rFonts w:hint="eastAsia"/>
        </w:rPr>
        <w:t>珠玑古巷参观考察，感受古巷底蕴深厚姓氏文化和浓郁人文气息。</w:t>
      </w:r>
    </w:p>
    <w:p w14:paraId="7733F366">
      <w:pPr>
        <w:rPr>
          <w:rFonts w:hint="eastAsia"/>
        </w:rPr>
      </w:pPr>
      <w:r>
        <w:rPr>
          <w:b/>
          <w:bCs/>
        </w:rPr>
        <w:t>7月4日</w:t>
      </w:r>
      <w:r>
        <w:rPr>
          <w:rFonts w:hint="eastAsia"/>
          <w:b/>
          <w:bCs/>
          <w:lang w:val="en-US" w:eastAsia="zh-CN"/>
        </w:rPr>
        <w:t xml:space="preserve">  </w:t>
      </w:r>
      <w:r>
        <w:t>南方医科大学医学专家徐文霞将军，</w:t>
      </w:r>
      <w:r>
        <w:rPr>
          <w:rFonts w:hint="eastAsia"/>
        </w:rPr>
        <w:t>在市开展一场以“保护肝脏就是保护生命”为主题健康知识讲座。</w:t>
      </w:r>
    </w:p>
    <w:p w14:paraId="48274E71">
      <w:pPr>
        <w:rPr>
          <w:rFonts w:hint="eastAsia"/>
        </w:rPr>
      </w:pPr>
      <w:r>
        <w:rPr>
          <w:b/>
          <w:bCs/>
        </w:rPr>
        <w:t>7月5日</w:t>
      </w:r>
      <w:r>
        <w:rPr>
          <w:rFonts w:hint="eastAsia"/>
          <w:b/>
          <w:bCs/>
          <w:lang w:val="en-US" w:eastAsia="zh-CN"/>
        </w:rPr>
        <w:t xml:space="preserve">  </w:t>
      </w:r>
      <w:r>
        <w:t>全市52个机关单位计算机已安装使</w:t>
      </w:r>
      <w:r>
        <w:rPr>
          <w:rFonts w:hint="eastAsia"/>
        </w:rPr>
        <w:t>用正版软件。</w:t>
      </w:r>
    </w:p>
    <w:p w14:paraId="1A65DB44">
      <w:pPr>
        <w:rPr>
          <w:rFonts w:hint="eastAsia"/>
        </w:rPr>
      </w:pPr>
      <w:r>
        <w:rPr>
          <w:b/>
          <w:bCs/>
        </w:rPr>
        <w:t>7月15日</w:t>
      </w:r>
      <w:r>
        <w:rPr>
          <w:rFonts w:hint="eastAsia"/>
          <w:b/>
          <w:bCs/>
          <w:lang w:val="en-US" w:eastAsia="zh-CN"/>
        </w:rPr>
        <w:t xml:space="preserve">  </w:t>
      </w:r>
      <w:r>
        <w:t>市召开传达贯彻韶关市委十一届四</w:t>
      </w:r>
      <w:r>
        <w:rPr>
          <w:rFonts w:hint="eastAsia"/>
        </w:rPr>
        <w:t>次全会精神大会，总结分析上半年经济发展情况，部署加快推进新型工业化和新型城镇化工作。市四套班子领导参加会议。</w:t>
      </w:r>
    </w:p>
    <w:p w14:paraId="758CB949">
      <w:pPr>
        <w:rPr>
          <w:rFonts w:hint="eastAsia"/>
        </w:rPr>
      </w:pPr>
      <w:r>
        <w:rPr>
          <w:b/>
          <w:bCs/>
        </w:rPr>
        <w:t>7月21日</w:t>
      </w:r>
      <w:r>
        <w:rPr>
          <w:rFonts w:hint="eastAsia"/>
          <w:b/>
          <w:bCs/>
          <w:lang w:val="en-US" w:eastAsia="zh-CN"/>
        </w:rPr>
        <w:t xml:space="preserve">  </w:t>
      </w:r>
      <w:r>
        <w:t>市长刘清生带领安监等有关单位负</w:t>
      </w:r>
      <w:r>
        <w:rPr>
          <w:rFonts w:hint="eastAsia"/>
        </w:rPr>
        <w:t>责人深入园区调研安全生产工作，了解园区企业在生产工作中遇到问题，就企业扩大规模、促进生产展开座谈交流。</w:t>
      </w:r>
    </w:p>
    <w:p w14:paraId="6F54C595">
      <w:pPr>
        <w:rPr>
          <w:rFonts w:hint="eastAsia"/>
        </w:rPr>
      </w:pPr>
      <w:r>
        <w:rPr>
          <w:b/>
          <w:bCs/>
        </w:rPr>
        <w:t>7月29日</w:t>
      </w:r>
      <w:r>
        <w:rPr>
          <w:rFonts w:hint="eastAsia"/>
          <w:b/>
          <w:bCs/>
          <w:lang w:val="en-US" w:eastAsia="zh-CN"/>
        </w:rPr>
        <w:t xml:space="preserve">  </w:t>
      </w:r>
      <w:r>
        <w:t>韶关市副市长、南雄市委书记许志</w:t>
      </w:r>
      <w:r>
        <w:rPr>
          <w:rFonts w:hint="eastAsia"/>
        </w:rPr>
        <w:t>新率代表团对澳大利亚高嘉华市进行访问，并签订《中华人民共和国南雄市与澳大利亚联邦新南威尔士州高嘉华市建立友好城市关系协议书》，</w:t>
      </w:r>
      <w:r>
        <w:t>2个不</w:t>
      </w:r>
      <w:r>
        <w:rPr>
          <w:rFonts w:hint="eastAsia"/>
        </w:rPr>
        <w:t>同国度的地区结为友好城市。</w:t>
      </w:r>
    </w:p>
    <w:p w14:paraId="169204B9">
      <w:r>
        <w:rPr>
          <w:b/>
          <w:bCs/>
        </w:rPr>
        <w:t>7月29日</w:t>
      </w:r>
      <w:r>
        <w:rPr>
          <w:rFonts w:hint="eastAsia"/>
          <w:b/>
          <w:bCs/>
          <w:lang w:val="en-US" w:eastAsia="zh-CN"/>
        </w:rPr>
        <w:t xml:space="preserve">  </w:t>
      </w:r>
      <w:r>
        <w:t>市召开2013年度征兵工作会议，</w:t>
      </w:r>
      <w:r>
        <w:rPr>
          <w:rFonts w:hint="eastAsia"/>
        </w:rPr>
        <w:t>全面部署征兵工作。征兵时间前移</w:t>
      </w:r>
      <w:r>
        <w:t>3个月，从8月1日开始，到9月30日结束。</w:t>
      </w:r>
    </w:p>
    <w:p w14:paraId="583765C6">
      <w:pPr>
        <w:rPr>
          <w:rFonts w:hint="eastAsia"/>
        </w:rPr>
      </w:pPr>
      <w:r>
        <w:rPr>
          <w:b/>
          <w:bCs/>
        </w:rPr>
        <w:t>7月30日</w:t>
      </w:r>
      <w:r>
        <w:rPr>
          <w:rFonts w:hint="eastAsia"/>
          <w:b/>
          <w:bCs/>
          <w:lang w:val="en-US" w:eastAsia="zh-CN"/>
        </w:rPr>
        <w:t xml:space="preserve">  </w:t>
      </w:r>
      <w:r>
        <w:t>市委副书记、市长刘清生率领市四</w:t>
      </w:r>
      <w:r>
        <w:rPr>
          <w:rFonts w:hint="eastAsia"/>
        </w:rPr>
        <w:t>套班子领导先后前往市人武部、南雄武警中队、市公安消防大队慰问驻雄部队官兵，并组成两个“八</w:t>
      </w:r>
      <w:r>
        <w:rPr>
          <w:rFonts w:hint="eastAsia"/>
          <w:lang w:val="en-US" w:eastAsia="zh-CN"/>
        </w:rPr>
        <w:t>一</w:t>
      </w:r>
      <w:r>
        <w:rPr>
          <w:rFonts w:hint="eastAsia"/>
        </w:rPr>
        <w:t>”慰问组，分别前往韶关军分区、武警韶关支队、二炮某部队、韶关马坝炮师、消防韶关支队等单位进行慰问。</w:t>
      </w:r>
    </w:p>
    <w:p w14:paraId="312FD1F1">
      <w:pPr>
        <w:pStyle w:val="3"/>
        <w:bidi w:val="0"/>
        <w:rPr>
          <w:rFonts w:hint="default"/>
          <w:lang w:val="en-US" w:eastAsia="zh-CN"/>
        </w:rPr>
      </w:pPr>
      <w:r>
        <w:rPr>
          <w:rFonts w:hint="eastAsia"/>
          <w:lang w:val="en-US" w:eastAsia="zh-CN"/>
        </w:rPr>
        <w:t>8月</w:t>
      </w:r>
    </w:p>
    <w:p w14:paraId="44F4A2D8">
      <w:pPr>
        <w:rPr>
          <w:rFonts w:hint="eastAsia"/>
        </w:rPr>
      </w:pPr>
      <w:r>
        <w:rPr>
          <w:b/>
          <w:bCs/>
        </w:rPr>
        <w:t>8月1日</w:t>
      </w:r>
      <w:r>
        <w:rPr>
          <w:rFonts w:hint="eastAsia"/>
          <w:b/>
          <w:bCs/>
          <w:lang w:val="en-US" w:eastAsia="zh-CN"/>
        </w:rPr>
        <w:t xml:space="preserve">  </w:t>
      </w:r>
      <w:r>
        <w:t>市召开2013年纪律教育学习月活动</w:t>
      </w:r>
      <w:r>
        <w:rPr>
          <w:rFonts w:hint="eastAsia"/>
        </w:rPr>
        <w:t>动员大会暨领导干部廉洁从政专题报告会，广东省预防腐败局副局长黄力应邀为全市领导</w:t>
      </w:r>
      <w:r>
        <w:rPr>
          <w:rFonts w:hint="eastAsia"/>
          <w:lang w:val="en-US" w:eastAsia="zh-CN"/>
        </w:rPr>
        <w:t>干</w:t>
      </w:r>
      <w:r>
        <w:rPr>
          <w:rFonts w:hint="eastAsia"/>
        </w:rPr>
        <w:t>部作廉洁从政专题报告。</w:t>
      </w:r>
    </w:p>
    <w:p w14:paraId="4EF888E7">
      <w:pPr>
        <w:rPr>
          <w:rFonts w:hint="eastAsia"/>
        </w:rPr>
      </w:pPr>
      <w:r>
        <w:rPr>
          <w:b/>
          <w:bCs/>
        </w:rPr>
        <w:t>8月12日</w:t>
      </w:r>
      <w:r>
        <w:rPr>
          <w:rFonts w:hint="eastAsia"/>
          <w:b/>
          <w:bCs/>
          <w:lang w:val="en-US" w:eastAsia="zh-CN"/>
        </w:rPr>
        <w:t xml:space="preserve">  </w:t>
      </w:r>
      <w:r>
        <w:t>市召开领导干部会议，宣布有关人</w:t>
      </w:r>
      <w:r>
        <w:rPr>
          <w:rFonts w:hint="eastAsia"/>
        </w:rPr>
        <w:t>事调整事项，省委批准刘清生同志任中共南雄市委书记，许志新同志不再担任中共南雄市委书记职务。韶关市委同意提名刘清生同志为南雄市人大常委会主任人选，许志新同志不再担任南雄市人大常委会主任。</w:t>
      </w:r>
    </w:p>
    <w:p w14:paraId="073A997E">
      <w:pPr>
        <w:rPr>
          <w:rFonts w:hint="eastAsia"/>
        </w:rPr>
      </w:pPr>
      <w:r>
        <w:rPr>
          <w:b/>
          <w:bCs/>
        </w:rPr>
        <w:t>8月16日</w:t>
      </w:r>
      <w:r>
        <w:rPr>
          <w:rFonts w:hint="eastAsia"/>
          <w:b/>
          <w:bCs/>
          <w:lang w:val="en-US" w:eastAsia="zh-CN"/>
        </w:rPr>
        <w:t xml:space="preserve">  </w:t>
      </w:r>
      <w:r>
        <w:t>澳门中医药学会副会长钱康祺到市</w:t>
      </w:r>
      <w:r>
        <w:rPr>
          <w:rFonts w:hint="eastAsia"/>
        </w:rPr>
        <w:t>人民医院开展经验交流，通过为患者诊断配药、开展座谈等方式，与医院医生交流常见疾病诊断方法以及施药原理。</w:t>
      </w:r>
    </w:p>
    <w:p w14:paraId="2BF52077">
      <w:r>
        <w:rPr>
          <w:b/>
          <w:bCs/>
        </w:rPr>
        <w:t>8月下旬</w:t>
      </w:r>
      <w:r>
        <w:rPr>
          <w:rFonts w:hint="eastAsia"/>
          <w:b/>
          <w:bCs/>
          <w:lang w:val="en-US" w:eastAsia="zh-CN"/>
        </w:rPr>
        <w:t xml:space="preserve">  </w:t>
      </w:r>
      <w:r>
        <w:t>经市编委批复，同意将原雄州中学</w:t>
      </w:r>
      <w:r>
        <w:rPr>
          <w:rFonts w:hint="eastAsia"/>
        </w:rPr>
        <w:t>和黎口中学合并后更名为“南雄市第二中学”，新八一路小学更名为“南雄市第一小学”。两所学校</w:t>
      </w:r>
      <w:r>
        <w:t>9月正式投入使用。</w:t>
      </w:r>
    </w:p>
    <w:p w14:paraId="2C8CCD8D">
      <w:pPr>
        <w:rPr>
          <w:rFonts w:hint="eastAsia"/>
        </w:rPr>
      </w:pPr>
      <w:r>
        <w:rPr>
          <w:b/>
          <w:bCs/>
        </w:rPr>
        <w:t>8月27日</w:t>
      </w:r>
      <w:r>
        <w:rPr>
          <w:rFonts w:hint="eastAsia"/>
          <w:b/>
          <w:bCs/>
          <w:lang w:val="en-US" w:eastAsia="zh-CN"/>
        </w:rPr>
        <w:t xml:space="preserve">  </w:t>
      </w:r>
      <w:r>
        <w:t>广东省城乡建设用地增减挂钩试点</w:t>
      </w:r>
      <w:r>
        <w:rPr>
          <w:rFonts w:hint="eastAsia"/>
        </w:rPr>
        <w:t>现场会在南雄召开，</w:t>
      </w:r>
    </w:p>
    <w:p w14:paraId="00C5C725">
      <w:pPr>
        <w:rPr>
          <w:rFonts w:hint="eastAsia"/>
        </w:rPr>
      </w:pPr>
      <w:r>
        <w:rPr>
          <w:b/>
          <w:bCs/>
        </w:rPr>
        <w:t>8月30日</w:t>
      </w:r>
      <w:r>
        <w:rPr>
          <w:rFonts w:hint="eastAsia"/>
          <w:b/>
          <w:bCs/>
          <w:lang w:val="en-US" w:eastAsia="zh-CN"/>
        </w:rPr>
        <w:t xml:space="preserve">  </w:t>
      </w:r>
      <w:r>
        <w:t>市第三次全国经济普</w:t>
      </w:r>
      <w:r>
        <w:rPr>
          <w:rFonts w:hint="eastAsia"/>
          <w:lang w:eastAsia="zh-CN"/>
        </w:rPr>
        <w:t>查</w:t>
      </w:r>
      <w:r>
        <w:t>领导小组召</w:t>
      </w:r>
      <w:r>
        <w:rPr>
          <w:rFonts w:hint="eastAsia"/>
        </w:rPr>
        <w:t>开第一次全体会议，启动普</w:t>
      </w:r>
      <w:r>
        <w:rPr>
          <w:rFonts w:hint="eastAsia"/>
          <w:lang w:eastAsia="zh-CN"/>
        </w:rPr>
        <w:t>查</w:t>
      </w:r>
      <w:r>
        <w:rPr>
          <w:rFonts w:hint="eastAsia"/>
        </w:rPr>
        <w:t>工作。</w:t>
      </w:r>
    </w:p>
    <w:p w14:paraId="1C920435">
      <w:pPr>
        <w:rPr>
          <w:rFonts w:hint="eastAsia"/>
        </w:rPr>
      </w:pPr>
      <w:r>
        <w:rPr>
          <w:b/>
          <w:bCs/>
        </w:rPr>
        <w:t>8月30日</w:t>
      </w:r>
      <w:r>
        <w:rPr>
          <w:rFonts w:hint="eastAsia"/>
          <w:b/>
          <w:bCs/>
          <w:lang w:val="en-US" w:eastAsia="zh-CN"/>
        </w:rPr>
        <w:t xml:space="preserve">  </w:t>
      </w:r>
      <w:r>
        <w:t>市十四届人大常委会召开十二次会</w:t>
      </w:r>
      <w:r>
        <w:rPr>
          <w:rFonts w:hint="eastAsia"/>
        </w:rPr>
        <w:t>议，审议通过有关免职、辞职以及决定职务代理人事事项、审</w:t>
      </w:r>
      <w:r>
        <w:rPr>
          <w:rFonts w:hint="eastAsia"/>
          <w:lang w:eastAsia="zh-CN"/>
        </w:rPr>
        <w:t>查</w:t>
      </w:r>
      <w:r>
        <w:rPr>
          <w:rFonts w:hint="eastAsia"/>
        </w:rPr>
        <w:t>和批准市政府关于</w:t>
      </w:r>
      <w:r>
        <w:t>2012年财政决算。</w:t>
      </w:r>
      <w:r>
        <w:rPr>
          <w:rFonts w:hint="eastAsia"/>
        </w:rPr>
        <w:t>决定罗勇新同志为市十四届人大常委会代理主任。</w:t>
      </w:r>
    </w:p>
    <w:p w14:paraId="73B3F9CA">
      <w:pPr>
        <w:pStyle w:val="3"/>
        <w:bidi w:val="0"/>
        <w:rPr>
          <w:rFonts w:hint="default"/>
          <w:lang w:val="en-US" w:eastAsia="zh-CN"/>
        </w:rPr>
      </w:pPr>
      <w:r>
        <w:rPr>
          <w:rFonts w:hint="eastAsia"/>
          <w:lang w:val="en-US" w:eastAsia="zh-CN"/>
        </w:rPr>
        <w:t>9月</w:t>
      </w:r>
    </w:p>
    <w:p w14:paraId="3827ADBE">
      <w:r>
        <w:rPr>
          <w:b/>
          <w:bCs/>
        </w:rPr>
        <w:t>9月5日</w:t>
      </w:r>
      <w:r>
        <w:rPr>
          <w:rFonts w:hint="eastAsia"/>
          <w:b/>
          <w:bCs/>
          <w:lang w:val="en-US" w:eastAsia="zh-CN"/>
        </w:rPr>
        <w:t xml:space="preserve">  </w:t>
      </w:r>
      <w:r>
        <w:t>南雄市139名新兵奔赴军营。</w:t>
      </w:r>
    </w:p>
    <w:p w14:paraId="497A2929">
      <w:pPr>
        <w:rPr>
          <w:rFonts w:hint="eastAsia"/>
        </w:rPr>
      </w:pPr>
      <w:r>
        <w:rPr>
          <w:b/>
          <w:bCs/>
        </w:rPr>
        <w:t>9月7日上午</w:t>
      </w:r>
      <w:r>
        <w:rPr>
          <w:rFonts w:hint="eastAsia"/>
          <w:b/>
          <w:bCs/>
          <w:lang w:val="en-US" w:eastAsia="zh-CN"/>
        </w:rPr>
        <w:t xml:space="preserve">  </w:t>
      </w:r>
      <w:r>
        <w:t>广府人珠玑巷后裔海外联谊会</w:t>
      </w:r>
      <w:r>
        <w:rPr>
          <w:rFonts w:hint="eastAsia"/>
        </w:rPr>
        <w:t>在广州举行慈善义卖活动，逾</w:t>
      </w:r>
      <w:r>
        <w:t>70件物品参与竞拍，</w:t>
      </w:r>
      <w:r>
        <w:rPr>
          <w:rFonts w:hint="eastAsia"/>
        </w:rPr>
        <w:t>最终筹得近</w:t>
      </w:r>
      <w:r>
        <w:t>400万元人民币，将全部用于帮助粤北</w:t>
      </w:r>
      <w:r>
        <w:rPr>
          <w:rFonts w:hint="eastAsia"/>
        </w:rPr>
        <w:t>等重点贫困地区发展公益事业。</w:t>
      </w:r>
    </w:p>
    <w:p w14:paraId="1168DC50">
      <w:pPr>
        <w:rPr>
          <w:rFonts w:hint="eastAsia"/>
        </w:rPr>
      </w:pPr>
      <w:r>
        <w:rPr>
          <w:b/>
          <w:bCs/>
        </w:rPr>
        <w:t>9月13日</w:t>
      </w:r>
      <w:r>
        <w:rPr>
          <w:rFonts w:hint="eastAsia"/>
          <w:b/>
          <w:bCs/>
          <w:lang w:val="en-US" w:eastAsia="zh-CN"/>
        </w:rPr>
        <w:t xml:space="preserve">  </w:t>
      </w:r>
      <w:r>
        <w:t>广东省广府人珠玑巷后裔海外联谊</w:t>
      </w:r>
      <w:r>
        <w:rPr>
          <w:rFonts w:hint="eastAsia"/>
        </w:rPr>
        <w:t>会在广州召开五届一次理事大会。市领导刘清生</w:t>
      </w:r>
      <w:r>
        <w:rPr>
          <w:rFonts w:hint="eastAsia"/>
          <w:lang w:eastAsia="zh-CN"/>
        </w:rPr>
        <w:t>、</w:t>
      </w:r>
      <w:r>
        <w:rPr>
          <w:rFonts w:hint="eastAsia"/>
        </w:rPr>
        <w:t>何万飞等出席换届大会。</w:t>
      </w:r>
    </w:p>
    <w:p w14:paraId="0D8EF27B">
      <w:pPr>
        <w:rPr>
          <w:rFonts w:hint="eastAsia"/>
        </w:rPr>
      </w:pPr>
      <w:r>
        <w:rPr>
          <w:b/>
          <w:bCs/>
        </w:rPr>
        <w:t>9月22日</w:t>
      </w:r>
      <w:r>
        <w:rPr>
          <w:rFonts w:hint="eastAsia"/>
          <w:b/>
          <w:bCs/>
          <w:lang w:val="en-US" w:eastAsia="zh-CN"/>
        </w:rPr>
        <w:t xml:space="preserve">  </w:t>
      </w:r>
      <w:r>
        <w:t>市召开新一轮绿化南雄大行动动员</w:t>
      </w:r>
      <w:r>
        <w:rPr>
          <w:rFonts w:hint="eastAsia"/>
        </w:rPr>
        <w:t>大会。刘清生、何万飞、丘德周等市四套班子领导参加会议。</w:t>
      </w:r>
    </w:p>
    <w:p w14:paraId="0A005B9F">
      <w:pPr>
        <w:rPr>
          <w:rFonts w:hint="eastAsia"/>
        </w:rPr>
      </w:pPr>
      <w:r>
        <w:rPr>
          <w:b/>
          <w:bCs/>
        </w:rPr>
        <w:t>9月24日</w:t>
      </w:r>
      <w:r>
        <w:rPr>
          <w:rFonts w:hint="eastAsia"/>
          <w:b/>
          <w:bCs/>
          <w:lang w:val="en-US" w:eastAsia="zh-CN"/>
        </w:rPr>
        <w:t xml:space="preserve">  </w:t>
      </w:r>
      <w:r>
        <w:t>湘</w:t>
      </w:r>
      <w:r>
        <w:rPr>
          <w:rFonts w:hint="eastAsia"/>
          <w:lang w:eastAsia="zh-CN"/>
        </w:rPr>
        <w:t>粤</w:t>
      </w:r>
      <w:r>
        <w:t>赣</w:t>
      </w:r>
      <w:r>
        <w:rPr>
          <w:rFonts w:hint="eastAsia"/>
          <w:lang w:eastAsia="zh-CN"/>
        </w:rPr>
        <w:t>岗</w:t>
      </w:r>
      <w:r>
        <w:t>第三护林联防区第四十七</w:t>
      </w:r>
      <w:r>
        <w:rPr>
          <w:rFonts w:hint="eastAsia"/>
        </w:rPr>
        <w:t>次会议在南雄市召开。</w:t>
      </w:r>
    </w:p>
    <w:p w14:paraId="102B090C">
      <w:pPr>
        <w:rPr>
          <w:rFonts w:hint="eastAsia"/>
          <w:lang w:eastAsia="zh-CN"/>
        </w:rPr>
      </w:pPr>
      <w:r>
        <w:rPr>
          <w:b/>
          <w:bCs/>
        </w:rPr>
        <w:t>9月25日</w:t>
      </w:r>
      <w:r>
        <w:rPr>
          <w:rFonts w:hint="eastAsia"/>
          <w:b/>
          <w:bCs/>
          <w:lang w:val="en-US" w:eastAsia="zh-CN"/>
        </w:rPr>
        <w:t xml:space="preserve">  </w:t>
      </w:r>
      <w:r>
        <w:t>市召开2013年人才工作会议，会</w:t>
      </w:r>
      <w:r>
        <w:rPr>
          <w:rFonts w:hint="eastAsia"/>
        </w:rPr>
        <w:t>议讨论和通过</w:t>
      </w:r>
      <w:r>
        <w:t>2012年高级职称专业技术人员享受</w:t>
      </w:r>
      <w:r>
        <w:rPr>
          <w:rFonts w:hint="eastAsia"/>
        </w:rPr>
        <w:t>岗位津贴名单，通报</w:t>
      </w:r>
      <w:r>
        <w:t>2012年韶关市人才工作考核</w:t>
      </w:r>
      <w:r>
        <w:rPr>
          <w:rFonts w:hint="eastAsia"/>
        </w:rPr>
        <w:t>情况以及南雄市新出台人才工作相关规定</w:t>
      </w:r>
      <w:r>
        <w:rPr>
          <w:rFonts w:hint="eastAsia"/>
          <w:lang w:eastAsia="zh-CN"/>
        </w:rPr>
        <w:t>。</w:t>
      </w:r>
    </w:p>
    <w:p w14:paraId="7B7C159A">
      <w:pPr>
        <w:rPr>
          <w:rFonts w:hint="eastAsia"/>
        </w:rPr>
      </w:pPr>
      <w:r>
        <w:rPr>
          <w:b/>
          <w:bCs/>
        </w:rPr>
        <w:t>9月29日</w:t>
      </w:r>
      <w:r>
        <w:rPr>
          <w:rFonts w:hint="eastAsia"/>
          <w:b/>
          <w:bCs/>
          <w:lang w:val="en-US" w:eastAsia="zh-CN"/>
        </w:rPr>
        <w:t xml:space="preserve">  </w:t>
      </w:r>
      <w:r>
        <w:t>广东省广府人珠玑巷后裔海外联谊</w:t>
      </w:r>
      <w:r>
        <w:rPr>
          <w:rFonts w:hint="eastAsia"/>
        </w:rPr>
        <w:t>会会长黎子流、常务副会长伍亮来到广府故里珠玑古巷采集故乡泥土，用于制作一份份具有特殊纪念意义礼物。市领导刘清生、何万飞、黄德群、陈尚妹等参加采土活动。</w:t>
      </w:r>
    </w:p>
    <w:p w14:paraId="4CF0AA34">
      <w:pPr>
        <w:rPr>
          <w:rFonts w:hint="eastAsia"/>
        </w:rPr>
      </w:pPr>
      <w:r>
        <w:rPr>
          <w:b/>
          <w:bCs/>
        </w:rPr>
        <w:t>9月30日</w:t>
      </w:r>
      <w:r>
        <w:rPr>
          <w:rFonts w:hint="eastAsia"/>
          <w:b/>
          <w:bCs/>
          <w:lang w:val="en-US" w:eastAsia="zh-CN"/>
        </w:rPr>
        <w:t xml:space="preserve">  </w:t>
      </w:r>
      <w:r>
        <w:t>市团市委举办“2013希望工程南</w:t>
      </w:r>
      <w:r>
        <w:rPr>
          <w:rFonts w:hint="eastAsia"/>
        </w:rPr>
        <w:t>粤会亲—南雄会亲”活动，组织全市</w:t>
      </w:r>
      <w:r>
        <w:t>87个贫困</w:t>
      </w:r>
      <w:r>
        <w:rPr>
          <w:rFonts w:hint="eastAsia"/>
        </w:rPr>
        <w:t>家庭学生到城区，接受社会各界爱心组织、爱心个人认捐资助，帮助孩子们圆“读书梦”，让他们感受到社会大家庭温暖。</w:t>
      </w:r>
    </w:p>
    <w:p w14:paraId="075663FD">
      <w:pPr>
        <w:pStyle w:val="3"/>
        <w:bidi w:val="0"/>
        <w:rPr>
          <w:rFonts w:hint="eastAsia"/>
        </w:rPr>
      </w:pPr>
      <w:r>
        <w:t>10月</w:t>
      </w:r>
    </w:p>
    <w:p w14:paraId="56C0B854">
      <w:r>
        <w:rPr>
          <w:b/>
          <w:bCs/>
        </w:rPr>
        <w:t>10月1日</w:t>
      </w:r>
      <w:r>
        <w:rPr>
          <w:rFonts w:hint="eastAsia"/>
          <w:b/>
          <w:bCs/>
          <w:lang w:val="en-US" w:eastAsia="zh-CN"/>
        </w:rPr>
        <w:t xml:space="preserve">  </w:t>
      </w:r>
      <w:r>
        <w:t>市25家企业联合在三影塔广场举</w:t>
      </w:r>
      <w:r>
        <w:rPr>
          <w:rFonts w:hint="eastAsia"/>
        </w:rPr>
        <w:t>办招聘会，提供就业岗位</w:t>
      </w:r>
      <w:r>
        <w:t>2500多个。</w:t>
      </w:r>
    </w:p>
    <w:p w14:paraId="1566F19E">
      <w:pPr>
        <w:rPr>
          <w:rFonts w:hint="eastAsia"/>
        </w:rPr>
      </w:pPr>
      <w:r>
        <w:rPr>
          <w:b/>
          <w:bCs/>
        </w:rPr>
        <w:t>10月9日</w:t>
      </w:r>
      <w:r>
        <w:rPr>
          <w:rFonts w:hint="eastAsia"/>
          <w:b/>
          <w:bCs/>
          <w:lang w:val="en-US" w:eastAsia="zh-CN"/>
        </w:rPr>
        <w:t xml:space="preserve">  </w:t>
      </w:r>
      <w:r>
        <w:t>市召开全市领导干部大会，宣布南</w:t>
      </w:r>
      <w:r>
        <w:rPr>
          <w:rFonts w:hint="eastAsia"/>
        </w:rPr>
        <w:t>雄市市政府主要领导任职事宜。韶关市委决定曾风保同志担任中共南雄市委副书记，提名为南雄市人民政府市长人选。</w:t>
      </w:r>
    </w:p>
    <w:p w14:paraId="5490C50A">
      <w:pPr>
        <w:rPr>
          <w:rFonts w:hint="eastAsia"/>
        </w:rPr>
      </w:pPr>
      <w:r>
        <w:rPr>
          <w:b/>
          <w:bCs/>
        </w:rPr>
        <w:t>10月12日</w:t>
      </w:r>
      <w:r>
        <w:rPr>
          <w:rFonts w:hint="eastAsia"/>
          <w:b/>
          <w:bCs/>
          <w:lang w:val="en-US" w:eastAsia="zh-CN"/>
        </w:rPr>
        <w:t xml:space="preserve">  </w:t>
      </w:r>
      <w:r>
        <w:t>广州电视台摄制组到珠玑古巷取</w:t>
      </w:r>
      <w:r>
        <w:rPr>
          <w:rFonts w:hint="eastAsia"/>
        </w:rPr>
        <w:t>景，为广东省广府人珠玑巷后裔海外联谊会恳亲大会拍摄宣传片。</w:t>
      </w:r>
    </w:p>
    <w:p w14:paraId="5EC81C7F">
      <w:pPr>
        <w:rPr>
          <w:rFonts w:hint="eastAsia"/>
        </w:rPr>
      </w:pPr>
      <w:r>
        <w:rPr>
          <w:b/>
          <w:bCs/>
        </w:rPr>
        <w:t>10月15日</w:t>
      </w:r>
      <w:r>
        <w:rPr>
          <w:rFonts w:hint="eastAsia"/>
          <w:b/>
          <w:bCs/>
          <w:lang w:val="en-US" w:eastAsia="zh-CN"/>
        </w:rPr>
        <w:t xml:space="preserve">  </w:t>
      </w:r>
      <w:r>
        <w:t>由市委、市政府编纂的《璀璨南</w:t>
      </w:r>
      <w:r>
        <w:rPr>
          <w:rFonts w:hint="eastAsia"/>
        </w:rPr>
        <w:t>雄》画册出版发行，《璀璨南雄》画册</w:t>
      </w:r>
      <w:r>
        <w:t>7万字220</w:t>
      </w:r>
      <w:r>
        <w:rPr>
          <w:rFonts w:hint="eastAsia"/>
        </w:rPr>
        <w:t>张大小插图，内容涵盖南雄经济、社会、文化等方面发展和历史渊源。</w:t>
      </w:r>
    </w:p>
    <w:p w14:paraId="6DB28795">
      <w:pPr>
        <w:rPr>
          <w:rFonts w:hint="eastAsia"/>
        </w:rPr>
      </w:pPr>
      <w:r>
        <w:rPr>
          <w:b/>
          <w:bCs/>
        </w:rPr>
        <w:t>10月12日</w:t>
      </w:r>
      <w:r>
        <w:rPr>
          <w:rFonts w:hint="eastAsia"/>
          <w:b/>
          <w:bCs/>
          <w:lang w:val="en-US" w:eastAsia="zh-CN"/>
        </w:rPr>
        <w:t xml:space="preserve">  </w:t>
      </w:r>
      <w:r>
        <w:t>市十四届人民代表大会常务委员</w:t>
      </w:r>
      <w:r>
        <w:rPr>
          <w:rFonts w:hint="eastAsia"/>
        </w:rPr>
        <w:t>会召开第十四次会议，会议审议通过有关人事任免及市人民政府有关土地性质调整、市人民法院人民陪审员名额增加等有关事项。会议任命曾风保同志为市人民政府副市长，代理市长职务。</w:t>
      </w:r>
    </w:p>
    <w:p w14:paraId="4808AAE3">
      <w:pPr>
        <w:rPr>
          <w:rFonts w:hint="eastAsia"/>
        </w:rPr>
      </w:pPr>
      <w:r>
        <w:rPr>
          <w:b/>
          <w:bCs/>
        </w:rPr>
        <w:t>10月18日</w:t>
      </w:r>
      <w:r>
        <w:rPr>
          <w:rFonts w:hint="eastAsia"/>
          <w:b/>
          <w:bCs/>
          <w:lang w:val="en-US" w:eastAsia="zh-CN"/>
        </w:rPr>
        <w:t xml:space="preserve">  </w:t>
      </w:r>
      <w:r>
        <w:t>市召开“九三学社南雄市支社</w:t>
      </w:r>
      <w:r>
        <w:rPr>
          <w:rFonts w:hint="eastAsia"/>
          <w:lang w:eastAsia="zh-CN"/>
        </w:rPr>
        <w:t>”</w:t>
      </w:r>
      <w:r>
        <w:rPr>
          <w:rFonts w:hint="eastAsia"/>
        </w:rPr>
        <w:t>成立大会，选举出第一届委员会和班子成员。</w:t>
      </w:r>
    </w:p>
    <w:p w14:paraId="0DC698D2">
      <w:pPr>
        <w:rPr>
          <w:rFonts w:hint="eastAsia"/>
          <w:lang w:eastAsia="zh-CN"/>
        </w:rPr>
      </w:pPr>
      <w:r>
        <w:rPr>
          <w:b/>
          <w:bCs/>
        </w:rPr>
        <w:t>10月18日</w:t>
      </w:r>
      <w:r>
        <w:rPr>
          <w:rFonts w:hint="eastAsia"/>
          <w:b/>
          <w:bCs/>
          <w:lang w:val="en-US" w:eastAsia="zh-CN"/>
        </w:rPr>
        <w:t xml:space="preserve">  </w:t>
      </w:r>
      <w:r>
        <w:t>市对全市各有关单位地方志资料</w:t>
      </w:r>
      <w:r>
        <w:rPr>
          <w:rFonts w:hint="eastAsia"/>
        </w:rPr>
        <w:t>年报编辑人员进行培训</w:t>
      </w:r>
      <w:r>
        <w:rPr>
          <w:rFonts w:hint="eastAsia"/>
          <w:lang w:eastAsia="zh-CN"/>
        </w:rPr>
        <w:t>。</w:t>
      </w:r>
    </w:p>
    <w:p w14:paraId="074AEBB2">
      <w:pPr>
        <w:rPr>
          <w:rFonts w:hint="eastAsia"/>
        </w:rPr>
      </w:pPr>
      <w:r>
        <w:rPr>
          <w:rFonts w:hint="eastAsia"/>
          <w:b/>
          <w:bCs/>
        </w:rPr>
        <w:t>同日</w:t>
      </w:r>
      <w:r>
        <w:rPr>
          <w:rFonts w:hint="eastAsia"/>
        </w:rPr>
        <w:t>市召开部署村级班子换届考察工作会议。</w:t>
      </w:r>
    </w:p>
    <w:p w14:paraId="4AAF8E18">
      <w:pPr>
        <w:rPr>
          <w:rFonts w:hint="eastAsia"/>
        </w:rPr>
      </w:pPr>
      <w:r>
        <w:rPr>
          <w:b/>
          <w:bCs/>
        </w:rPr>
        <w:t>10月19日</w:t>
      </w:r>
      <w:r>
        <w:rPr>
          <w:rFonts w:hint="eastAsia"/>
          <w:b/>
          <w:bCs/>
          <w:lang w:val="en-US" w:eastAsia="zh-CN"/>
        </w:rPr>
        <w:t xml:space="preserve">  </w:t>
      </w:r>
      <w:r>
        <w:t>广东省老促会会长陈开枝到南雄</w:t>
      </w:r>
      <w:r>
        <w:rPr>
          <w:rFonts w:hint="eastAsia"/>
        </w:rPr>
        <w:t>调研老区工作。</w:t>
      </w:r>
    </w:p>
    <w:p w14:paraId="4C9F9123">
      <w:pPr>
        <w:rPr>
          <w:rFonts w:hint="eastAsia"/>
        </w:rPr>
      </w:pPr>
      <w:r>
        <w:rPr>
          <w:b/>
          <w:bCs/>
        </w:rPr>
        <w:t>10月23日</w:t>
      </w:r>
      <w:r>
        <w:rPr>
          <w:rFonts w:hint="eastAsia"/>
          <w:b/>
          <w:bCs/>
          <w:lang w:val="en-US" w:eastAsia="zh-CN"/>
        </w:rPr>
        <w:t xml:space="preserve">  </w:t>
      </w:r>
      <w:r>
        <w:t>广东省“百名法学家百场报告</w:t>
      </w:r>
      <w:r>
        <w:rPr>
          <w:rFonts w:hint="eastAsia"/>
        </w:rPr>
        <w:t>会”在南雄市宣讲，广东省省委党校、广东行政学院法学教研部主任宋儒亮教授，以“领导干部的法</w:t>
      </w:r>
      <w:r>
        <w:rPr>
          <w:rFonts w:hint="eastAsia"/>
          <w:lang w:val="en-US" w:eastAsia="zh-CN"/>
        </w:rPr>
        <w:t>治</w:t>
      </w:r>
      <w:r>
        <w:rPr>
          <w:rFonts w:hint="eastAsia"/>
        </w:rPr>
        <w:t>思维和法</w:t>
      </w:r>
      <w:r>
        <w:rPr>
          <w:rFonts w:hint="eastAsia"/>
          <w:lang w:val="en-US" w:eastAsia="zh-CN"/>
        </w:rPr>
        <w:t>治</w:t>
      </w:r>
      <w:r>
        <w:rPr>
          <w:rFonts w:hint="eastAsia"/>
        </w:rPr>
        <w:t>方式”为题，为该市</w:t>
      </w:r>
      <w:r>
        <w:t>1000多名领导</w:t>
      </w:r>
      <w:r>
        <w:rPr>
          <w:rFonts w:hint="eastAsia"/>
        </w:rPr>
        <w:t>干部做宣讲报告。</w:t>
      </w:r>
    </w:p>
    <w:p w14:paraId="416E87DC">
      <w:pPr>
        <w:rPr>
          <w:rFonts w:hint="eastAsia"/>
        </w:rPr>
      </w:pPr>
      <w:r>
        <w:rPr>
          <w:b/>
          <w:bCs/>
        </w:rPr>
        <w:t>10月24日</w:t>
      </w:r>
      <w:r>
        <w:rPr>
          <w:rFonts w:hint="eastAsia"/>
          <w:b/>
          <w:bCs/>
          <w:lang w:val="en-US" w:eastAsia="zh-CN"/>
        </w:rPr>
        <w:t xml:space="preserve">  </w:t>
      </w:r>
      <w:r>
        <w:t>刘清生担任市人武部党委第</w:t>
      </w:r>
      <w:r>
        <w:rPr>
          <w:rFonts w:hint="eastAsia"/>
          <w:lang w:val="en-US" w:eastAsia="zh-CN"/>
        </w:rPr>
        <w:t>一</w:t>
      </w:r>
      <w:r>
        <w:rPr>
          <w:rFonts w:hint="eastAsia"/>
        </w:rPr>
        <w:t>书记。</w:t>
      </w:r>
    </w:p>
    <w:p w14:paraId="3759398D">
      <w:pPr>
        <w:rPr>
          <w:rFonts w:hint="eastAsia"/>
        </w:rPr>
      </w:pPr>
      <w:r>
        <w:rPr>
          <w:b/>
          <w:bCs/>
        </w:rPr>
        <w:t>10月28日</w:t>
      </w:r>
      <w:r>
        <w:rPr>
          <w:rFonts w:hint="eastAsia"/>
          <w:b/>
          <w:bCs/>
          <w:lang w:val="en-US" w:eastAsia="zh-CN"/>
        </w:rPr>
        <w:t xml:space="preserve">  </w:t>
      </w:r>
      <w:r>
        <w:t>市举行为期15天公务员“为民</w:t>
      </w:r>
      <w:r>
        <w:rPr>
          <w:rFonts w:hint="eastAsia"/>
          <w:lang w:eastAsia="zh-CN"/>
        </w:rPr>
        <w:t>、</w:t>
      </w:r>
      <w:r>
        <w:rPr>
          <w:rFonts w:hint="eastAsia"/>
        </w:rPr>
        <w:t>求实、清廉”培训活动。</w:t>
      </w:r>
    </w:p>
    <w:p w14:paraId="5219CB9B">
      <w:pPr>
        <w:rPr>
          <w:rFonts w:hint="eastAsia"/>
        </w:rPr>
      </w:pPr>
      <w:r>
        <w:rPr>
          <w:b/>
          <w:bCs/>
        </w:rPr>
        <w:t>10月30日</w:t>
      </w:r>
      <w:r>
        <w:rPr>
          <w:rFonts w:hint="eastAsia"/>
          <w:b/>
          <w:bCs/>
          <w:lang w:val="en-US" w:eastAsia="zh-CN"/>
        </w:rPr>
        <w:t xml:space="preserve">  </w:t>
      </w:r>
      <w:r>
        <w:t>市十四届人大常委会召开第十五</w:t>
      </w:r>
      <w:r>
        <w:rPr>
          <w:rFonts w:hint="eastAsia"/>
        </w:rPr>
        <w:t>次会议，会议补选</w:t>
      </w:r>
      <w:r>
        <w:t>6名市十四届人大代表，审议通</w:t>
      </w:r>
      <w:r>
        <w:rPr>
          <w:rFonts w:hint="eastAsia"/>
        </w:rPr>
        <w:t>过市“一府两院”的有关工作情况报告。</w:t>
      </w:r>
    </w:p>
    <w:p w14:paraId="77CD2AFB">
      <w:pPr>
        <w:pStyle w:val="3"/>
        <w:bidi w:val="0"/>
        <w:rPr>
          <w:rFonts w:hint="eastAsia"/>
        </w:rPr>
      </w:pPr>
      <w:r>
        <w:t>11月</w:t>
      </w:r>
    </w:p>
    <w:p w14:paraId="745F1A3E">
      <w:pPr>
        <w:rPr>
          <w:rFonts w:hint="eastAsia"/>
        </w:rPr>
      </w:pPr>
      <w:r>
        <w:rPr>
          <w:b/>
          <w:bCs/>
        </w:rPr>
        <w:t>11月1日下午</w:t>
      </w:r>
      <w:r>
        <w:rPr>
          <w:rFonts w:hint="eastAsia"/>
          <w:lang w:val="en-US" w:eastAsia="zh-CN"/>
        </w:rPr>
        <w:t xml:space="preserve">  </w:t>
      </w:r>
      <w:r>
        <w:t>市教育局在南雄一小润泽楼二</w:t>
      </w:r>
      <w:r>
        <w:rPr>
          <w:rFonts w:hint="eastAsia"/>
        </w:rPr>
        <w:t>楼学术报告厅，组织开展“共筑中国梦”学习宣讲。全市中小学校主管德育工作负责人</w:t>
      </w:r>
      <w:r>
        <w:t>100多人聆</w:t>
      </w:r>
      <w:r>
        <w:rPr>
          <w:rFonts w:hint="eastAsia"/>
        </w:rPr>
        <w:t>听宣讲报告。</w:t>
      </w:r>
    </w:p>
    <w:p w14:paraId="3EE1F4B8">
      <w:r>
        <w:rPr>
          <w:b/>
          <w:bCs/>
        </w:rPr>
        <w:t>11月5日</w:t>
      </w:r>
      <w:r>
        <w:rPr>
          <w:rFonts w:hint="eastAsia"/>
          <w:b/>
          <w:bCs/>
          <w:lang w:val="en-US" w:eastAsia="zh-CN"/>
        </w:rPr>
        <w:t xml:space="preserve">  </w:t>
      </w:r>
      <w:r>
        <w:t>由市烟科所、农科所及部分园区企</w:t>
      </w:r>
      <w:r>
        <w:rPr>
          <w:rFonts w:hint="eastAsia"/>
        </w:rPr>
        <w:t>业选送的</w:t>
      </w:r>
      <w:r>
        <w:t>5个课题研究，分别获得韶关市科技进步</w:t>
      </w:r>
      <w:r>
        <w:rPr>
          <w:rFonts w:hint="eastAsia"/>
          <w:lang w:val="en-US" w:eastAsia="zh-CN"/>
        </w:rPr>
        <w:t>一</w:t>
      </w:r>
      <w:r>
        <w:rPr>
          <w:rFonts w:hint="eastAsia"/>
        </w:rPr>
        <w:t>等奖</w:t>
      </w:r>
      <w:r>
        <w:t>1个，二等奖三等奖各2个。</w:t>
      </w:r>
    </w:p>
    <w:p w14:paraId="6959C3FB">
      <w:pPr>
        <w:rPr>
          <w:rFonts w:hint="eastAsia"/>
          <w:lang w:eastAsia="zh-CN"/>
        </w:rPr>
      </w:pPr>
      <w:r>
        <w:rPr>
          <w:b/>
          <w:bCs/>
        </w:rPr>
        <w:t>11月7日</w:t>
      </w:r>
      <w:r>
        <w:rPr>
          <w:rFonts w:hint="eastAsia"/>
          <w:b/>
          <w:bCs/>
          <w:lang w:val="en-US" w:eastAsia="zh-CN"/>
        </w:rPr>
        <w:t xml:space="preserve">  </w:t>
      </w:r>
      <w:r>
        <w:t>市人民政府召开十四届九次常务会</w:t>
      </w:r>
      <w:r>
        <w:rPr>
          <w:rFonts w:hint="eastAsia"/>
        </w:rPr>
        <w:t>议，研究解决关于调整污水处理费征收标准和拨付标准等</w:t>
      </w:r>
      <w:r>
        <w:t>10项议题</w:t>
      </w:r>
      <w:r>
        <w:rPr>
          <w:rFonts w:hint="eastAsia"/>
          <w:lang w:eastAsia="zh-CN"/>
        </w:rPr>
        <w:t>。</w:t>
      </w:r>
    </w:p>
    <w:p w14:paraId="1DB0AB7A">
      <w:pPr>
        <w:rPr>
          <w:rFonts w:hint="eastAsia"/>
          <w:lang w:eastAsia="zh-CN"/>
        </w:rPr>
      </w:pPr>
      <w:r>
        <w:rPr>
          <w:b/>
          <w:bCs/>
        </w:rPr>
        <w:t>11月10日</w:t>
      </w:r>
      <w:r>
        <w:rPr>
          <w:rFonts w:hint="eastAsia"/>
          <w:b/>
          <w:bCs/>
          <w:lang w:val="en-US" w:eastAsia="zh-CN"/>
        </w:rPr>
        <w:t xml:space="preserve">  </w:t>
      </w:r>
      <w:r>
        <w:t>广东省贸促会联合农工党广东省</w:t>
      </w:r>
      <w:r>
        <w:rPr>
          <w:rFonts w:hint="eastAsia"/>
        </w:rPr>
        <w:t>委会到南雄开展“走进南雄、情系百姓”义诊助学活动</w:t>
      </w:r>
      <w:r>
        <w:rPr>
          <w:rFonts w:hint="eastAsia"/>
          <w:lang w:eastAsia="zh-CN"/>
        </w:rPr>
        <w:t>。</w:t>
      </w:r>
    </w:p>
    <w:p w14:paraId="0A3C887D">
      <w:r>
        <w:rPr>
          <w:b/>
          <w:bCs/>
        </w:rPr>
        <w:t>11月12日</w:t>
      </w:r>
      <w:r>
        <w:rPr>
          <w:rFonts w:hint="eastAsia"/>
          <w:b/>
          <w:bCs/>
          <w:lang w:val="en-US" w:eastAsia="zh-CN"/>
        </w:rPr>
        <w:t xml:space="preserve">  </w:t>
      </w:r>
      <w:r>
        <w:t>市在广州白云国际会议中心举行</w:t>
      </w:r>
      <w:r>
        <w:rPr>
          <w:rFonts w:hint="eastAsia"/>
        </w:rPr>
        <w:t>旅游投资环境推介会，现场签约</w:t>
      </w:r>
      <w:r>
        <w:t>4个旅游项目，并</w:t>
      </w:r>
      <w:r>
        <w:rPr>
          <w:rFonts w:hint="eastAsia"/>
        </w:rPr>
        <w:t>与</w:t>
      </w:r>
      <w:r>
        <w:t>5家知名旅行社签订战略合作协议。</w:t>
      </w:r>
    </w:p>
    <w:p w14:paraId="07CEB19E">
      <w:pPr>
        <w:rPr>
          <w:rFonts w:hint="eastAsia"/>
          <w:lang w:eastAsia="zh-CN"/>
        </w:rPr>
      </w:pPr>
      <w:r>
        <w:rPr>
          <w:b/>
          <w:bCs/>
        </w:rPr>
        <w:t>11月13日</w:t>
      </w:r>
      <w:r>
        <w:rPr>
          <w:rFonts w:hint="eastAsia"/>
          <w:b/>
          <w:bCs/>
          <w:lang w:val="en-US" w:eastAsia="zh-CN"/>
        </w:rPr>
        <w:t xml:space="preserve">  </w:t>
      </w:r>
      <w:r>
        <w:t>南雄市商贸浙商联谊会成立</w:t>
      </w:r>
      <w:r>
        <w:rPr>
          <w:rFonts w:hint="eastAsia"/>
          <w:lang w:eastAsia="zh-CN"/>
        </w:rPr>
        <w:t>。</w:t>
      </w:r>
    </w:p>
    <w:p w14:paraId="52395F23">
      <w:pPr>
        <w:rPr>
          <w:rFonts w:hint="eastAsia"/>
        </w:rPr>
      </w:pPr>
      <w:r>
        <w:rPr>
          <w:b/>
          <w:bCs/>
        </w:rPr>
        <w:t>11月13日</w:t>
      </w:r>
      <w:r>
        <w:rPr>
          <w:rFonts w:hint="eastAsia"/>
          <w:b/>
          <w:bCs/>
          <w:lang w:val="en-US" w:eastAsia="zh-CN"/>
        </w:rPr>
        <w:t xml:space="preserve">  </w:t>
      </w:r>
      <w:r>
        <w:t>首届世界广府人恳亲大会在广州</w:t>
      </w:r>
      <w:r>
        <w:rPr>
          <w:rFonts w:hint="eastAsia"/>
        </w:rPr>
        <w:t>白云国际会议中心隆重开幕。市领导刘清生、曾风保、何万飞等出席会议。</w:t>
      </w:r>
    </w:p>
    <w:p w14:paraId="5867BDBB">
      <w:pPr>
        <w:rPr>
          <w:rFonts w:hint="eastAsia"/>
          <w:lang w:eastAsia="zh-CN"/>
        </w:rPr>
      </w:pPr>
      <w:r>
        <w:rPr>
          <w:b/>
          <w:bCs/>
        </w:rPr>
        <w:t>11月14日</w:t>
      </w:r>
      <w:r>
        <w:rPr>
          <w:rFonts w:hint="eastAsia"/>
          <w:b/>
          <w:bCs/>
          <w:lang w:val="en-US" w:eastAsia="zh-CN"/>
        </w:rPr>
        <w:t xml:space="preserve">  </w:t>
      </w:r>
      <w:r>
        <w:t>澳大利亚高嘉华市副市长邓小颖</w:t>
      </w:r>
      <w:r>
        <w:rPr>
          <w:rFonts w:hint="eastAsia"/>
        </w:rPr>
        <w:t>女士率领澳洲广东珠玑巷后裔联谊会各界侨领参议团到南雄市回访</w:t>
      </w:r>
      <w:r>
        <w:rPr>
          <w:rFonts w:hint="eastAsia"/>
          <w:lang w:eastAsia="zh-CN"/>
        </w:rPr>
        <w:t>。</w:t>
      </w:r>
    </w:p>
    <w:p w14:paraId="4D2C55B1">
      <w:pPr>
        <w:rPr>
          <w:rFonts w:hint="eastAsia"/>
          <w:lang w:eastAsia="zh-CN"/>
        </w:rPr>
      </w:pPr>
      <w:r>
        <w:rPr>
          <w:b/>
          <w:bCs/>
        </w:rPr>
        <w:t>11月15日</w:t>
      </w:r>
      <w:r>
        <w:rPr>
          <w:rFonts w:hint="eastAsia"/>
          <w:b/>
          <w:bCs/>
          <w:lang w:val="en-US" w:eastAsia="zh-CN"/>
        </w:rPr>
        <w:t xml:space="preserve">  </w:t>
      </w:r>
      <w:r>
        <w:t>广东省召开电视电话会议，传达</w:t>
      </w:r>
      <w:r>
        <w:rPr>
          <w:rFonts w:hint="eastAsia"/>
        </w:rPr>
        <w:t>学习贯彻党的十八届三中全会和习近平总书记重要讲话精神。市委书记刘清生，市委副书记、代市长曾风保等四套班子领导和各镇（街道）、各科局主要负责人在分会场收看收听会议精神</w:t>
      </w:r>
      <w:r>
        <w:rPr>
          <w:rFonts w:hint="eastAsia"/>
          <w:lang w:eastAsia="zh-CN"/>
        </w:rPr>
        <w:t>。</w:t>
      </w:r>
    </w:p>
    <w:p w14:paraId="6CDC62BF">
      <w:pPr>
        <w:pStyle w:val="3"/>
        <w:bidi w:val="0"/>
        <w:rPr>
          <w:rFonts w:hint="eastAsia"/>
          <w:lang w:eastAsia="zh-CN"/>
        </w:rPr>
      </w:pPr>
      <w:r>
        <w:t>12月</w:t>
      </w:r>
    </w:p>
    <w:p w14:paraId="0483654A">
      <w:pPr>
        <w:rPr>
          <w:rFonts w:hint="eastAsia"/>
          <w:lang w:eastAsia="zh-CN"/>
        </w:rPr>
      </w:pPr>
      <w:r>
        <w:rPr>
          <w:b/>
          <w:bCs/>
        </w:rPr>
        <w:t>12月2日</w:t>
      </w:r>
      <w:r>
        <w:rPr>
          <w:rFonts w:hint="eastAsia"/>
          <w:b/>
          <w:bCs/>
          <w:lang w:val="en-US" w:eastAsia="zh-CN"/>
        </w:rPr>
        <w:t xml:space="preserve">  </w:t>
      </w:r>
      <w:r>
        <w:t>市开展2013年世界艾滋病日宣传</w:t>
      </w:r>
      <w:r>
        <w:rPr>
          <w:rFonts w:hint="eastAsia"/>
        </w:rPr>
        <w:t>活动</w:t>
      </w:r>
      <w:r>
        <w:rPr>
          <w:rFonts w:hint="eastAsia"/>
          <w:lang w:eastAsia="zh-CN"/>
        </w:rPr>
        <w:t>。</w:t>
      </w:r>
    </w:p>
    <w:p w14:paraId="4537164F">
      <w:pPr>
        <w:rPr>
          <w:rFonts w:hint="eastAsia"/>
        </w:rPr>
      </w:pPr>
      <w:r>
        <w:rPr>
          <w:b/>
          <w:bCs/>
        </w:rPr>
        <w:t>12月3日</w:t>
      </w:r>
      <w:r>
        <w:rPr>
          <w:rFonts w:hint="eastAsia"/>
          <w:b/>
          <w:bCs/>
          <w:lang w:val="en-US" w:eastAsia="zh-CN"/>
        </w:rPr>
        <w:t xml:space="preserve">  </w:t>
      </w:r>
      <w:r>
        <w:t>市在三影塔广场举行金融IC卡多</w:t>
      </w:r>
      <w:r>
        <w:rPr>
          <w:rFonts w:hint="eastAsia"/>
        </w:rPr>
        <w:t>行业应用暨旅游数字化启动仪式，市委书记刘清生、代市长曾风保出席启动仪式。</w:t>
      </w:r>
    </w:p>
    <w:p w14:paraId="0CC696DB">
      <w:pPr>
        <w:rPr>
          <w:rFonts w:hint="eastAsia"/>
        </w:rPr>
      </w:pPr>
      <w:r>
        <w:rPr>
          <w:rFonts w:hint="eastAsia"/>
          <w:b/>
          <w:bCs/>
        </w:rPr>
        <w:t>同日</w:t>
      </w:r>
      <w:r>
        <w:rPr>
          <w:rFonts w:hint="eastAsia"/>
          <w:b/>
          <w:bCs/>
          <w:lang w:val="en-US" w:eastAsia="zh-CN"/>
        </w:rPr>
        <w:t xml:space="preserve">  </w:t>
      </w:r>
      <w:r>
        <w:rPr>
          <w:rFonts w:hint="eastAsia"/>
        </w:rPr>
        <w:t>中国汽车用品行业协会理事长骆澜涛到南雄市考察投资环境。</w:t>
      </w:r>
    </w:p>
    <w:p w14:paraId="7FC35F85">
      <w:pPr>
        <w:rPr>
          <w:rFonts w:hint="eastAsia"/>
        </w:rPr>
      </w:pPr>
      <w:r>
        <w:rPr>
          <w:rFonts w:hint="eastAsia"/>
          <w:b/>
          <w:bCs/>
        </w:rPr>
        <w:t>同日</w:t>
      </w:r>
      <w:r>
        <w:rPr>
          <w:rFonts w:hint="eastAsia"/>
          <w:b/>
          <w:bCs/>
          <w:lang w:val="en-US" w:eastAsia="zh-CN"/>
        </w:rPr>
        <w:t xml:space="preserve">  </w:t>
      </w:r>
      <w:r>
        <w:rPr>
          <w:rFonts w:hint="eastAsia"/>
        </w:rPr>
        <w:t>广东省粮食局联合省药监局、省工商局等执法部门组成检</w:t>
      </w:r>
      <w:r>
        <w:rPr>
          <w:rFonts w:hint="eastAsia"/>
          <w:lang w:eastAsia="zh-CN"/>
        </w:rPr>
        <w:t>查</w:t>
      </w:r>
      <w:r>
        <w:rPr>
          <w:rFonts w:hint="eastAsia"/>
        </w:rPr>
        <w:t>组来到南雄检</w:t>
      </w:r>
      <w:r>
        <w:rPr>
          <w:rFonts w:hint="eastAsia"/>
          <w:lang w:eastAsia="zh-CN"/>
        </w:rPr>
        <w:t>查</w:t>
      </w:r>
      <w:r>
        <w:rPr>
          <w:rFonts w:hint="eastAsia"/>
        </w:rPr>
        <w:t>粮食储备工作。</w:t>
      </w:r>
    </w:p>
    <w:p w14:paraId="04B4B4AD">
      <w:pPr>
        <w:rPr>
          <w:rFonts w:hint="eastAsia"/>
          <w:lang w:eastAsia="zh-CN"/>
        </w:rPr>
      </w:pPr>
      <w:r>
        <w:rPr>
          <w:b/>
          <w:bCs/>
        </w:rPr>
        <w:t>12月4日</w:t>
      </w:r>
      <w:r>
        <w:rPr>
          <w:rFonts w:hint="eastAsia"/>
          <w:b/>
          <w:bCs/>
          <w:lang w:val="en-US" w:eastAsia="zh-CN"/>
        </w:rPr>
        <w:t xml:space="preserve">  </w:t>
      </w:r>
      <w:r>
        <w:t>市新增274个社会治安视频监控系</w:t>
      </w:r>
      <w:r>
        <w:rPr>
          <w:rFonts w:hint="eastAsia"/>
        </w:rPr>
        <w:t>统年底将启用</w:t>
      </w:r>
      <w:r>
        <w:rPr>
          <w:rFonts w:hint="eastAsia"/>
          <w:lang w:eastAsia="zh-CN"/>
        </w:rPr>
        <w:t>。</w:t>
      </w:r>
    </w:p>
    <w:p w14:paraId="3803FA8A">
      <w:pPr>
        <w:rPr>
          <w:rFonts w:hint="eastAsia"/>
        </w:rPr>
      </w:pPr>
      <w:r>
        <w:rPr>
          <w:rFonts w:hint="eastAsia"/>
          <w:b/>
          <w:bCs/>
        </w:rPr>
        <w:t>同日</w:t>
      </w:r>
      <w:r>
        <w:rPr>
          <w:rFonts w:hint="eastAsia"/>
          <w:b/>
          <w:bCs/>
          <w:lang w:val="en-US" w:eastAsia="zh-CN"/>
        </w:rPr>
        <w:t xml:space="preserve">  </w:t>
      </w:r>
      <w:r>
        <w:rPr>
          <w:rFonts w:hint="eastAsia"/>
        </w:rPr>
        <w:t>市召开依法整治违法用地和违法建筑工作三级干部电话会议。</w:t>
      </w:r>
    </w:p>
    <w:p w14:paraId="381F02BA">
      <w:pPr>
        <w:rPr>
          <w:rFonts w:hint="eastAsia"/>
          <w:lang w:eastAsia="zh-CN"/>
        </w:rPr>
      </w:pPr>
      <w:r>
        <w:rPr>
          <w:b/>
          <w:bCs/>
        </w:rPr>
        <w:t>12月5日</w:t>
      </w:r>
      <w:r>
        <w:rPr>
          <w:rFonts w:hint="eastAsia"/>
          <w:b/>
          <w:bCs/>
          <w:lang w:val="en-US" w:eastAsia="zh-CN"/>
        </w:rPr>
        <w:t xml:space="preserve">  </w:t>
      </w:r>
      <w:r>
        <w:t>国家古生物化石专家委员会专家组</w:t>
      </w:r>
      <w:r>
        <w:rPr>
          <w:rFonts w:hint="eastAsia"/>
        </w:rPr>
        <w:t>到南雄，对南雄申报“国家级重点保护古生物化石集中产地”认定项目进行评审</w:t>
      </w:r>
      <w:r>
        <w:rPr>
          <w:rFonts w:hint="eastAsia"/>
          <w:lang w:eastAsia="zh-CN"/>
        </w:rPr>
        <w:t>。</w:t>
      </w:r>
    </w:p>
    <w:p w14:paraId="1EB5AA9F">
      <w:pPr>
        <w:rPr>
          <w:rFonts w:hint="eastAsia"/>
        </w:rPr>
      </w:pPr>
      <w:r>
        <w:rPr>
          <w:b/>
          <w:bCs/>
        </w:rPr>
        <w:t>12月5日</w:t>
      </w:r>
      <w:r>
        <w:rPr>
          <w:rFonts w:hint="eastAsia"/>
          <w:b/>
          <w:bCs/>
          <w:lang w:val="en-US" w:eastAsia="zh-CN"/>
        </w:rPr>
        <w:t xml:space="preserve">  </w:t>
      </w:r>
      <w:r>
        <w:t>广东省水利厅厅长林旭钿率调研组</w:t>
      </w:r>
      <w:r>
        <w:rPr>
          <w:rFonts w:hint="eastAsia"/>
        </w:rPr>
        <w:t>到南雄实地调研当前水利工程建设情况。</w:t>
      </w:r>
    </w:p>
    <w:p w14:paraId="0413734A">
      <w:pPr>
        <w:rPr>
          <w:rFonts w:hint="eastAsia"/>
          <w:lang w:eastAsia="zh-CN"/>
        </w:rPr>
      </w:pPr>
      <w:r>
        <w:rPr>
          <w:b/>
          <w:bCs/>
        </w:rPr>
        <w:t>12月9日</w:t>
      </w:r>
      <w:r>
        <w:rPr>
          <w:rFonts w:hint="eastAsia"/>
          <w:b/>
          <w:bCs/>
          <w:lang w:val="en-US" w:eastAsia="zh-CN"/>
        </w:rPr>
        <w:t xml:space="preserve">  </w:t>
      </w:r>
      <w:r>
        <w:t>南雄市申报的项目“珠玑巷人南迁</w:t>
      </w:r>
      <w:r>
        <w:rPr>
          <w:rFonts w:hint="eastAsia"/>
        </w:rPr>
        <w:t>传说”被广东省政府列入《广东省第五批省级非物质文化遗产代表性项目名录》</w:t>
      </w:r>
      <w:r>
        <w:rPr>
          <w:rFonts w:hint="eastAsia"/>
          <w:lang w:eastAsia="zh-CN"/>
        </w:rPr>
        <w:t>。</w:t>
      </w:r>
    </w:p>
    <w:p w14:paraId="0AAD3CB4">
      <w:pPr>
        <w:rPr>
          <w:rFonts w:hint="eastAsia"/>
        </w:rPr>
      </w:pPr>
      <w:r>
        <w:rPr>
          <w:b/>
          <w:bCs/>
        </w:rPr>
        <w:t>12月12日</w:t>
      </w:r>
      <w:r>
        <w:rPr>
          <w:rFonts w:hint="eastAsia"/>
          <w:b/>
          <w:bCs/>
          <w:lang w:val="en-US" w:eastAsia="zh-CN"/>
        </w:rPr>
        <w:t xml:space="preserve">  </w:t>
      </w:r>
      <w:r>
        <w:t>广东省卫生和计划生育委员会考</w:t>
      </w:r>
      <w:r>
        <w:rPr>
          <w:rFonts w:hint="eastAsia"/>
        </w:rPr>
        <w:t>核组对南雄市</w:t>
      </w:r>
      <w:r>
        <w:t>2013年度人口计生工作进行全面</w:t>
      </w:r>
      <w:r>
        <w:rPr>
          <w:rFonts w:hint="eastAsia"/>
        </w:rPr>
        <w:t>考核。</w:t>
      </w:r>
    </w:p>
    <w:p w14:paraId="0D3FD76F">
      <w:pPr>
        <w:rPr>
          <w:rFonts w:hint="eastAsia"/>
        </w:rPr>
      </w:pPr>
      <w:r>
        <w:rPr>
          <w:b/>
          <w:bCs/>
        </w:rPr>
        <w:t>12月13日</w:t>
      </w:r>
      <w:r>
        <w:rPr>
          <w:rFonts w:hint="eastAsia"/>
          <w:b/>
          <w:bCs/>
          <w:lang w:val="en-US" w:eastAsia="zh-CN"/>
        </w:rPr>
        <w:t xml:space="preserve">  </w:t>
      </w:r>
      <w:r>
        <w:t>市举办十八届三中全会精神宣讲</w:t>
      </w:r>
      <w:r>
        <w:rPr>
          <w:rFonts w:hint="eastAsia"/>
        </w:rPr>
        <w:t>报告会，邀请韶关市学习贯彻党的十八届三中全会精神宣讲团成员、市委宣传部讲师团团长王展渊作主题报告宣讲。</w:t>
      </w:r>
    </w:p>
    <w:p w14:paraId="4D334BEE">
      <w:r>
        <w:rPr>
          <w:b/>
          <w:bCs/>
        </w:rPr>
        <w:t>12月16日</w:t>
      </w:r>
      <w:r>
        <w:rPr>
          <w:rFonts w:hint="eastAsia"/>
          <w:b/>
          <w:bCs/>
          <w:lang w:val="en-US" w:eastAsia="zh-CN"/>
        </w:rPr>
        <w:t xml:space="preserve">  </w:t>
      </w:r>
      <w:r>
        <w:t>南雄市首家保安公司挂牌成立。</w:t>
      </w:r>
    </w:p>
    <w:p w14:paraId="097E3ED8">
      <w:r>
        <w:rPr>
          <w:b/>
          <w:bCs/>
        </w:rPr>
        <w:t>12月19日</w:t>
      </w:r>
      <w:r>
        <w:rPr>
          <w:rFonts w:hint="eastAsia"/>
          <w:lang w:val="en-US" w:eastAsia="zh-CN"/>
        </w:rPr>
        <w:t xml:space="preserve">  </w:t>
      </w:r>
      <w:r>
        <w:t>广东省专家组对南雄市申报广东</w:t>
      </w:r>
      <w:r>
        <w:rPr>
          <w:rFonts w:hint="eastAsia"/>
        </w:rPr>
        <w:t>省教育强市暨全国义务教育发展基本均衡市进行为期</w:t>
      </w:r>
      <w:r>
        <w:t>3天的督导验收（评估）。</w:t>
      </w:r>
    </w:p>
    <w:p w14:paraId="67FDDD0C">
      <w:pPr>
        <w:rPr>
          <w:rFonts w:hint="eastAsia"/>
        </w:rPr>
      </w:pPr>
      <w:r>
        <w:rPr>
          <w:rFonts w:hint="eastAsia"/>
          <w:b/>
          <w:bCs/>
        </w:rPr>
        <w:t>同日</w:t>
      </w:r>
      <w:r>
        <w:rPr>
          <w:rFonts w:hint="eastAsia"/>
          <w:b/>
          <w:bCs/>
          <w:lang w:val="en-US" w:eastAsia="zh-CN"/>
        </w:rPr>
        <w:t xml:space="preserve">  </w:t>
      </w:r>
      <w:r>
        <w:rPr>
          <w:rFonts w:hint="eastAsia"/>
        </w:rPr>
        <w:t>由中央电视台《远方的家》栏目，《百山百川行》系列节目摄制组，到梅关古道拍摄。</w:t>
      </w:r>
      <w:r>
        <w:t>12月25日市在全安中学举行军地联合实兵</w:t>
      </w:r>
      <w:r>
        <w:rPr>
          <w:rFonts w:hint="eastAsia"/>
        </w:rPr>
        <w:t>演习。</w:t>
      </w:r>
    </w:p>
    <w:p w14:paraId="7EAC8BB8">
      <w:pPr>
        <w:rPr>
          <w:rFonts w:hint="eastAsia"/>
        </w:rPr>
      </w:pPr>
      <w:r>
        <w:rPr>
          <w:b/>
          <w:bCs/>
        </w:rPr>
        <w:t>12月31日</w:t>
      </w:r>
      <w:r>
        <w:t>韶关市市长艾学峰到南雄调研村</w:t>
      </w:r>
      <w:r>
        <w:rPr>
          <w:rFonts w:hint="eastAsia"/>
        </w:rPr>
        <w:t>（社区）“两委”换届选举和新一轮扶贫开发“双到”工作，了解农村发展规划等农村工作开展情况。</w:t>
      </w:r>
    </w:p>
    <w:p w14:paraId="32D84EA1">
      <w:pPr>
        <w:jc w:val="right"/>
        <w:rPr>
          <w:rFonts w:hint="eastAsia"/>
          <w:b/>
          <w:bCs/>
        </w:rPr>
      </w:pPr>
      <w:r>
        <w:rPr>
          <w:rFonts w:hint="eastAsia"/>
          <w:b/>
          <w:bCs/>
        </w:rPr>
        <w:t>（谢</w:t>
      </w:r>
      <w:r>
        <w:rPr>
          <w:rFonts w:hint="eastAsia"/>
          <w:b/>
          <w:bCs/>
          <w:lang w:val="en-US" w:eastAsia="zh-CN"/>
        </w:rPr>
        <w:t xml:space="preserve">  </w:t>
      </w:r>
      <w:r>
        <w:rPr>
          <w:rFonts w:hint="eastAsia"/>
          <w:b/>
          <w:bCs/>
        </w:rPr>
        <w:t>平</w:t>
      </w:r>
      <w:r>
        <w:rPr>
          <w:rFonts w:hint="eastAsia"/>
          <w:b/>
          <w:bCs/>
          <w:lang w:val="en-US" w:eastAsia="zh-CN"/>
        </w:rPr>
        <w:t xml:space="preserve">   </w:t>
      </w:r>
      <w:r>
        <w:rPr>
          <w:rFonts w:hint="eastAsia"/>
          <w:b/>
          <w:bCs/>
        </w:rPr>
        <w:t>陈如永）</w:t>
      </w:r>
    </w:p>
    <w:p w14:paraId="0CC9DDE4">
      <w:pPr>
        <w:pStyle w:val="2"/>
        <w:bidi w:val="0"/>
        <w:rPr>
          <w:rFonts w:hint="eastAsia"/>
        </w:rPr>
      </w:pPr>
      <w:r>
        <w:rPr>
          <w:rFonts w:hint="eastAsia"/>
        </w:rPr>
        <w:t>全市概况</w:t>
      </w:r>
    </w:p>
    <w:p w14:paraId="4B94150C">
      <w:pPr>
        <w:pStyle w:val="3"/>
        <w:bidi w:val="0"/>
        <w:rPr>
          <w:rFonts w:hint="default"/>
          <w:lang w:val="en-US" w:eastAsia="zh-CN"/>
        </w:rPr>
      </w:pPr>
      <w:r>
        <w:rPr>
          <w:rFonts w:hint="eastAsia"/>
          <w:lang w:val="en-US" w:eastAsia="zh-CN"/>
        </w:rPr>
        <w:t>历史·地理·人文</w:t>
      </w:r>
    </w:p>
    <w:p w14:paraId="01D69106">
      <w:pPr>
        <w:pStyle w:val="4"/>
        <w:bidi w:val="0"/>
        <w:rPr>
          <w:rFonts w:hint="eastAsia"/>
        </w:rPr>
      </w:pPr>
      <w:r>
        <w:rPr>
          <w:rFonts w:hint="eastAsia"/>
        </w:rPr>
        <w:t>【位置】</w:t>
      </w:r>
    </w:p>
    <w:p w14:paraId="50B0937A">
      <w:r>
        <w:rPr>
          <w:rFonts w:hint="eastAsia"/>
        </w:rPr>
        <w:t>南雄市位于大庾岭南麓，东经</w:t>
      </w:r>
      <w:r>
        <w:t>113度55</w:t>
      </w:r>
      <w:r>
        <w:rPr>
          <w:rFonts w:hint="eastAsia"/>
        </w:rPr>
        <w:t>分</w:t>
      </w:r>
      <w:r>
        <w:t>30秒—114度44分38秒，北纬24度56分59秒—25度25分20秒，东连江西省信丰县，东南界江</w:t>
      </w:r>
      <w:r>
        <w:rPr>
          <w:rFonts w:hint="eastAsia"/>
        </w:rPr>
        <w:t>西省全南县，西南比邻始兴县，西北与仁化县接壤，北界江西省大余县。四周群山环抱，中为丘陵。东西极限</w:t>
      </w:r>
      <w:r>
        <w:t>84公里，南北极限52公里。全市面</w:t>
      </w:r>
      <w:r>
        <w:rPr>
          <w:rFonts w:hint="eastAsia"/>
        </w:rPr>
        <w:t>积</w:t>
      </w:r>
      <w:r>
        <w:t>2316.4平方公里。</w:t>
      </w:r>
    </w:p>
    <w:p w14:paraId="1D64F9AF">
      <w:pPr>
        <w:pStyle w:val="4"/>
        <w:bidi w:val="0"/>
        <w:rPr>
          <w:rFonts w:hint="eastAsia"/>
        </w:rPr>
      </w:pPr>
      <w:r>
        <w:rPr>
          <w:rFonts w:hint="eastAsia"/>
        </w:rPr>
        <w:t>【建置沿革】</w:t>
      </w:r>
    </w:p>
    <w:p w14:paraId="4B63A3C8">
      <w:pPr>
        <w:rPr>
          <w:rFonts w:hint="eastAsia"/>
        </w:rPr>
      </w:pPr>
      <w:r>
        <w:rPr>
          <w:rFonts w:hint="eastAsia"/>
        </w:rPr>
        <w:t>南雄地域，春秋为百越地，战国属楚，秦属南海郡，两汉为南野县，属豫章郡。东汉顺帝建康时属桂阳郡之曲江县。三国孙吴时南野县属庐陵郡，吴景帝永安六年（</w:t>
      </w:r>
      <w:r>
        <w:t>263年）分南野置始</w:t>
      </w:r>
      <w:r>
        <w:rPr>
          <w:rFonts w:hint="eastAsia"/>
        </w:rPr>
        <w:t>兴县，南雄地属之。吴末帝甘露元年（</w:t>
      </w:r>
      <w:r>
        <w:t>265年）分</w:t>
      </w:r>
      <w:r>
        <w:rPr>
          <w:rFonts w:hint="eastAsia"/>
        </w:rPr>
        <w:t>始兴置斜阶县，南雄地属之，隶于始兴郡。晋废斜阶复南野，改属庐陵郡。南朝宋因之，齐复置令阶县，梁复置安远县，均辖南雄地。陈改安远县为安远郡，隶属东衡州，即韶州。隋废诸郡，改安远为大庾县，隶于广州总管府。旋废大庾入始兴。大业三年（</w:t>
      </w:r>
      <w:r>
        <w:t>607年）属南海郡，唐武德四年（621年）</w:t>
      </w:r>
      <w:r>
        <w:rPr>
          <w:rFonts w:hint="eastAsia"/>
        </w:rPr>
        <w:t>属番州，不久更名为东衡州。贞观元年（</w:t>
      </w:r>
      <w:r>
        <w:t>627年）</w:t>
      </w:r>
      <w:r>
        <w:rPr>
          <w:rFonts w:hint="eastAsia"/>
        </w:rPr>
        <w:t>改为韶州。光宅元年（</w:t>
      </w:r>
      <w:r>
        <w:t>684年）划始兴县的化南</w:t>
      </w:r>
      <w:r>
        <w:rPr>
          <w:rFonts w:hint="eastAsia"/>
        </w:rPr>
        <w:t>横山两乡置浈昌县，因境内浈、昌二水而取名。县治设在今雄州。</w:t>
      </w:r>
    </w:p>
    <w:p w14:paraId="22FFE380">
      <w:pPr>
        <w:rPr>
          <w:rFonts w:hint="eastAsia"/>
          <w:lang w:val="en-US" w:eastAsia="zh-CN"/>
        </w:rPr>
      </w:pPr>
      <w:r>
        <w:rPr>
          <w:rFonts w:hint="eastAsia"/>
        </w:rPr>
        <w:t>南汉乾亨四年（</w:t>
      </w:r>
      <w:r>
        <w:t>920年）在浈昌县置雄州，辖</w:t>
      </w:r>
      <w:r>
        <w:rPr>
          <w:rFonts w:hint="eastAsia"/>
        </w:rPr>
        <w:t>浈昌、始兴两县。宋开宝四年（</w:t>
      </w:r>
      <w:r>
        <w:t>971年）改雄州为</w:t>
      </w:r>
      <w:r>
        <w:rPr>
          <w:rFonts w:hint="eastAsia"/>
        </w:rPr>
        <w:t>南雄州，与河北雄州别，属广南东路。天圣元年（</w:t>
      </w:r>
      <w:r>
        <w:t>1023年）因避仁宗赵祯讳，改浈昌为保昌。宣和</w:t>
      </w:r>
      <w:r>
        <w:rPr>
          <w:rFonts w:hint="eastAsia"/>
          <w:lang w:val="en-US" w:eastAsia="zh-CN"/>
        </w:rPr>
        <w:t>二</w:t>
      </w:r>
      <w:r>
        <w:rPr>
          <w:rFonts w:hint="eastAsia"/>
        </w:rPr>
        <w:t>年（</w:t>
      </w:r>
      <w:r>
        <w:t>1120年）赐保昌为郡。元至元十五年</w:t>
      </w:r>
      <w:r>
        <w:rPr>
          <w:rFonts w:hint="eastAsia"/>
        </w:rPr>
        <w:t>（</w:t>
      </w:r>
      <w:r>
        <w:t>1278年）改南雄州为南雄路，领保昌、始兴两</w:t>
      </w:r>
      <w:r>
        <w:rPr>
          <w:rFonts w:hint="eastAsia"/>
        </w:rPr>
        <w:t>县。明洪武元年（</w:t>
      </w:r>
      <w:r>
        <w:t>1368年）改路为府，辖保昌</w:t>
      </w:r>
      <w:r>
        <w:rPr>
          <w:rFonts w:hint="eastAsia"/>
          <w:lang w:eastAsia="zh-CN"/>
        </w:rPr>
        <w:t>、</w:t>
      </w:r>
      <w:r>
        <w:rPr>
          <w:rFonts w:hint="eastAsia"/>
        </w:rPr>
        <w:t>始兴两县，属广东道。洪武二年改行中书省，九年改行省为承宣布政使司，南雄府属相随。清嘉庆十二年（</w:t>
      </w:r>
      <w:r>
        <w:t>1807年）改府为直隶南雄州，直隶广东布</w:t>
      </w:r>
      <w:r>
        <w:rPr>
          <w:rFonts w:hint="eastAsia"/>
        </w:rPr>
        <w:t>政使司，裁去保昌县，领始兴一县。嘉庆十六年复升为府，次年又降为直隶州，直至清</w:t>
      </w:r>
      <w:r>
        <w:rPr>
          <w:rFonts w:hint="eastAsia"/>
          <w:lang w:val="en-US" w:eastAsia="zh-CN"/>
        </w:rPr>
        <w:t>末。</w:t>
      </w:r>
    </w:p>
    <w:p w14:paraId="3A5B72C4">
      <w:r>
        <w:rPr>
          <w:rFonts w:hint="eastAsia"/>
        </w:rPr>
        <w:t>民国开始，改南雄州为南雄县，隶属广东省。中华人民共和国建立后，沿袭不变。</w:t>
      </w:r>
      <w:r>
        <w:t>1958年12月，</w:t>
      </w:r>
      <w:r>
        <w:rPr>
          <w:rFonts w:hint="eastAsia"/>
        </w:rPr>
        <w:t>南雄县与始兴县合并称南雄县，</w:t>
      </w:r>
      <w:r>
        <w:t>1960年10月复分</w:t>
      </w:r>
      <w:r>
        <w:rPr>
          <w:rFonts w:hint="eastAsia"/>
        </w:rPr>
        <w:t>为南雄县、始兴县，隶属广东省韶关专员公署</w:t>
      </w:r>
      <w:r>
        <w:rPr>
          <w:rFonts w:hint="eastAsia"/>
          <w:lang w:eastAsia="zh-CN"/>
        </w:rPr>
        <w:t>。</w:t>
      </w:r>
      <w:r>
        <w:t>1982年6月实行市管县体制后，隶属韶关市。1996</w:t>
      </w:r>
      <w:r>
        <w:rPr>
          <w:rFonts w:hint="eastAsia"/>
        </w:rPr>
        <w:t>年</w:t>
      </w:r>
      <w:r>
        <w:t>6月，撤县设市（县级），由韶关市代管。</w:t>
      </w:r>
    </w:p>
    <w:p w14:paraId="71872C6C">
      <w:pPr>
        <w:pStyle w:val="4"/>
        <w:bidi w:val="0"/>
        <w:rPr>
          <w:rFonts w:hint="eastAsia"/>
        </w:rPr>
      </w:pPr>
      <w:r>
        <w:rPr>
          <w:rFonts w:hint="eastAsia"/>
        </w:rPr>
        <w:t>【地形地貌】</w:t>
      </w:r>
    </w:p>
    <w:p w14:paraId="4498A5E8">
      <w:pPr>
        <w:rPr>
          <w:rFonts w:hint="eastAsia"/>
        </w:rPr>
      </w:pPr>
      <w:r>
        <w:rPr>
          <w:rFonts w:hint="eastAsia"/>
        </w:rPr>
        <w:t>市境地质属燕山期花岗岩体及寒武纪震</w:t>
      </w:r>
      <w:r>
        <w:rPr>
          <w:rFonts w:hint="eastAsia"/>
          <w:lang w:val="en-US" w:eastAsia="zh-CN"/>
        </w:rPr>
        <w:t>旦</w:t>
      </w:r>
      <w:r>
        <w:rPr>
          <w:rFonts w:hint="eastAsia"/>
        </w:rPr>
        <w:t>纪变质岩体。中部盆地在</w:t>
      </w:r>
      <w:r>
        <w:t>2亿年前是个大淡</w:t>
      </w:r>
      <w:r>
        <w:rPr>
          <w:rFonts w:hint="eastAsia"/>
        </w:rPr>
        <w:t>水湖，</w:t>
      </w:r>
      <w:r>
        <w:t>7000万年前干涸成陆地，属中生代白垩纪紫</w:t>
      </w:r>
      <w:r>
        <w:rPr>
          <w:rFonts w:hint="eastAsia"/>
        </w:rPr>
        <w:t>色砂页岩体。在紫色砂页岩上面间或分布有新生代第四纪卵石层和网纹状红土，在盆地周围与低山丘陵之间或分布有老第三纪红色岩系。</w:t>
      </w:r>
    </w:p>
    <w:p w14:paraId="75D77E80">
      <w:r>
        <w:rPr>
          <w:rFonts w:hint="eastAsia"/>
        </w:rPr>
        <w:t>南雄地处大庾岭南麓，北宽南狭，南北两面群山连绵，中部盆地丘陵起伏。古来对南北山区称之为“南山”、“北山”。南山自西南向东北延伸，以青</w:t>
      </w:r>
      <w:r>
        <w:rPr>
          <w:rFonts w:hint="eastAsia"/>
          <w:lang w:val="en-US" w:eastAsia="zh-CN"/>
        </w:rPr>
        <w:t>嶂</w:t>
      </w:r>
      <w:r>
        <w:rPr>
          <w:rFonts w:hint="eastAsia"/>
        </w:rPr>
        <w:t>山为主峰，海拔</w:t>
      </w:r>
      <w:r>
        <w:t>917米，西南行有高峰（海拔840米）、寨顶埂、山角寨（海拔858米）等山岭；</w:t>
      </w:r>
      <w:r>
        <w:rPr>
          <w:rFonts w:hint="eastAsia"/>
        </w:rPr>
        <w:t>东北走有目龙埂、鸦子寨（海拔</w:t>
      </w:r>
      <w:r>
        <w:t>872米）、龙王脑</w:t>
      </w:r>
      <w:r>
        <w:rPr>
          <w:rFonts w:hint="eastAsia"/>
        </w:rPr>
        <w:t>（海拔</w:t>
      </w:r>
      <w:r>
        <w:t>616米）、猪头寨（海拔592）、洪泰山（海</w:t>
      </w:r>
      <w:r>
        <w:rPr>
          <w:rFonts w:hint="eastAsia"/>
        </w:rPr>
        <w:t>拔</w:t>
      </w:r>
      <w:r>
        <w:t>716米）等山岭，南行有王石寨（海拔761人）</w:t>
      </w:r>
      <w:r>
        <w:rPr>
          <w:rFonts w:hint="eastAsia"/>
        </w:rPr>
        <w:t>等山岭。北山由西南向东北伸展，以观音栋、帽子峰、油山为主峰。观音栋海拔</w:t>
      </w:r>
      <w:r>
        <w:t>1429米，为全市最</w:t>
      </w:r>
      <w:r>
        <w:rPr>
          <w:rFonts w:hint="eastAsia"/>
        </w:rPr>
        <w:t>高峰，东有老殿顶（海拔</w:t>
      </w:r>
      <w:r>
        <w:t>1395米）、龙华山（海拔1224米），北有白沙髻（海拔1342米）、盘墙虎</w:t>
      </w:r>
      <w:r>
        <w:rPr>
          <w:rFonts w:hint="eastAsia"/>
        </w:rPr>
        <w:t>（海拔</w:t>
      </w:r>
      <w:r>
        <w:t>1262米），西有粑子岭（海拔1190米）、花</w:t>
      </w:r>
      <w:r>
        <w:rPr>
          <w:rFonts w:hint="eastAsia"/>
        </w:rPr>
        <w:t>髻脑（海拔</w:t>
      </w:r>
      <w:r>
        <w:t>971米）等山岭。帽子峰海拔1058米，</w:t>
      </w:r>
      <w:r>
        <w:rPr>
          <w:rFonts w:hint="eastAsia"/>
        </w:rPr>
        <w:t>东南行有中岭（海拔</w:t>
      </w:r>
      <w:r>
        <w:t>902米）、巾子岭（海拔824</w:t>
      </w:r>
      <w:r>
        <w:rPr>
          <w:rFonts w:hint="eastAsia"/>
        </w:rPr>
        <w:t>米）、亚机（海拔</w:t>
      </w:r>
      <w:r>
        <w:t>875米）等山岭，西行有五峰山</w:t>
      </w:r>
      <w:r>
        <w:rPr>
          <w:rFonts w:hint="eastAsia"/>
        </w:rPr>
        <w:t>（海拔</w:t>
      </w:r>
      <w:r>
        <w:t>1224米）、俚木山（海拔1045米）、南山</w:t>
      </w:r>
      <w:r>
        <w:rPr>
          <w:rFonts w:hint="eastAsia"/>
        </w:rPr>
        <w:t>（海拔</w:t>
      </w:r>
      <w:r>
        <w:t>1303米）、云前脑（海拔1131米）、月岭寨</w:t>
      </w:r>
      <w:r>
        <w:rPr>
          <w:rFonts w:hint="eastAsia"/>
        </w:rPr>
        <w:t>（海拔</w:t>
      </w:r>
      <w:r>
        <w:t>1010米）等山岭。油山海拔1073米，东行</w:t>
      </w:r>
      <w:r>
        <w:rPr>
          <w:rFonts w:hint="eastAsia"/>
        </w:rPr>
        <w:t>有穆公寨（海拔</w:t>
      </w:r>
      <w:r>
        <w:t>789米），南行有西厢寨（海拔965米）、琵琶寨（海拔938米），西行有梅岭、仙</w:t>
      </w:r>
      <w:r>
        <w:rPr>
          <w:rFonts w:hint="eastAsia"/>
        </w:rPr>
        <w:t>人岭（海拔</w:t>
      </w:r>
      <w:r>
        <w:t>756米）等山岭。</w:t>
      </w:r>
    </w:p>
    <w:p w14:paraId="7761AB5D">
      <w:pPr>
        <w:rPr>
          <w:rFonts w:hint="eastAsia"/>
        </w:rPr>
      </w:pPr>
      <w:r>
        <w:rPr>
          <w:rFonts w:hint="eastAsia"/>
        </w:rPr>
        <w:t>南雄市地貌独特，按地势可分三个层次，高层形似驼峰，海拔多在</w:t>
      </w:r>
      <w:r>
        <w:t>1000米以上，约占山地总面</w:t>
      </w:r>
      <w:r>
        <w:rPr>
          <w:rFonts w:hint="eastAsia"/>
        </w:rPr>
        <w:t>积的</w:t>
      </w:r>
      <w:r>
        <w:t>6%；中层山峰连绵，海拔600米左右，约占</w:t>
      </w:r>
      <w:r>
        <w:rPr>
          <w:rFonts w:hint="eastAsia"/>
        </w:rPr>
        <w:t>山地总面积的</w:t>
      </w:r>
      <w:r>
        <w:t>24%；底层（山座）海拔200米</w:t>
      </w:r>
      <w:r>
        <w:rPr>
          <w:rFonts w:hint="eastAsia"/>
          <w:lang w:val="en-US" w:eastAsia="zh-CN"/>
        </w:rPr>
        <w:t>~</w:t>
      </w:r>
      <w:r>
        <w:t>600米，约占山地总面积的30%；基座庞大，约占</w:t>
      </w:r>
      <w:r>
        <w:rPr>
          <w:rFonts w:hint="eastAsia"/>
        </w:rPr>
        <w:t>山地总面积的</w:t>
      </w:r>
      <w:r>
        <w:t>40%。南北山地均以40度以上倾角</w:t>
      </w:r>
      <w:r>
        <w:rPr>
          <w:rFonts w:hint="eastAsia"/>
        </w:rPr>
        <w:t>向盆地倾斜。东西向则倾斜平缓，倾角一般</w:t>
      </w:r>
      <w:r>
        <w:t>10°</w:t>
      </w:r>
      <w:r>
        <w:rPr>
          <w:rFonts w:hint="eastAsia"/>
          <w:lang w:val="en-US" w:eastAsia="zh-CN"/>
        </w:rPr>
        <w:t>~</w:t>
      </w:r>
      <w:r>
        <w:t>20°。中部丘陵自东北向西南沿浈江两岸伸展，浈</w:t>
      </w:r>
      <w:r>
        <w:rPr>
          <w:rFonts w:hint="eastAsia"/>
        </w:rPr>
        <w:t>江斜贯其中，形成一狭长大盆地，地质学称之为“南雄盆地”。</w:t>
      </w:r>
    </w:p>
    <w:p w14:paraId="46960CAD">
      <w:pPr>
        <w:pStyle w:val="4"/>
        <w:bidi w:val="0"/>
        <w:rPr>
          <w:rFonts w:hint="eastAsia"/>
        </w:rPr>
      </w:pPr>
      <w:r>
        <w:rPr>
          <w:rFonts w:hint="eastAsia"/>
        </w:rPr>
        <w:t>【气候水文】</w:t>
      </w:r>
    </w:p>
    <w:p w14:paraId="248F7AF1">
      <w:r>
        <w:rPr>
          <w:rFonts w:hint="eastAsia"/>
        </w:rPr>
        <w:t>南雄属中亚热带湿润型季风气候区，冬季盛行东北季风，夏季盛行西南和东南季风。四季特点为：春季阴雨连绵，秋季降水偏少，冬季寒冷，夏季偏热。</w:t>
      </w:r>
      <w:r>
        <w:t>2013年平均气温20.2℃，比历年平</w:t>
      </w:r>
      <w:r>
        <w:rPr>
          <w:rFonts w:hint="eastAsia"/>
        </w:rPr>
        <w:t>均偏高</w:t>
      </w:r>
      <w:r>
        <w:t>0.3℃，最高气温38.9℃，最低气温</w:t>
      </w:r>
      <w:r>
        <w:rPr>
          <w:rFonts w:hint="eastAsia"/>
          <w:lang w:val="en-US" w:eastAsia="zh-CN"/>
        </w:rPr>
        <w:t>-</w:t>
      </w:r>
      <w:r>
        <w:t>2</w:t>
      </w:r>
      <w:r>
        <w:rPr>
          <w:rFonts w:hint="eastAsia"/>
          <w:lang w:val="en-US" w:eastAsia="zh-CN"/>
        </w:rPr>
        <w:t>.</w:t>
      </w:r>
      <w:r>
        <w:t>1℃，</w:t>
      </w:r>
      <w:r>
        <w:rPr>
          <w:rFonts w:hint="eastAsia"/>
        </w:rPr>
        <w:t>年降雨量</w:t>
      </w:r>
      <w:r>
        <w:t>1358.8毫米，比历年偏少139.3毫米，年</w:t>
      </w:r>
      <w:r>
        <w:rPr>
          <w:rFonts w:hint="eastAsia"/>
        </w:rPr>
        <w:t>日照时数</w:t>
      </w:r>
      <w:r>
        <w:t>1716.6小时，比历年偏多94.1小时。5</w:t>
      </w:r>
      <w:r>
        <w:rPr>
          <w:rFonts w:hint="eastAsia"/>
        </w:rPr>
        <w:t>月</w:t>
      </w:r>
      <w:r>
        <w:t>18日，受西南暖湿气流和高空槽及弱冷空气的</w:t>
      </w:r>
      <w:r>
        <w:rPr>
          <w:rFonts w:hint="eastAsia"/>
        </w:rPr>
        <w:t>共同影响，局部地区出现冰雹、雷雨大风等强对流天气，冰雹直径</w:t>
      </w:r>
      <w:r>
        <w:t>20-30毫米，降冰雹时间持续3</w:t>
      </w:r>
      <w:r>
        <w:rPr>
          <w:rFonts w:hint="eastAsia"/>
        </w:rPr>
        <w:t>分钟</w:t>
      </w:r>
      <w:r>
        <w:rPr>
          <w:rFonts w:hint="eastAsia"/>
          <w:lang w:eastAsia="zh-CN"/>
        </w:rPr>
        <w:t>。</w:t>
      </w:r>
      <w:r>
        <w:rPr>
          <w:rFonts w:hint="eastAsia"/>
        </w:rPr>
        <w:t>境内河道属珠江流域，主要河道有一级河浈江</w:t>
      </w:r>
      <w:r>
        <w:rPr>
          <w:rFonts w:hint="eastAsia"/>
          <w:lang w:val="en-US" w:eastAsia="zh-CN"/>
        </w:rPr>
        <w:t>一</w:t>
      </w:r>
      <w:r>
        <w:rPr>
          <w:rFonts w:hint="eastAsia"/>
        </w:rPr>
        <w:t>条，总长</w:t>
      </w:r>
      <w:r>
        <w:t>96.3千米；二级河道凌江、南山水、</w:t>
      </w:r>
      <w:r>
        <w:rPr>
          <w:rFonts w:hint="eastAsia"/>
        </w:rPr>
        <w:t>瀑布水、新龙水、江头水、大坪水、大源水、黄坑水、邓坊水、下洞水、宝江水、南亩水等</w:t>
      </w:r>
      <w:r>
        <w:t>12条，</w:t>
      </w:r>
      <w:r>
        <w:rPr>
          <w:rFonts w:hint="eastAsia"/>
        </w:rPr>
        <w:t>总长</w:t>
      </w:r>
      <w:r>
        <w:t>356.7千米，河网密度5.21千米</w:t>
      </w:r>
      <w:r>
        <w:rPr>
          <w:rFonts w:hint="eastAsia"/>
          <w:lang w:val="en-US" w:eastAsia="zh-CN"/>
        </w:rPr>
        <w:t>/</w:t>
      </w:r>
      <w:r>
        <w:t>平方千米，</w:t>
      </w:r>
      <w:r>
        <w:rPr>
          <w:rFonts w:hint="eastAsia"/>
        </w:rPr>
        <w:t>径流总量</w:t>
      </w:r>
      <w:r>
        <w:t>18.333亿立方米。</w:t>
      </w:r>
    </w:p>
    <w:p w14:paraId="257E1DAE">
      <w:pPr>
        <w:rPr>
          <w:rFonts w:hint="eastAsia"/>
        </w:rPr>
      </w:pPr>
      <w:r>
        <w:t>境内最大的河流为浈</w:t>
      </w:r>
      <w:r>
        <w:rPr>
          <w:rFonts w:hint="eastAsia"/>
          <w:lang w:val="en-US" w:eastAsia="zh-CN"/>
        </w:rPr>
        <w:t>江</w:t>
      </w:r>
      <w:r>
        <w:rPr>
          <w:rFonts w:hint="eastAsia"/>
        </w:rPr>
        <w:t>，从孔江水库至古市镇小水流经境内，长</w:t>
      </w:r>
      <w:r>
        <w:t>96.3</w:t>
      </w:r>
      <w:r>
        <w:rPr>
          <w:rFonts w:hint="eastAsia"/>
        </w:rPr>
        <w:t>千米，流域面积</w:t>
      </w:r>
      <w:r>
        <w:t>1765平方千米，年均流量43.53立</w:t>
      </w:r>
      <w:r>
        <w:rPr>
          <w:rFonts w:hint="eastAsia"/>
        </w:rPr>
        <w:t>方米</w:t>
      </w:r>
      <w:r>
        <w:t>/秒，主要支流有凌江、南山水、瀑布水、新</w:t>
      </w:r>
      <w:r>
        <w:rPr>
          <w:rFonts w:hint="eastAsia"/>
        </w:rPr>
        <w:t>龙水、江头水、大坪水、大源水、黄坑水、邓坊水、下洞水、宝江水、南亩水等。</w:t>
      </w:r>
    </w:p>
    <w:p w14:paraId="10A5B2EE">
      <w:pPr>
        <w:pStyle w:val="4"/>
        <w:bidi w:val="0"/>
        <w:rPr>
          <w:rFonts w:hint="eastAsia"/>
        </w:rPr>
      </w:pPr>
      <w:r>
        <w:rPr>
          <w:rFonts w:hint="eastAsia"/>
        </w:rPr>
        <w:t>【行政区划】</w:t>
      </w:r>
    </w:p>
    <w:p w14:paraId="6E712BDF">
      <w:r>
        <w:rPr>
          <w:rFonts w:hint="eastAsia"/>
        </w:rPr>
        <w:t>南雄市有</w:t>
      </w:r>
      <w:r>
        <w:t>17个镇和1个街道办事</w:t>
      </w:r>
      <w:r>
        <w:rPr>
          <w:rFonts w:hint="eastAsia"/>
        </w:rPr>
        <w:t>处，</w:t>
      </w:r>
      <w:r>
        <w:t>17个镇为：乌迳镇、黄坑镇、水口镇、湖口</w:t>
      </w:r>
      <w:r>
        <w:rPr>
          <w:rFonts w:hint="eastAsia"/>
        </w:rPr>
        <w:t>镇、珠玑镇、界址镇、百顺镇、澜河镇、古市镇、坪田镇、邓坊镇、主田镇、油山镇、南亩镇、江头镇、全安镇、帽子峰镇；</w:t>
      </w:r>
      <w:r>
        <w:t>1个街道办事处为雄州街</w:t>
      </w:r>
      <w:r>
        <w:rPr>
          <w:rFonts w:hint="eastAsia"/>
        </w:rPr>
        <w:t>道办事处；全市有</w:t>
      </w:r>
      <w:r>
        <w:t>208个村委会、24个居委会。</w:t>
      </w:r>
    </w:p>
    <w:p w14:paraId="2DC63F66">
      <w:pPr>
        <w:rPr>
          <w:rFonts w:hint="eastAsia"/>
          <w:lang w:eastAsia="zh-CN"/>
        </w:rPr>
      </w:pPr>
      <w:r>
        <w:rPr>
          <w:rFonts w:hint="eastAsia"/>
        </w:rPr>
        <w:t>各镇（街道）的村（居）委会名称表</w:t>
      </w:r>
      <w:r>
        <w:rPr>
          <w:rFonts w:hint="eastAsia"/>
          <w:lang w:eastAsia="zh-CN"/>
        </w:rPr>
        <w:t>：</w:t>
      </w:r>
    </w:p>
    <w:p w14:paraId="0DB344B5">
      <w:pPr>
        <w:pStyle w:val="10"/>
        <w:bidi w:val="0"/>
        <w:jc w:val="center"/>
        <w:rPr>
          <w:rFonts w:hint="eastAsia"/>
          <w:b/>
          <w:bCs/>
        </w:rPr>
      </w:pPr>
      <w:r>
        <w:rPr>
          <w:rFonts w:hint="eastAsia"/>
          <w:b/>
          <w:bCs/>
        </w:rPr>
        <w:t>南雄市各镇（街道）村（居）委会名称</w:t>
      </w:r>
    </w:p>
    <w:p w14:paraId="4E98EED7">
      <w:pPr>
        <w:bidi w:val="0"/>
        <w:rPr>
          <w:rFonts w:hint="eastAsia"/>
        </w:rPr>
      </w:pPr>
      <w:r>
        <w:rPr>
          <w:rFonts w:hint="eastAsia"/>
        </w:rPr>
        <w:t>表1</w:t>
      </w:r>
    </w:p>
    <w:tbl>
      <w:tblPr>
        <w:tblStyle w:val="7"/>
        <w:tblW w:w="4998" w:type="pct"/>
        <w:jc w:val="center"/>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108" w:type="dxa"/>
          <w:bottom w:w="0" w:type="dxa"/>
          <w:right w:w="108" w:type="dxa"/>
        </w:tblCellMar>
      </w:tblPr>
      <w:tblGrid>
        <w:gridCol w:w="1341"/>
        <w:gridCol w:w="5480"/>
        <w:gridCol w:w="3137"/>
      </w:tblGrid>
      <w:tr w14:paraId="0FC443B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615" w:hRule="atLeast"/>
          <w:jc w:val="center"/>
        </w:trPr>
        <w:tc>
          <w:tcPr>
            <w:tcW w:w="673" w:type="pct"/>
            <w:tcBorders>
              <w:top w:val="single" w:color="000000" w:sz="8" w:space="0"/>
              <w:bottom w:val="single" w:color="000000" w:sz="8" w:space="0"/>
              <w:right w:val="single" w:color="000000" w:sz="8" w:space="0"/>
            </w:tcBorders>
            <w:shd w:val="clear" w:color="auto" w:fill="FFFFFF"/>
            <w:noWrap w:val="0"/>
            <w:vAlign w:val="center"/>
          </w:tcPr>
          <w:p w14:paraId="335E9A08">
            <w:pPr>
              <w:pStyle w:val="10"/>
              <w:bidi w:val="0"/>
              <w:jc w:val="center"/>
              <w:rPr>
                <w:b/>
                <w:bCs/>
                <w:color w:val="000000"/>
              </w:rPr>
            </w:pPr>
            <w:r>
              <w:rPr>
                <w:rFonts w:hint="eastAsia"/>
                <w:b/>
                <w:bCs/>
                <w:color w:val="000000"/>
              </w:rPr>
              <w:t>镇（街道）</w:t>
            </w:r>
          </w:p>
        </w:tc>
        <w:tc>
          <w:tcPr>
            <w:tcW w:w="275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53F5CCF">
            <w:pPr>
              <w:pStyle w:val="10"/>
              <w:bidi w:val="0"/>
              <w:jc w:val="center"/>
              <w:rPr>
                <w:b/>
                <w:bCs/>
                <w:color w:val="000000"/>
              </w:rPr>
            </w:pPr>
            <w:r>
              <w:rPr>
                <w:rFonts w:hint="eastAsia"/>
                <w:b/>
                <w:bCs/>
                <w:color w:val="000000"/>
              </w:rPr>
              <w:t>村委会</w:t>
            </w:r>
          </w:p>
        </w:tc>
        <w:tc>
          <w:tcPr>
            <w:tcW w:w="1575" w:type="pct"/>
            <w:tcBorders>
              <w:top w:val="single" w:color="000000" w:sz="8" w:space="0"/>
              <w:left w:val="single" w:color="000000" w:sz="8" w:space="0"/>
              <w:bottom w:val="single" w:color="000000" w:sz="8" w:space="0"/>
            </w:tcBorders>
            <w:shd w:val="clear" w:color="auto" w:fill="FFFFFF"/>
            <w:noWrap w:val="0"/>
            <w:vAlign w:val="center"/>
          </w:tcPr>
          <w:p w14:paraId="091B820E">
            <w:pPr>
              <w:pStyle w:val="10"/>
              <w:bidi w:val="0"/>
              <w:jc w:val="center"/>
              <w:rPr>
                <w:b/>
                <w:bCs/>
                <w:color w:val="000000"/>
              </w:rPr>
            </w:pPr>
            <w:r>
              <w:rPr>
                <w:rFonts w:hint="eastAsia"/>
                <w:b/>
                <w:bCs/>
                <w:color w:val="000000"/>
              </w:rPr>
              <w:t>居委会</w:t>
            </w:r>
          </w:p>
        </w:tc>
      </w:tr>
      <w:tr w14:paraId="546C553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465" w:hRule="atLeast"/>
          <w:jc w:val="center"/>
        </w:trPr>
        <w:tc>
          <w:tcPr>
            <w:tcW w:w="673" w:type="pct"/>
            <w:tcBorders>
              <w:top w:val="single" w:color="000000" w:sz="8" w:space="0"/>
              <w:bottom w:val="single" w:color="000000" w:sz="8" w:space="0"/>
              <w:right w:val="single" w:color="000000" w:sz="8" w:space="0"/>
            </w:tcBorders>
            <w:shd w:val="clear" w:color="auto" w:fill="FFFFFF"/>
            <w:noWrap w:val="0"/>
            <w:vAlign w:val="center"/>
          </w:tcPr>
          <w:p w14:paraId="7081D7D3">
            <w:pPr>
              <w:pStyle w:val="10"/>
              <w:bidi w:val="0"/>
              <w:jc w:val="center"/>
              <w:rPr>
                <w:color w:val="000000"/>
              </w:rPr>
            </w:pPr>
            <w:r>
              <w:rPr>
                <w:rFonts w:hint="eastAsia"/>
                <w:color w:val="000000"/>
              </w:rPr>
              <w:t>雄州街道</w:t>
            </w:r>
          </w:p>
        </w:tc>
        <w:tc>
          <w:tcPr>
            <w:tcW w:w="275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F6A6F34">
            <w:pPr>
              <w:pStyle w:val="10"/>
              <w:bidi w:val="0"/>
              <w:jc w:val="both"/>
              <w:rPr>
                <w:color w:val="000000"/>
              </w:rPr>
            </w:pPr>
            <w:r>
              <w:rPr>
                <w:rFonts w:hint="eastAsia"/>
                <w:color w:val="000000"/>
              </w:rPr>
              <w:t>河南、郊区、莲塘、铺背、水南、黎口、观新、荆岗、勋口、上坪、下坪、五洲、迳口</w:t>
            </w:r>
          </w:p>
        </w:tc>
        <w:tc>
          <w:tcPr>
            <w:tcW w:w="1575" w:type="pct"/>
            <w:tcBorders>
              <w:top w:val="single" w:color="000000" w:sz="8" w:space="0"/>
              <w:left w:val="single" w:color="000000" w:sz="8" w:space="0"/>
              <w:bottom w:val="single" w:color="000000" w:sz="8" w:space="0"/>
            </w:tcBorders>
            <w:shd w:val="clear" w:color="auto" w:fill="FFFFFF"/>
            <w:noWrap w:val="0"/>
            <w:vAlign w:val="center"/>
          </w:tcPr>
          <w:p w14:paraId="45813D34">
            <w:pPr>
              <w:pStyle w:val="10"/>
              <w:bidi w:val="0"/>
              <w:jc w:val="center"/>
              <w:rPr>
                <w:color w:val="000000"/>
              </w:rPr>
            </w:pPr>
            <w:r>
              <w:rPr>
                <w:rFonts w:hint="eastAsia"/>
                <w:color w:val="000000"/>
              </w:rPr>
              <w:t>八一街、新城东、建国街、民主街、胜利街、幸福街、新城西</w:t>
            </w:r>
          </w:p>
        </w:tc>
      </w:tr>
      <w:tr w14:paraId="746C73C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585" w:hRule="atLeast"/>
          <w:jc w:val="center"/>
        </w:trPr>
        <w:tc>
          <w:tcPr>
            <w:tcW w:w="673" w:type="pct"/>
            <w:tcBorders>
              <w:top w:val="single" w:color="000000" w:sz="8" w:space="0"/>
              <w:bottom w:val="single" w:color="000000" w:sz="8" w:space="0"/>
              <w:right w:val="single" w:color="000000" w:sz="8" w:space="0"/>
            </w:tcBorders>
            <w:shd w:val="clear" w:color="auto" w:fill="FFFFFF"/>
            <w:noWrap w:val="0"/>
            <w:vAlign w:val="center"/>
          </w:tcPr>
          <w:p w14:paraId="0D12AE2D">
            <w:pPr>
              <w:pStyle w:val="10"/>
              <w:bidi w:val="0"/>
              <w:jc w:val="center"/>
              <w:rPr>
                <w:color w:val="000000"/>
              </w:rPr>
            </w:pPr>
            <w:r>
              <w:rPr>
                <w:rFonts w:hint="eastAsia"/>
                <w:color w:val="000000"/>
              </w:rPr>
              <w:t>乌迳镇</w:t>
            </w:r>
          </w:p>
        </w:tc>
        <w:tc>
          <w:tcPr>
            <w:tcW w:w="275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367CF0E">
            <w:pPr>
              <w:pStyle w:val="10"/>
              <w:bidi w:val="0"/>
              <w:jc w:val="both"/>
              <w:rPr>
                <w:color w:val="000000"/>
              </w:rPr>
            </w:pPr>
            <w:r>
              <w:rPr>
                <w:rFonts w:hint="eastAsia"/>
                <w:color w:val="000000"/>
              </w:rPr>
              <w:t>乌迳、山下、鱼塘、新田、高溯、长龙、白龙、坪塘、响联、龙迳、黄塘、官门楼、孔塘、庙前、水松、黄洞、白胜、田心、大竹、孔江、兰丘</w:t>
            </w:r>
          </w:p>
        </w:tc>
        <w:tc>
          <w:tcPr>
            <w:tcW w:w="1575" w:type="pct"/>
            <w:tcBorders>
              <w:top w:val="single" w:color="000000" w:sz="8" w:space="0"/>
              <w:left w:val="single" w:color="000000" w:sz="8" w:space="0"/>
              <w:bottom w:val="single" w:color="000000" w:sz="8" w:space="0"/>
            </w:tcBorders>
            <w:shd w:val="clear" w:color="auto" w:fill="FFFFFF"/>
            <w:noWrap w:val="0"/>
            <w:vAlign w:val="center"/>
          </w:tcPr>
          <w:p w14:paraId="04736D4B">
            <w:pPr>
              <w:pStyle w:val="10"/>
              <w:bidi w:val="0"/>
              <w:jc w:val="center"/>
              <w:rPr>
                <w:color w:val="000000"/>
              </w:rPr>
            </w:pPr>
            <w:r>
              <w:rPr>
                <w:rFonts w:hint="eastAsia"/>
                <w:color w:val="000000"/>
              </w:rPr>
              <w:t>迳新</w:t>
            </w:r>
          </w:p>
        </w:tc>
      </w:tr>
      <w:tr w14:paraId="7F22D81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405" w:hRule="atLeast"/>
          <w:jc w:val="center"/>
        </w:trPr>
        <w:tc>
          <w:tcPr>
            <w:tcW w:w="673" w:type="pct"/>
            <w:tcBorders>
              <w:top w:val="single" w:color="000000" w:sz="8" w:space="0"/>
              <w:bottom w:val="single" w:color="000000" w:sz="8" w:space="0"/>
              <w:right w:val="single" w:color="000000" w:sz="8" w:space="0"/>
            </w:tcBorders>
            <w:shd w:val="clear" w:color="auto" w:fill="FFFFFF"/>
            <w:noWrap w:val="0"/>
            <w:vAlign w:val="center"/>
          </w:tcPr>
          <w:p w14:paraId="17299AB3">
            <w:pPr>
              <w:pStyle w:val="10"/>
              <w:bidi w:val="0"/>
              <w:jc w:val="center"/>
              <w:rPr>
                <w:color w:val="000000"/>
              </w:rPr>
            </w:pPr>
            <w:r>
              <w:rPr>
                <w:rFonts w:hint="eastAsia"/>
                <w:color w:val="000000"/>
              </w:rPr>
              <w:t>界址镇</w:t>
            </w:r>
          </w:p>
        </w:tc>
        <w:tc>
          <w:tcPr>
            <w:tcW w:w="275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9ACA9B4">
            <w:pPr>
              <w:pStyle w:val="10"/>
              <w:bidi w:val="0"/>
              <w:jc w:val="both"/>
              <w:rPr>
                <w:color w:val="000000"/>
              </w:rPr>
            </w:pPr>
            <w:r>
              <w:rPr>
                <w:rFonts w:hint="eastAsia"/>
                <w:color w:val="000000"/>
              </w:rPr>
              <w:t>下屋、崇化、赵屋、界址、百罗、大坊、大坑、马芫</w:t>
            </w:r>
          </w:p>
        </w:tc>
        <w:tc>
          <w:tcPr>
            <w:tcW w:w="1575" w:type="pct"/>
            <w:tcBorders>
              <w:top w:val="single" w:color="000000" w:sz="8" w:space="0"/>
              <w:left w:val="single" w:color="000000" w:sz="8" w:space="0"/>
              <w:bottom w:val="single" w:color="000000" w:sz="8" w:space="0"/>
            </w:tcBorders>
            <w:shd w:val="clear" w:color="auto" w:fill="FFFFFF"/>
            <w:noWrap w:val="0"/>
            <w:vAlign w:val="center"/>
          </w:tcPr>
          <w:p w14:paraId="2456ABF2">
            <w:pPr>
              <w:pStyle w:val="10"/>
              <w:bidi w:val="0"/>
              <w:jc w:val="center"/>
              <w:rPr>
                <w:color w:val="000000"/>
              </w:rPr>
            </w:pPr>
            <w:r>
              <w:rPr>
                <w:rFonts w:hint="eastAsia"/>
                <w:color w:val="000000"/>
              </w:rPr>
              <w:t>界址墟</w:t>
            </w:r>
          </w:p>
        </w:tc>
      </w:tr>
      <w:tr w14:paraId="61173F7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90" w:hRule="atLeast"/>
          <w:jc w:val="center"/>
        </w:trPr>
        <w:tc>
          <w:tcPr>
            <w:tcW w:w="673" w:type="pct"/>
            <w:tcBorders>
              <w:top w:val="single" w:color="000000" w:sz="8" w:space="0"/>
              <w:bottom w:val="single" w:color="000000" w:sz="8" w:space="0"/>
              <w:right w:val="single" w:color="000000" w:sz="8" w:space="0"/>
            </w:tcBorders>
            <w:shd w:val="clear" w:color="auto" w:fill="FFFFFF"/>
            <w:noWrap w:val="0"/>
            <w:vAlign w:val="center"/>
          </w:tcPr>
          <w:p w14:paraId="426E94F2">
            <w:pPr>
              <w:pStyle w:val="10"/>
              <w:bidi w:val="0"/>
              <w:jc w:val="center"/>
              <w:rPr>
                <w:color w:val="000000"/>
              </w:rPr>
            </w:pPr>
            <w:r>
              <w:rPr>
                <w:rFonts w:hint="eastAsia"/>
                <w:color w:val="000000"/>
              </w:rPr>
              <w:t>坪田镇</w:t>
            </w:r>
          </w:p>
        </w:tc>
        <w:tc>
          <w:tcPr>
            <w:tcW w:w="275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AB526E2">
            <w:pPr>
              <w:pStyle w:val="10"/>
              <w:bidi w:val="0"/>
              <w:jc w:val="both"/>
              <w:rPr>
                <w:color w:val="000000"/>
              </w:rPr>
            </w:pPr>
            <w:r>
              <w:rPr>
                <w:rFonts w:hint="eastAsia"/>
                <w:color w:val="000000"/>
              </w:rPr>
              <w:t>坪田、新墟、坪湖、龙头、迳洞、老宅、中坪、长坑、老龙、背迳、龙口、横岭、小塘、官陂</w:t>
            </w:r>
          </w:p>
        </w:tc>
        <w:tc>
          <w:tcPr>
            <w:tcW w:w="1575" w:type="pct"/>
            <w:tcBorders>
              <w:top w:val="single" w:color="000000" w:sz="8" w:space="0"/>
              <w:left w:val="single" w:color="000000" w:sz="8" w:space="0"/>
              <w:bottom w:val="single" w:color="000000" w:sz="8" w:space="0"/>
            </w:tcBorders>
            <w:shd w:val="clear" w:color="auto" w:fill="FFFFFF"/>
            <w:noWrap w:val="0"/>
            <w:vAlign w:val="center"/>
          </w:tcPr>
          <w:p w14:paraId="4BE6794D">
            <w:pPr>
              <w:pStyle w:val="10"/>
              <w:bidi w:val="0"/>
              <w:jc w:val="center"/>
              <w:rPr>
                <w:color w:val="000000"/>
              </w:rPr>
            </w:pPr>
            <w:r>
              <w:rPr>
                <w:rFonts w:hint="eastAsia"/>
                <w:color w:val="000000"/>
              </w:rPr>
              <w:t>坪田</w:t>
            </w:r>
          </w:p>
        </w:tc>
      </w:tr>
      <w:tr w14:paraId="05BBADF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25" w:hRule="atLeast"/>
          <w:jc w:val="center"/>
        </w:trPr>
        <w:tc>
          <w:tcPr>
            <w:tcW w:w="673" w:type="pct"/>
            <w:tcBorders>
              <w:top w:val="single" w:color="000000" w:sz="8" w:space="0"/>
              <w:bottom w:val="single" w:color="000000" w:sz="8" w:space="0"/>
              <w:right w:val="single" w:color="000000" w:sz="8" w:space="0"/>
            </w:tcBorders>
            <w:shd w:val="clear" w:color="auto" w:fill="FFFFFF"/>
            <w:noWrap w:val="0"/>
            <w:vAlign w:val="center"/>
          </w:tcPr>
          <w:p w14:paraId="776EBF09">
            <w:pPr>
              <w:pStyle w:val="10"/>
              <w:bidi w:val="0"/>
              <w:jc w:val="center"/>
              <w:rPr>
                <w:color w:val="000000"/>
              </w:rPr>
            </w:pPr>
            <w:r>
              <w:rPr>
                <w:rFonts w:hint="eastAsia"/>
                <w:color w:val="000000"/>
              </w:rPr>
              <w:t>黄坑镇</w:t>
            </w:r>
          </w:p>
        </w:tc>
        <w:tc>
          <w:tcPr>
            <w:tcW w:w="275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C3D98C5">
            <w:pPr>
              <w:pStyle w:val="10"/>
              <w:bidi w:val="0"/>
              <w:jc w:val="both"/>
              <w:rPr>
                <w:color w:val="000000"/>
              </w:rPr>
            </w:pPr>
            <w:r>
              <w:rPr>
                <w:rFonts w:hint="eastAsia"/>
                <w:color w:val="000000"/>
              </w:rPr>
              <w:t>黄坑、社前、小陂、塘源、溪塘、耶溪、中心、园岭、许村、上象</w:t>
            </w:r>
          </w:p>
        </w:tc>
        <w:tc>
          <w:tcPr>
            <w:tcW w:w="1575" w:type="pct"/>
            <w:tcBorders>
              <w:top w:val="single" w:color="000000" w:sz="8" w:space="0"/>
              <w:left w:val="single" w:color="000000" w:sz="8" w:space="0"/>
              <w:bottom w:val="single" w:color="000000" w:sz="8" w:space="0"/>
            </w:tcBorders>
            <w:shd w:val="clear" w:color="auto" w:fill="FFFFFF"/>
            <w:noWrap w:val="0"/>
            <w:vAlign w:val="center"/>
          </w:tcPr>
          <w:p w14:paraId="5645BF39">
            <w:pPr>
              <w:pStyle w:val="10"/>
              <w:bidi w:val="0"/>
              <w:jc w:val="center"/>
              <w:rPr>
                <w:color w:val="000000"/>
              </w:rPr>
            </w:pPr>
            <w:r>
              <w:rPr>
                <w:rFonts w:hint="eastAsia"/>
                <w:color w:val="000000"/>
              </w:rPr>
              <w:t>黄坑</w:t>
            </w:r>
          </w:p>
        </w:tc>
      </w:tr>
      <w:tr w14:paraId="12866A1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60" w:hRule="atLeast"/>
          <w:jc w:val="center"/>
        </w:trPr>
        <w:tc>
          <w:tcPr>
            <w:tcW w:w="673" w:type="pct"/>
            <w:tcBorders>
              <w:top w:val="single" w:color="000000" w:sz="8" w:space="0"/>
              <w:bottom w:val="single" w:color="000000" w:sz="8" w:space="0"/>
              <w:right w:val="single" w:color="000000" w:sz="8" w:space="0"/>
            </w:tcBorders>
            <w:shd w:val="clear" w:color="auto" w:fill="FFFFFF"/>
            <w:noWrap w:val="0"/>
            <w:vAlign w:val="center"/>
          </w:tcPr>
          <w:p w14:paraId="5DB8E051">
            <w:pPr>
              <w:pStyle w:val="10"/>
              <w:bidi w:val="0"/>
              <w:jc w:val="center"/>
              <w:rPr>
                <w:color w:val="000000"/>
              </w:rPr>
            </w:pPr>
            <w:r>
              <w:rPr>
                <w:rFonts w:hint="eastAsia"/>
                <w:color w:val="000000"/>
              </w:rPr>
              <w:t>邓坊镇</w:t>
            </w:r>
          </w:p>
        </w:tc>
        <w:tc>
          <w:tcPr>
            <w:tcW w:w="275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E4D1D82">
            <w:pPr>
              <w:pStyle w:val="10"/>
              <w:bidi w:val="0"/>
              <w:jc w:val="both"/>
              <w:rPr>
                <w:color w:val="000000"/>
              </w:rPr>
            </w:pPr>
            <w:r>
              <w:rPr>
                <w:rFonts w:hint="eastAsia"/>
                <w:color w:val="000000"/>
              </w:rPr>
              <w:t>邓坊、里源、赤石、洋西、赤马、马战、茶头背、上湖、兰田</w:t>
            </w:r>
          </w:p>
        </w:tc>
        <w:tc>
          <w:tcPr>
            <w:tcW w:w="1575" w:type="pct"/>
            <w:tcBorders>
              <w:top w:val="single" w:color="000000" w:sz="8" w:space="0"/>
              <w:left w:val="single" w:color="000000" w:sz="8" w:space="0"/>
              <w:bottom w:val="single" w:color="000000" w:sz="8" w:space="0"/>
            </w:tcBorders>
            <w:shd w:val="clear" w:color="auto" w:fill="FFFFFF"/>
            <w:noWrap w:val="0"/>
            <w:vAlign w:val="center"/>
          </w:tcPr>
          <w:p w14:paraId="37E749B0">
            <w:pPr>
              <w:pStyle w:val="10"/>
              <w:bidi w:val="0"/>
              <w:jc w:val="center"/>
              <w:rPr>
                <w:color w:val="000000"/>
              </w:rPr>
            </w:pPr>
            <w:r>
              <w:rPr>
                <w:rFonts w:hint="eastAsia"/>
                <w:color w:val="000000"/>
              </w:rPr>
              <w:t>邓坊</w:t>
            </w:r>
          </w:p>
        </w:tc>
      </w:tr>
      <w:tr w14:paraId="339B54A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25" w:hRule="atLeast"/>
          <w:jc w:val="center"/>
        </w:trPr>
        <w:tc>
          <w:tcPr>
            <w:tcW w:w="673" w:type="pct"/>
            <w:tcBorders>
              <w:top w:val="single" w:color="000000" w:sz="8" w:space="0"/>
              <w:bottom w:val="single" w:color="000000" w:sz="8" w:space="0"/>
              <w:right w:val="single" w:color="000000" w:sz="8" w:space="0"/>
            </w:tcBorders>
            <w:shd w:val="clear" w:color="auto" w:fill="FFFFFF"/>
            <w:noWrap w:val="0"/>
            <w:vAlign w:val="center"/>
          </w:tcPr>
          <w:p w14:paraId="47EEF55F">
            <w:pPr>
              <w:pStyle w:val="10"/>
              <w:bidi w:val="0"/>
              <w:jc w:val="center"/>
              <w:rPr>
                <w:color w:val="000000"/>
              </w:rPr>
            </w:pPr>
            <w:r>
              <w:rPr>
                <w:rFonts w:hint="eastAsia"/>
                <w:color w:val="000000"/>
              </w:rPr>
              <w:t>油山镇</w:t>
            </w:r>
          </w:p>
        </w:tc>
        <w:tc>
          <w:tcPr>
            <w:tcW w:w="275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CCE8E0F">
            <w:pPr>
              <w:pStyle w:val="10"/>
              <w:bidi w:val="0"/>
              <w:jc w:val="both"/>
              <w:rPr>
                <w:color w:val="000000"/>
              </w:rPr>
            </w:pPr>
            <w:r>
              <w:rPr>
                <w:rFonts w:hint="eastAsia"/>
                <w:color w:val="000000"/>
              </w:rPr>
              <w:t>坪田坳、莲山、大兰、平林、黄地、爱敬、浆田、上浆、孔村、延村、锦陂、上朔、夹河口、大塘、黄田、下惠、古城</w:t>
            </w:r>
          </w:p>
        </w:tc>
        <w:tc>
          <w:tcPr>
            <w:tcW w:w="1575" w:type="pct"/>
            <w:tcBorders>
              <w:top w:val="single" w:color="000000" w:sz="8" w:space="0"/>
              <w:left w:val="single" w:color="000000" w:sz="8" w:space="0"/>
              <w:bottom w:val="single" w:color="000000" w:sz="8" w:space="0"/>
            </w:tcBorders>
            <w:shd w:val="clear" w:color="auto" w:fill="FFFFFF"/>
            <w:noWrap w:val="0"/>
            <w:vAlign w:val="center"/>
          </w:tcPr>
          <w:p w14:paraId="4DF57ED1">
            <w:pPr>
              <w:pStyle w:val="10"/>
              <w:bidi w:val="0"/>
              <w:jc w:val="center"/>
              <w:rPr>
                <w:color w:val="000000"/>
              </w:rPr>
            </w:pPr>
            <w:r>
              <w:rPr>
                <w:rFonts w:hint="eastAsia"/>
                <w:color w:val="000000"/>
              </w:rPr>
              <w:t>油山</w:t>
            </w:r>
          </w:p>
        </w:tc>
      </w:tr>
      <w:tr w14:paraId="37AF51B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25" w:hRule="atLeast"/>
          <w:jc w:val="center"/>
        </w:trPr>
        <w:tc>
          <w:tcPr>
            <w:tcW w:w="673" w:type="pct"/>
            <w:tcBorders>
              <w:top w:val="single" w:color="000000" w:sz="8" w:space="0"/>
              <w:bottom w:val="single" w:color="000000" w:sz="8" w:space="0"/>
              <w:right w:val="single" w:color="000000" w:sz="8" w:space="0"/>
            </w:tcBorders>
            <w:shd w:val="clear" w:color="auto" w:fill="FFFFFF"/>
            <w:noWrap w:val="0"/>
            <w:vAlign w:val="center"/>
          </w:tcPr>
          <w:p w14:paraId="38860A94">
            <w:pPr>
              <w:pStyle w:val="10"/>
              <w:bidi w:val="0"/>
              <w:jc w:val="center"/>
              <w:rPr>
                <w:color w:val="000000"/>
              </w:rPr>
            </w:pPr>
            <w:r>
              <w:rPr>
                <w:rFonts w:hint="eastAsia"/>
                <w:color w:val="000000"/>
              </w:rPr>
              <w:t>南亩镇</w:t>
            </w:r>
          </w:p>
        </w:tc>
        <w:tc>
          <w:tcPr>
            <w:tcW w:w="275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211D7DC">
            <w:pPr>
              <w:pStyle w:val="10"/>
              <w:bidi w:val="0"/>
              <w:jc w:val="both"/>
              <w:rPr>
                <w:color w:val="000000"/>
              </w:rPr>
            </w:pPr>
            <w:r>
              <w:rPr>
                <w:rFonts w:hint="eastAsia"/>
                <w:color w:val="000000"/>
              </w:rPr>
              <w:t>长洞、水塘、中寺、岭下、中岭、水尾、芙蓉、鱼鲜、南亩、樟屋、官田</w:t>
            </w:r>
          </w:p>
        </w:tc>
        <w:tc>
          <w:tcPr>
            <w:tcW w:w="1575" w:type="pct"/>
            <w:tcBorders>
              <w:top w:val="single" w:color="000000" w:sz="8" w:space="0"/>
              <w:left w:val="single" w:color="000000" w:sz="8" w:space="0"/>
              <w:bottom w:val="single" w:color="000000" w:sz="8" w:space="0"/>
            </w:tcBorders>
            <w:shd w:val="clear" w:color="auto" w:fill="FFFFFF"/>
            <w:noWrap w:val="0"/>
            <w:vAlign w:val="center"/>
          </w:tcPr>
          <w:p w14:paraId="7933F41F">
            <w:pPr>
              <w:pStyle w:val="10"/>
              <w:bidi w:val="0"/>
              <w:jc w:val="center"/>
              <w:rPr>
                <w:color w:val="000000"/>
              </w:rPr>
            </w:pPr>
            <w:r>
              <w:rPr>
                <w:rFonts w:hint="eastAsia"/>
                <w:color w:val="000000"/>
              </w:rPr>
              <w:t>南亩墟</w:t>
            </w:r>
          </w:p>
        </w:tc>
      </w:tr>
      <w:tr w14:paraId="3835DC5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60" w:hRule="atLeast"/>
          <w:jc w:val="center"/>
        </w:trPr>
        <w:tc>
          <w:tcPr>
            <w:tcW w:w="673" w:type="pct"/>
            <w:tcBorders>
              <w:top w:val="single" w:color="000000" w:sz="8" w:space="0"/>
              <w:bottom w:val="single" w:color="000000" w:sz="8" w:space="0"/>
              <w:right w:val="single" w:color="000000" w:sz="8" w:space="0"/>
            </w:tcBorders>
            <w:shd w:val="clear" w:color="auto" w:fill="FFFFFF"/>
            <w:noWrap w:val="0"/>
            <w:vAlign w:val="center"/>
          </w:tcPr>
          <w:p w14:paraId="2E37F3CD">
            <w:pPr>
              <w:pStyle w:val="10"/>
              <w:bidi w:val="0"/>
              <w:jc w:val="center"/>
              <w:rPr>
                <w:color w:val="000000"/>
              </w:rPr>
            </w:pPr>
            <w:r>
              <w:rPr>
                <w:rFonts w:hint="eastAsia"/>
                <w:color w:val="000000"/>
              </w:rPr>
              <w:t>水口镇</w:t>
            </w:r>
          </w:p>
        </w:tc>
        <w:tc>
          <w:tcPr>
            <w:tcW w:w="275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7F0BB39">
            <w:pPr>
              <w:pStyle w:val="10"/>
              <w:bidi w:val="0"/>
              <w:jc w:val="both"/>
              <w:rPr>
                <w:color w:val="000000"/>
              </w:rPr>
            </w:pPr>
            <w:r>
              <w:rPr>
                <w:rFonts w:hint="eastAsia"/>
                <w:color w:val="000000"/>
              </w:rPr>
              <w:t>云西、弱过、水口、大部、河村、大坪、沙头、下湖、赤岭、群星、石庄、下楼、泷头</w:t>
            </w:r>
          </w:p>
        </w:tc>
        <w:tc>
          <w:tcPr>
            <w:tcW w:w="1575" w:type="pct"/>
            <w:tcBorders>
              <w:top w:val="single" w:color="000000" w:sz="8" w:space="0"/>
              <w:left w:val="single" w:color="000000" w:sz="8" w:space="0"/>
              <w:bottom w:val="single" w:color="000000" w:sz="8" w:space="0"/>
            </w:tcBorders>
            <w:shd w:val="clear" w:color="auto" w:fill="FFFFFF"/>
            <w:noWrap w:val="0"/>
            <w:vAlign w:val="center"/>
          </w:tcPr>
          <w:p w14:paraId="1B234C3F">
            <w:pPr>
              <w:pStyle w:val="10"/>
              <w:bidi w:val="0"/>
              <w:jc w:val="center"/>
              <w:rPr>
                <w:color w:val="000000"/>
              </w:rPr>
            </w:pPr>
            <w:r>
              <w:rPr>
                <w:rFonts w:hint="eastAsia"/>
                <w:color w:val="000000"/>
              </w:rPr>
              <w:t>水口</w:t>
            </w:r>
          </w:p>
        </w:tc>
      </w:tr>
      <w:tr w14:paraId="3EC9ADD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25" w:hRule="atLeast"/>
          <w:jc w:val="center"/>
        </w:trPr>
        <w:tc>
          <w:tcPr>
            <w:tcW w:w="673" w:type="pct"/>
            <w:tcBorders>
              <w:top w:val="single" w:color="000000" w:sz="8" w:space="0"/>
              <w:bottom w:val="single" w:color="000000" w:sz="8" w:space="0"/>
              <w:right w:val="single" w:color="000000" w:sz="8" w:space="0"/>
            </w:tcBorders>
            <w:shd w:val="clear" w:color="auto" w:fill="FFFFFF"/>
            <w:noWrap w:val="0"/>
            <w:vAlign w:val="center"/>
          </w:tcPr>
          <w:p w14:paraId="2AF3D9B9">
            <w:pPr>
              <w:pStyle w:val="10"/>
              <w:bidi w:val="0"/>
              <w:jc w:val="center"/>
              <w:rPr>
                <w:color w:val="000000"/>
              </w:rPr>
            </w:pPr>
            <w:r>
              <w:rPr>
                <w:rFonts w:hint="eastAsia"/>
                <w:color w:val="000000"/>
              </w:rPr>
              <w:t>江头镇</w:t>
            </w:r>
          </w:p>
        </w:tc>
        <w:tc>
          <w:tcPr>
            <w:tcW w:w="275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5259225">
            <w:pPr>
              <w:pStyle w:val="10"/>
              <w:bidi w:val="0"/>
              <w:jc w:val="both"/>
              <w:rPr>
                <w:color w:val="000000"/>
              </w:rPr>
            </w:pPr>
            <w:r>
              <w:rPr>
                <w:rFonts w:hint="eastAsia"/>
                <w:color w:val="000000"/>
              </w:rPr>
              <w:t>坪岗、涌溪、元甫、江头、鱼仙、大汉、南甫、武岭、小竹</w:t>
            </w:r>
          </w:p>
        </w:tc>
        <w:tc>
          <w:tcPr>
            <w:tcW w:w="1575" w:type="pct"/>
            <w:tcBorders>
              <w:top w:val="single" w:color="000000" w:sz="8" w:space="0"/>
              <w:left w:val="single" w:color="000000" w:sz="8" w:space="0"/>
              <w:bottom w:val="single" w:color="000000" w:sz="8" w:space="0"/>
            </w:tcBorders>
            <w:shd w:val="clear" w:color="auto" w:fill="FFFFFF"/>
            <w:noWrap w:val="0"/>
            <w:vAlign w:val="center"/>
          </w:tcPr>
          <w:p w14:paraId="0960F55C">
            <w:pPr>
              <w:pStyle w:val="10"/>
              <w:bidi w:val="0"/>
              <w:jc w:val="center"/>
              <w:rPr>
                <w:color w:val="000000"/>
              </w:rPr>
            </w:pPr>
            <w:r>
              <w:rPr>
                <w:rFonts w:hint="eastAsia"/>
                <w:color w:val="000000"/>
              </w:rPr>
              <w:t>江头</w:t>
            </w:r>
          </w:p>
        </w:tc>
      </w:tr>
      <w:tr w14:paraId="14F55F6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25" w:hRule="atLeast"/>
          <w:jc w:val="center"/>
        </w:trPr>
        <w:tc>
          <w:tcPr>
            <w:tcW w:w="673" w:type="pct"/>
            <w:tcBorders>
              <w:top w:val="single" w:color="000000" w:sz="8" w:space="0"/>
              <w:bottom w:val="single" w:color="000000" w:sz="8" w:space="0"/>
              <w:right w:val="single" w:color="000000" w:sz="8" w:space="0"/>
            </w:tcBorders>
            <w:shd w:val="clear" w:color="auto" w:fill="FFFFFF"/>
            <w:noWrap w:val="0"/>
            <w:vAlign w:val="center"/>
          </w:tcPr>
          <w:p w14:paraId="0A1907B9">
            <w:pPr>
              <w:pStyle w:val="10"/>
              <w:bidi w:val="0"/>
              <w:jc w:val="center"/>
              <w:rPr>
                <w:color w:val="000000"/>
              </w:rPr>
            </w:pPr>
            <w:r>
              <w:rPr>
                <w:rFonts w:hint="eastAsia"/>
                <w:color w:val="000000"/>
              </w:rPr>
              <w:t>湖口镇</w:t>
            </w:r>
          </w:p>
        </w:tc>
        <w:tc>
          <w:tcPr>
            <w:tcW w:w="275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CEA5B98">
            <w:pPr>
              <w:pStyle w:val="10"/>
              <w:bidi w:val="0"/>
              <w:jc w:val="both"/>
              <w:rPr>
                <w:color w:val="000000"/>
              </w:rPr>
            </w:pPr>
            <w:r>
              <w:rPr>
                <w:rFonts w:hint="eastAsia"/>
                <w:color w:val="000000"/>
              </w:rPr>
              <w:t>里和、三角、三水、积塔、长市、新湖、新迳、矿石、岗围、湖口、太和、承平</w:t>
            </w:r>
          </w:p>
        </w:tc>
        <w:tc>
          <w:tcPr>
            <w:tcW w:w="1575" w:type="pct"/>
            <w:tcBorders>
              <w:top w:val="single" w:color="000000" w:sz="8" w:space="0"/>
              <w:left w:val="single" w:color="000000" w:sz="8" w:space="0"/>
              <w:bottom w:val="single" w:color="000000" w:sz="8" w:space="0"/>
            </w:tcBorders>
            <w:shd w:val="clear" w:color="auto" w:fill="FFFFFF"/>
            <w:noWrap w:val="0"/>
            <w:vAlign w:val="center"/>
          </w:tcPr>
          <w:p w14:paraId="21E48201">
            <w:pPr>
              <w:pStyle w:val="10"/>
              <w:bidi w:val="0"/>
              <w:jc w:val="center"/>
              <w:rPr>
                <w:color w:val="000000"/>
              </w:rPr>
            </w:pPr>
            <w:r>
              <w:rPr>
                <w:rFonts w:hint="eastAsia"/>
                <w:color w:val="000000"/>
              </w:rPr>
              <w:t>湖口</w:t>
            </w:r>
          </w:p>
        </w:tc>
      </w:tr>
      <w:tr w14:paraId="5FFE341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25" w:hRule="atLeast"/>
          <w:jc w:val="center"/>
        </w:trPr>
        <w:tc>
          <w:tcPr>
            <w:tcW w:w="673" w:type="pct"/>
            <w:tcBorders>
              <w:top w:val="single" w:color="000000" w:sz="8" w:space="0"/>
              <w:bottom w:val="single" w:color="000000" w:sz="8" w:space="0"/>
              <w:right w:val="single" w:color="000000" w:sz="8" w:space="0"/>
            </w:tcBorders>
            <w:shd w:val="clear" w:color="auto" w:fill="FFFFFF"/>
            <w:noWrap w:val="0"/>
            <w:vAlign w:val="center"/>
          </w:tcPr>
          <w:p w14:paraId="3997D970">
            <w:pPr>
              <w:pStyle w:val="10"/>
              <w:bidi w:val="0"/>
              <w:jc w:val="center"/>
              <w:rPr>
                <w:color w:val="000000"/>
              </w:rPr>
            </w:pPr>
            <w:r>
              <w:rPr>
                <w:rFonts w:hint="eastAsia"/>
                <w:color w:val="000000"/>
              </w:rPr>
              <w:t>珠玑镇</w:t>
            </w:r>
          </w:p>
        </w:tc>
        <w:tc>
          <w:tcPr>
            <w:tcW w:w="275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AFFC4EC">
            <w:pPr>
              <w:pStyle w:val="10"/>
              <w:bidi w:val="0"/>
              <w:jc w:val="both"/>
              <w:rPr>
                <w:color w:val="000000"/>
              </w:rPr>
            </w:pPr>
            <w:r>
              <w:rPr>
                <w:rFonts w:hint="eastAsia"/>
                <w:color w:val="000000"/>
              </w:rPr>
              <w:t>珠玑、洋湖、聪辈、长迳、新村、古田、叟里元、上嵩、里仁、塘东、石塘、里东、灵潭、祗芫、下汾、罗田、南山、梅关、梅岭、泰源、中站、角湾</w:t>
            </w:r>
          </w:p>
        </w:tc>
        <w:tc>
          <w:tcPr>
            <w:tcW w:w="1575" w:type="pct"/>
            <w:tcBorders>
              <w:top w:val="single" w:color="000000" w:sz="8" w:space="0"/>
              <w:left w:val="single" w:color="000000" w:sz="8" w:space="0"/>
              <w:bottom w:val="single" w:color="000000" w:sz="8" w:space="0"/>
            </w:tcBorders>
            <w:shd w:val="clear" w:color="auto" w:fill="FFFFFF"/>
            <w:noWrap w:val="0"/>
            <w:vAlign w:val="center"/>
          </w:tcPr>
          <w:p w14:paraId="774E8C62">
            <w:pPr>
              <w:pStyle w:val="10"/>
              <w:bidi w:val="0"/>
              <w:jc w:val="center"/>
              <w:rPr>
                <w:color w:val="000000"/>
              </w:rPr>
            </w:pPr>
            <w:r>
              <w:rPr>
                <w:rFonts w:hint="eastAsia"/>
                <w:color w:val="000000"/>
              </w:rPr>
              <w:t>珠玑</w:t>
            </w:r>
          </w:p>
        </w:tc>
      </w:tr>
      <w:tr w14:paraId="5EC714D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10" w:hRule="atLeast"/>
          <w:jc w:val="center"/>
        </w:trPr>
        <w:tc>
          <w:tcPr>
            <w:tcW w:w="673" w:type="pct"/>
            <w:tcBorders>
              <w:top w:val="single" w:color="000000" w:sz="8" w:space="0"/>
              <w:bottom w:val="single" w:color="000000" w:sz="8" w:space="0"/>
              <w:right w:val="single" w:color="000000" w:sz="8" w:space="0"/>
            </w:tcBorders>
            <w:shd w:val="clear" w:color="auto" w:fill="FFFFFF"/>
            <w:noWrap w:val="0"/>
            <w:vAlign w:val="center"/>
          </w:tcPr>
          <w:p w14:paraId="319E27E1">
            <w:pPr>
              <w:pStyle w:val="10"/>
              <w:bidi w:val="0"/>
              <w:jc w:val="center"/>
              <w:rPr>
                <w:color w:val="000000"/>
              </w:rPr>
            </w:pPr>
            <w:r>
              <w:rPr>
                <w:rFonts w:hint="eastAsia"/>
                <w:color w:val="000000"/>
              </w:rPr>
              <w:t>主田镇</w:t>
            </w:r>
          </w:p>
        </w:tc>
        <w:tc>
          <w:tcPr>
            <w:tcW w:w="275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5EF5DBF">
            <w:pPr>
              <w:pStyle w:val="10"/>
              <w:bidi w:val="0"/>
              <w:jc w:val="both"/>
              <w:rPr>
                <w:color w:val="000000"/>
              </w:rPr>
            </w:pPr>
            <w:r>
              <w:rPr>
                <w:rFonts w:hint="eastAsia"/>
                <w:color w:val="000000"/>
              </w:rPr>
              <w:t>大坝、主田、城门、塘山、西坪、西洞、窑合、高峰</w:t>
            </w:r>
          </w:p>
        </w:tc>
        <w:tc>
          <w:tcPr>
            <w:tcW w:w="1575" w:type="pct"/>
            <w:tcBorders>
              <w:top w:val="single" w:color="000000" w:sz="8" w:space="0"/>
              <w:left w:val="single" w:color="000000" w:sz="8" w:space="0"/>
              <w:bottom w:val="single" w:color="000000" w:sz="8" w:space="0"/>
            </w:tcBorders>
            <w:shd w:val="clear" w:color="auto" w:fill="FFFFFF"/>
            <w:noWrap w:val="0"/>
            <w:vAlign w:val="center"/>
          </w:tcPr>
          <w:p w14:paraId="1FA49DE5">
            <w:pPr>
              <w:pStyle w:val="10"/>
              <w:bidi w:val="0"/>
              <w:jc w:val="center"/>
              <w:rPr>
                <w:color w:val="000000"/>
              </w:rPr>
            </w:pPr>
            <w:r>
              <w:rPr>
                <w:rFonts w:hint="eastAsia"/>
                <w:color w:val="000000"/>
              </w:rPr>
              <w:t>大凤</w:t>
            </w:r>
          </w:p>
        </w:tc>
      </w:tr>
      <w:tr w14:paraId="2B447E5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60" w:hRule="atLeast"/>
          <w:jc w:val="center"/>
        </w:trPr>
        <w:tc>
          <w:tcPr>
            <w:tcW w:w="673" w:type="pct"/>
            <w:tcBorders>
              <w:top w:val="single" w:color="000000" w:sz="8" w:space="0"/>
              <w:bottom w:val="single" w:color="000000" w:sz="8" w:space="0"/>
              <w:right w:val="single" w:color="000000" w:sz="8" w:space="0"/>
            </w:tcBorders>
            <w:shd w:val="clear" w:color="auto" w:fill="FFFFFF"/>
            <w:noWrap w:val="0"/>
            <w:vAlign w:val="center"/>
          </w:tcPr>
          <w:p w14:paraId="50D602E6">
            <w:pPr>
              <w:pStyle w:val="10"/>
              <w:bidi w:val="0"/>
              <w:jc w:val="center"/>
              <w:rPr>
                <w:color w:val="000000"/>
              </w:rPr>
            </w:pPr>
            <w:r>
              <w:rPr>
                <w:rFonts w:hint="eastAsia"/>
                <w:color w:val="000000"/>
              </w:rPr>
              <w:t>古市镇</w:t>
            </w:r>
          </w:p>
        </w:tc>
        <w:tc>
          <w:tcPr>
            <w:tcW w:w="275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F8EDD58">
            <w:pPr>
              <w:pStyle w:val="10"/>
              <w:bidi w:val="0"/>
              <w:jc w:val="both"/>
              <w:rPr>
                <w:color w:val="000000"/>
              </w:rPr>
            </w:pPr>
            <w:r>
              <w:rPr>
                <w:rFonts w:hint="eastAsia"/>
                <w:color w:val="000000"/>
              </w:rPr>
              <w:t>小坑、三角岭、溪口、修仁、丰源、柴岭、古市、丹布</w:t>
            </w:r>
          </w:p>
        </w:tc>
        <w:tc>
          <w:tcPr>
            <w:tcW w:w="1575" w:type="pct"/>
            <w:tcBorders>
              <w:top w:val="single" w:color="000000" w:sz="8" w:space="0"/>
              <w:left w:val="single" w:color="000000" w:sz="8" w:space="0"/>
              <w:bottom w:val="single" w:color="000000" w:sz="8" w:space="0"/>
            </w:tcBorders>
            <w:shd w:val="clear" w:color="auto" w:fill="FFFFFF"/>
            <w:noWrap w:val="0"/>
            <w:vAlign w:val="center"/>
          </w:tcPr>
          <w:p w14:paraId="2DE63F19">
            <w:pPr>
              <w:pStyle w:val="10"/>
              <w:bidi w:val="0"/>
              <w:jc w:val="center"/>
              <w:rPr>
                <w:color w:val="000000"/>
              </w:rPr>
            </w:pPr>
            <w:r>
              <w:rPr>
                <w:rFonts w:hint="eastAsia"/>
                <w:color w:val="000000"/>
              </w:rPr>
              <w:t>古禄墟</w:t>
            </w:r>
          </w:p>
        </w:tc>
      </w:tr>
      <w:tr w14:paraId="6015CAE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10" w:hRule="atLeast"/>
          <w:jc w:val="center"/>
        </w:trPr>
        <w:tc>
          <w:tcPr>
            <w:tcW w:w="673" w:type="pct"/>
            <w:tcBorders>
              <w:top w:val="single" w:color="000000" w:sz="8" w:space="0"/>
              <w:bottom w:val="single" w:color="000000" w:sz="8" w:space="0"/>
              <w:right w:val="single" w:color="000000" w:sz="8" w:space="0"/>
            </w:tcBorders>
            <w:shd w:val="clear" w:color="auto" w:fill="FFFFFF"/>
            <w:noWrap w:val="0"/>
            <w:vAlign w:val="center"/>
          </w:tcPr>
          <w:p w14:paraId="28C5ADCB">
            <w:pPr>
              <w:pStyle w:val="10"/>
              <w:bidi w:val="0"/>
              <w:jc w:val="center"/>
              <w:rPr>
                <w:color w:val="000000"/>
              </w:rPr>
            </w:pPr>
            <w:r>
              <w:rPr>
                <w:rFonts w:hint="eastAsia"/>
                <w:color w:val="000000"/>
              </w:rPr>
              <w:t>全安镇</w:t>
            </w:r>
          </w:p>
        </w:tc>
        <w:tc>
          <w:tcPr>
            <w:tcW w:w="275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F0B13DE">
            <w:pPr>
              <w:pStyle w:val="10"/>
              <w:bidi w:val="0"/>
              <w:jc w:val="both"/>
              <w:rPr>
                <w:color w:val="000000"/>
              </w:rPr>
            </w:pPr>
            <w:r>
              <w:rPr>
                <w:rFonts w:hint="eastAsia"/>
                <w:color w:val="000000"/>
              </w:rPr>
              <w:t>全安、陂头、羊角、古塘、王亭石、河塘、杨沥、荔迳、密下水、苍石、大坪、兰溪、章禾洞</w:t>
            </w:r>
          </w:p>
        </w:tc>
        <w:tc>
          <w:tcPr>
            <w:tcW w:w="1575" w:type="pct"/>
            <w:tcBorders>
              <w:top w:val="single" w:color="000000" w:sz="8" w:space="0"/>
              <w:left w:val="single" w:color="000000" w:sz="8" w:space="0"/>
              <w:bottom w:val="single" w:color="000000" w:sz="8" w:space="0"/>
            </w:tcBorders>
            <w:shd w:val="clear" w:color="auto" w:fill="FFFFFF"/>
            <w:noWrap w:val="0"/>
            <w:vAlign w:val="center"/>
          </w:tcPr>
          <w:p w14:paraId="16E118BE">
            <w:pPr>
              <w:pStyle w:val="10"/>
              <w:bidi w:val="0"/>
              <w:jc w:val="center"/>
              <w:rPr>
                <w:color w:val="000000"/>
              </w:rPr>
            </w:pPr>
            <w:r>
              <w:rPr>
                <w:rFonts w:hint="eastAsia"/>
                <w:color w:val="000000"/>
              </w:rPr>
              <w:t>全安</w:t>
            </w:r>
          </w:p>
        </w:tc>
      </w:tr>
      <w:tr w14:paraId="40ED0E4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10" w:hRule="atLeast"/>
          <w:jc w:val="center"/>
        </w:trPr>
        <w:tc>
          <w:tcPr>
            <w:tcW w:w="673" w:type="pct"/>
            <w:tcBorders>
              <w:top w:val="single" w:color="000000" w:sz="8" w:space="0"/>
              <w:bottom w:val="single" w:color="000000" w:sz="8" w:space="0"/>
              <w:right w:val="single" w:color="000000" w:sz="8" w:space="0"/>
            </w:tcBorders>
            <w:shd w:val="clear" w:color="auto" w:fill="FFFFFF"/>
            <w:noWrap w:val="0"/>
            <w:vAlign w:val="center"/>
          </w:tcPr>
          <w:p w14:paraId="6C20D958">
            <w:pPr>
              <w:pStyle w:val="10"/>
              <w:bidi w:val="0"/>
              <w:jc w:val="center"/>
              <w:rPr>
                <w:color w:val="000000"/>
              </w:rPr>
            </w:pPr>
            <w:r>
              <w:rPr>
                <w:rFonts w:hint="eastAsia"/>
                <w:color w:val="000000"/>
              </w:rPr>
              <w:t>百顺镇</w:t>
            </w:r>
          </w:p>
        </w:tc>
        <w:tc>
          <w:tcPr>
            <w:tcW w:w="275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1519D50">
            <w:pPr>
              <w:pStyle w:val="10"/>
              <w:bidi w:val="0"/>
              <w:jc w:val="both"/>
              <w:rPr>
                <w:color w:val="000000"/>
              </w:rPr>
            </w:pPr>
            <w:r>
              <w:rPr>
                <w:rFonts w:hint="eastAsia"/>
                <w:color w:val="000000"/>
              </w:rPr>
              <w:t>百顺、大沙洲、邓洞、东坑、湖地、尚睦、溪头、杨梅、朱安</w:t>
            </w:r>
          </w:p>
        </w:tc>
        <w:tc>
          <w:tcPr>
            <w:tcW w:w="1575" w:type="pct"/>
            <w:tcBorders>
              <w:top w:val="single" w:color="000000" w:sz="8" w:space="0"/>
              <w:left w:val="single" w:color="000000" w:sz="8" w:space="0"/>
              <w:bottom w:val="single" w:color="000000" w:sz="8" w:space="0"/>
            </w:tcBorders>
            <w:shd w:val="clear" w:color="auto" w:fill="FFFFFF"/>
            <w:noWrap w:val="0"/>
            <w:vAlign w:val="center"/>
          </w:tcPr>
          <w:p w14:paraId="1D6CE7D7">
            <w:pPr>
              <w:pStyle w:val="10"/>
              <w:bidi w:val="0"/>
              <w:jc w:val="center"/>
              <w:rPr>
                <w:color w:val="000000"/>
              </w:rPr>
            </w:pPr>
            <w:r>
              <w:rPr>
                <w:rFonts w:hint="eastAsia"/>
                <w:color w:val="000000"/>
              </w:rPr>
              <w:t>百顺</w:t>
            </w:r>
          </w:p>
        </w:tc>
      </w:tr>
      <w:tr w14:paraId="7AA65A3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510" w:hRule="atLeast"/>
          <w:jc w:val="center"/>
        </w:trPr>
        <w:tc>
          <w:tcPr>
            <w:tcW w:w="673" w:type="pct"/>
            <w:tcBorders>
              <w:top w:val="single" w:color="000000" w:sz="8" w:space="0"/>
              <w:bottom w:val="single" w:color="000000" w:sz="8" w:space="0"/>
              <w:right w:val="single" w:color="000000" w:sz="8" w:space="0"/>
            </w:tcBorders>
            <w:shd w:val="clear" w:color="auto" w:fill="FFFFFF"/>
            <w:noWrap w:val="0"/>
            <w:vAlign w:val="center"/>
          </w:tcPr>
          <w:p w14:paraId="7035E34A">
            <w:pPr>
              <w:pStyle w:val="10"/>
              <w:bidi w:val="0"/>
              <w:jc w:val="center"/>
              <w:rPr>
                <w:color w:val="000000"/>
              </w:rPr>
            </w:pPr>
            <w:r>
              <w:rPr>
                <w:rFonts w:hint="eastAsia"/>
                <w:color w:val="000000"/>
              </w:rPr>
              <w:t>澜河镇</w:t>
            </w:r>
          </w:p>
        </w:tc>
        <w:tc>
          <w:tcPr>
            <w:tcW w:w="275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8E1164E">
            <w:pPr>
              <w:pStyle w:val="10"/>
              <w:bidi w:val="0"/>
              <w:jc w:val="both"/>
              <w:rPr>
                <w:color w:val="000000"/>
              </w:rPr>
            </w:pPr>
            <w:r>
              <w:rPr>
                <w:rFonts w:hint="eastAsia"/>
                <w:color w:val="000000"/>
              </w:rPr>
              <w:t>白云、洞底、葛坪、澜河、上带、上澜</w:t>
            </w:r>
          </w:p>
        </w:tc>
        <w:tc>
          <w:tcPr>
            <w:tcW w:w="1575" w:type="pct"/>
            <w:tcBorders>
              <w:top w:val="single" w:color="000000" w:sz="8" w:space="0"/>
              <w:left w:val="single" w:color="000000" w:sz="8" w:space="0"/>
              <w:bottom w:val="single" w:color="000000" w:sz="8" w:space="0"/>
            </w:tcBorders>
            <w:shd w:val="clear" w:color="auto" w:fill="FFFFFF"/>
            <w:noWrap w:val="0"/>
            <w:vAlign w:val="center"/>
          </w:tcPr>
          <w:p w14:paraId="77B2383E">
            <w:pPr>
              <w:pStyle w:val="10"/>
              <w:bidi w:val="0"/>
              <w:jc w:val="center"/>
              <w:rPr>
                <w:color w:val="000000"/>
              </w:rPr>
            </w:pPr>
            <w:r>
              <w:rPr>
                <w:rFonts w:hint="eastAsia"/>
                <w:color w:val="000000"/>
              </w:rPr>
              <w:t>新街</w:t>
            </w:r>
          </w:p>
        </w:tc>
      </w:tr>
      <w:tr w14:paraId="5D34E6E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59" w:hRule="atLeast"/>
          <w:jc w:val="center"/>
        </w:trPr>
        <w:tc>
          <w:tcPr>
            <w:tcW w:w="673" w:type="pct"/>
            <w:tcBorders>
              <w:top w:val="single" w:color="000000" w:sz="8" w:space="0"/>
              <w:bottom w:val="single" w:color="000000" w:sz="8" w:space="0"/>
              <w:right w:val="single" w:color="000000" w:sz="8" w:space="0"/>
            </w:tcBorders>
            <w:shd w:val="clear" w:color="auto" w:fill="FFFFFF"/>
            <w:noWrap w:val="0"/>
            <w:vAlign w:val="center"/>
          </w:tcPr>
          <w:p w14:paraId="0C36A16C">
            <w:pPr>
              <w:pStyle w:val="10"/>
              <w:bidi w:val="0"/>
              <w:jc w:val="center"/>
              <w:rPr>
                <w:color w:val="000000"/>
              </w:rPr>
            </w:pPr>
            <w:r>
              <w:rPr>
                <w:rFonts w:hint="eastAsia"/>
                <w:color w:val="000000"/>
              </w:rPr>
              <w:t>帽子峰镇</w:t>
            </w:r>
          </w:p>
        </w:tc>
        <w:tc>
          <w:tcPr>
            <w:tcW w:w="275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D93AECC">
            <w:pPr>
              <w:pStyle w:val="10"/>
              <w:bidi w:val="0"/>
              <w:jc w:val="both"/>
              <w:rPr>
                <w:color w:val="000000"/>
              </w:rPr>
            </w:pPr>
            <w:r>
              <w:rPr>
                <w:rFonts w:hint="eastAsia"/>
                <w:color w:val="000000"/>
              </w:rPr>
              <w:t>洞头、富竹、梨树、坪山、上龙</w:t>
            </w:r>
          </w:p>
        </w:tc>
        <w:tc>
          <w:tcPr>
            <w:tcW w:w="1575" w:type="pct"/>
            <w:tcBorders>
              <w:top w:val="single" w:color="000000" w:sz="8" w:space="0"/>
              <w:left w:val="single" w:color="000000" w:sz="8" w:space="0"/>
              <w:bottom w:val="single" w:color="000000" w:sz="8" w:space="0"/>
            </w:tcBorders>
            <w:shd w:val="clear" w:color="auto" w:fill="FFFFFF"/>
            <w:noWrap w:val="0"/>
            <w:vAlign w:val="center"/>
          </w:tcPr>
          <w:p w14:paraId="7419E3E8">
            <w:pPr>
              <w:pStyle w:val="10"/>
              <w:bidi w:val="0"/>
              <w:jc w:val="center"/>
              <w:rPr>
                <w:color w:val="000000"/>
              </w:rPr>
            </w:pPr>
            <w:r>
              <w:rPr>
                <w:rFonts w:hint="eastAsia"/>
                <w:color w:val="000000"/>
              </w:rPr>
              <w:t>富竹</w:t>
            </w:r>
          </w:p>
        </w:tc>
      </w:tr>
    </w:tbl>
    <w:p w14:paraId="17EB034B">
      <w:pPr>
        <w:pStyle w:val="4"/>
        <w:bidi w:val="0"/>
        <w:rPr>
          <w:rFonts w:hint="eastAsia"/>
        </w:rPr>
      </w:pPr>
      <w:r>
        <w:rPr>
          <w:rFonts w:hint="eastAsia"/>
        </w:rPr>
        <w:t>【人口】</w:t>
      </w:r>
    </w:p>
    <w:p w14:paraId="695F0278">
      <w:pPr>
        <w:rPr>
          <w:rFonts w:hint="eastAsia"/>
          <w:lang w:eastAsia="zh-CN"/>
        </w:rPr>
      </w:pPr>
      <w:r>
        <w:t>2013年，全市年末常住人口32.6万人，</w:t>
      </w:r>
      <w:r>
        <w:rPr>
          <w:rFonts w:hint="eastAsia"/>
        </w:rPr>
        <w:t>比上年增加</w:t>
      </w:r>
      <w:r>
        <w:t>0.28万人，增长0.87%。户籍人口47.79万人，其中非农业人口8.69万人。全年出生</w:t>
      </w:r>
      <w:r>
        <w:rPr>
          <w:rFonts w:hint="eastAsia"/>
        </w:rPr>
        <w:t>人口</w:t>
      </w:r>
      <w:r>
        <w:t>7331人，人口出生率14.95%‰；死亡人口2720</w:t>
      </w:r>
      <w:r>
        <w:rPr>
          <w:rFonts w:hint="eastAsia"/>
        </w:rPr>
        <w:t>人，死亡率</w:t>
      </w:r>
      <w:r>
        <w:t>5.55%；人口自然增长率9.4‰</w:t>
      </w:r>
      <w:r>
        <w:rPr>
          <w:rFonts w:hint="eastAsia"/>
          <w:lang w:eastAsia="zh-CN"/>
        </w:rPr>
        <w:t>。</w:t>
      </w:r>
    </w:p>
    <w:p w14:paraId="46533AD7">
      <w:pPr>
        <w:pStyle w:val="4"/>
        <w:bidi w:val="0"/>
        <w:rPr>
          <w:rFonts w:hint="eastAsia"/>
        </w:rPr>
      </w:pPr>
      <w:r>
        <w:rPr>
          <w:rFonts w:hint="eastAsia"/>
        </w:rPr>
        <w:t>【民族】</w:t>
      </w:r>
    </w:p>
    <w:p w14:paraId="18A529BB">
      <w:r>
        <w:rPr>
          <w:rFonts w:hint="eastAsia"/>
        </w:rPr>
        <w:t>民族以汉族为主，有畲族、壮族、土家族、苗族、瑶族等</w:t>
      </w:r>
      <w:r>
        <w:t>20个少数民族，少数民族总人</w:t>
      </w:r>
      <w:r>
        <w:rPr>
          <w:rFonts w:hint="eastAsia"/>
        </w:rPr>
        <w:t>口</w:t>
      </w:r>
      <w:r>
        <w:t>5286人，大部分为畲族，占少数民族总人</w:t>
      </w:r>
      <w:r>
        <w:rPr>
          <w:rFonts w:hint="eastAsia"/>
        </w:rPr>
        <w:t>口</w:t>
      </w:r>
      <w:r>
        <w:t>88.32%。</w:t>
      </w:r>
    </w:p>
    <w:p w14:paraId="4E72FB36">
      <w:pPr>
        <w:pStyle w:val="4"/>
        <w:bidi w:val="0"/>
        <w:rPr>
          <w:rFonts w:hint="eastAsia"/>
        </w:rPr>
      </w:pPr>
      <w:r>
        <w:rPr>
          <w:rFonts w:hint="eastAsia"/>
        </w:rPr>
        <w:t>【宗教】</w:t>
      </w:r>
    </w:p>
    <w:p w14:paraId="140EC64B">
      <w:pPr>
        <w:rPr>
          <w:rFonts w:hint="eastAsia"/>
        </w:rPr>
      </w:pPr>
      <w:r>
        <w:rPr>
          <w:rFonts w:hint="eastAsia"/>
        </w:rPr>
        <w:t>南雄市现有佛教、道教、基督教、天主教</w:t>
      </w:r>
      <w:r>
        <w:t>4个宗教，宗教活动场所7个，即洞真古观（道</w:t>
      </w:r>
      <w:r>
        <w:rPr>
          <w:rFonts w:hint="eastAsia"/>
        </w:rPr>
        <w:t>教）、大雄禅寺（佛教）、莲开净寺（佛教）、万善庵（佛教）、南雄天主堂（天主教）、荆岗天主堂（天主教）、南雄福音堂（基督教）。</w:t>
      </w:r>
    </w:p>
    <w:p w14:paraId="739C97A7">
      <w:pPr>
        <w:pStyle w:val="4"/>
        <w:bidi w:val="0"/>
        <w:rPr>
          <w:rFonts w:hint="eastAsia"/>
        </w:rPr>
      </w:pPr>
      <w:r>
        <w:rPr>
          <w:rFonts w:hint="eastAsia"/>
        </w:rPr>
        <w:t>【民俗风情】</w:t>
      </w:r>
    </w:p>
    <w:p w14:paraId="6ABBB173">
      <w:pPr>
        <w:rPr>
          <w:rFonts w:hint="eastAsia"/>
        </w:rPr>
      </w:pPr>
      <w:r>
        <w:rPr>
          <w:rFonts w:hint="eastAsia"/>
        </w:rPr>
        <w:t>一方土养一方人。千百年来，南雄人在这块土地上生息繁衍，逐步形成独特、富于生命气息民情民俗。南雄民情民俗是中原与岭南文化融合，</w:t>
      </w:r>
      <w:r>
        <w:rPr>
          <w:rFonts w:hint="eastAsia"/>
          <w:lang w:eastAsia="zh-CN"/>
        </w:rPr>
        <w:t>粤</w:t>
      </w:r>
      <w:r>
        <w:rPr>
          <w:rFonts w:hint="eastAsia"/>
        </w:rPr>
        <w:t>赣之间民情交汇。</w:t>
      </w:r>
    </w:p>
    <w:p w14:paraId="14967F79">
      <w:pPr>
        <w:rPr>
          <w:rFonts w:hint="eastAsia"/>
          <w:lang w:eastAsia="zh-CN"/>
        </w:rPr>
      </w:pPr>
      <w:r>
        <w:rPr>
          <w:rFonts w:hint="eastAsia"/>
        </w:rPr>
        <w:t>服饰穿戴；南雄男女穿着比较朴素，与周边县区没有多大的区别，其中只有女子的围身裙（袍肚俚）、头帕颇有客家女特色。女子围身裙，常取</w:t>
      </w:r>
      <w:r>
        <w:rPr>
          <w:rFonts w:hint="eastAsia"/>
          <w:lang w:val="en-US" w:eastAsia="zh-CN"/>
        </w:rPr>
        <w:t>黑</w:t>
      </w:r>
      <w:r>
        <w:rPr>
          <w:rFonts w:hint="eastAsia"/>
        </w:rPr>
        <w:t>色布，带子用白色，中青年妇女围裙镶花边，上方加“蓝头”（饰边）以装饰。裙带左右各一条，用棉线织成，末端有缨子。中青年多用白色，老年人用黑色。围身裙与头帕既方便劳动又朴素大方，现逐已简化</w:t>
      </w:r>
      <w:r>
        <w:rPr>
          <w:rFonts w:hint="eastAsia"/>
          <w:lang w:eastAsia="zh-CN"/>
        </w:rPr>
        <w:t>。</w:t>
      </w:r>
    </w:p>
    <w:p w14:paraId="1D2C71DB">
      <w:pPr>
        <w:rPr>
          <w:rFonts w:hint="eastAsia"/>
        </w:rPr>
      </w:pPr>
      <w:r>
        <w:rPr>
          <w:rFonts w:hint="eastAsia"/>
        </w:rPr>
        <w:t>饮食嗜好；吃辣椒，南雄人喜欢吃辣椒，几乎餐餐有辣，无</w:t>
      </w:r>
      <w:r>
        <w:rPr>
          <w:rFonts w:hint="eastAsia"/>
          <w:lang w:val="en-US" w:eastAsia="zh-CN"/>
        </w:rPr>
        <w:t>菜</w:t>
      </w:r>
      <w:r>
        <w:rPr>
          <w:rFonts w:hint="eastAsia"/>
        </w:rPr>
        <w:t>不辣。还加工成蒜蓉辣椒酱、禾麦辣椒酱，通常作佐料。每家都贮存有辣椒干，以备常年吃用，最有辣味特色是梅岭鹅王这道菜，以辣和香闻名。吃酸</w:t>
      </w:r>
      <w:r>
        <w:rPr>
          <w:rFonts w:hint="eastAsia"/>
          <w:lang w:val="en-US" w:eastAsia="zh-CN"/>
        </w:rPr>
        <w:t>笋</w:t>
      </w:r>
      <w:r>
        <w:rPr>
          <w:rFonts w:hint="eastAsia"/>
        </w:rPr>
        <w:t>，酸笋是南雄传统的调味佳品。菜肴中加入少量的酸笋，其味浓郁绵长，城乡多数家庭都备有酸笋缸，较为有特色如黄焖酸笋鸭、黄焖酸笋鱼干、酸笋炒猪大肠、炒茄子。吸烟，南雄盛产黄烟，吸烟之风甚盛，在烟区烟民占成年男子</w:t>
      </w:r>
      <w:r>
        <w:t>90%。以本地产烟叶为主，自</w:t>
      </w:r>
      <w:r>
        <w:rPr>
          <w:rFonts w:hint="eastAsia"/>
          <w:lang w:val="en-US" w:eastAsia="zh-CN"/>
        </w:rPr>
        <w:t>己</w:t>
      </w:r>
      <w:r>
        <w:t>加工切丝，自卷自</w:t>
      </w:r>
      <w:r>
        <w:rPr>
          <w:rFonts w:hint="eastAsia"/>
        </w:rPr>
        <w:t>抽。饮布荆土茶，每年取布荆籽或嫩叶晒干收藏，</w:t>
      </w:r>
      <w:r>
        <w:rPr>
          <w:rFonts w:hint="eastAsia"/>
          <w:lang w:val="en-US" w:eastAsia="zh-CN"/>
        </w:rPr>
        <w:t>一</w:t>
      </w:r>
      <w:r>
        <w:rPr>
          <w:rFonts w:hint="eastAsia"/>
        </w:rPr>
        <w:t>年四季用此物煲水喝。特别是夏收夏种时节，农家习惯用大锅烧煮布荆茶，既可生津止渴解暑，又能驱风散气预防感冒。此外，有的还饮藤婆茶、森俚茶、石板树茶、清明籽茶等。</w:t>
      </w:r>
    </w:p>
    <w:p w14:paraId="00127B83">
      <w:pPr>
        <w:rPr>
          <w:rFonts w:hint="eastAsia"/>
        </w:rPr>
      </w:pPr>
      <w:r>
        <w:rPr>
          <w:rFonts w:hint="eastAsia"/>
        </w:rPr>
        <w:t>传统食品；钻缸酒，该酒是自酿的传统酒。举凡红白二事或年节家宴，尽管备有其它美酒，也</w:t>
      </w:r>
      <w:r>
        <w:rPr>
          <w:rFonts w:hint="eastAsia"/>
          <w:lang w:val="en-US" w:eastAsia="zh-CN"/>
        </w:rPr>
        <w:t>一</w:t>
      </w:r>
      <w:r>
        <w:rPr>
          <w:rFonts w:hint="eastAsia"/>
        </w:rPr>
        <w:t>定要出敬自酿的钻缸酒。番薯糟，为丘陵地区家民的传统食品，每年冬季将番薯切成片煮至半熟，晒干，用煮薯片的汤或清水掺湿，进甑蒸熟，取出再晒干，然后倒入未取酒的酒糟里掺匀掺湿，置于酒埕密封。次岁春夏农忙时取出食用，其味芳香甜美。酿豆腐，将做好的豆腐块，用食油炸至金黄色、空心。按生活的丰俭制馅，一般是用芋头刷成糊状加上猪油渣、虾米、香菇、葱蒜、萝卜、冬笋等佐料，将馅料混匀下锅炒至半熟，然后酿入油炸豆腐内，煮（蒸）熟即可。逢年过节或设宴请客，多有酿豆腐，以示南雄特有风味。糍类有</w:t>
      </w:r>
      <w:r>
        <w:t>10多种</w:t>
      </w:r>
      <w:r>
        <w:rPr>
          <w:rFonts w:hint="eastAsia"/>
        </w:rPr>
        <w:t>各个时节的传统食品。如油糍、黄年糍、麻糍、饺俚糍、包菜糍、芋圆仂、豆浆糍、蕉叶糍、铜勺饼、艾糍、锅巴糍、状元糕、豆角酥、猪膏团、米花糕、荡皮等。春节腊味。是传统的冬春时令佳肴。每年冬至前后，家家必做腊味，品种有腊</w:t>
      </w:r>
      <w:r>
        <w:rPr>
          <w:rFonts w:hint="eastAsia"/>
          <w:lang w:val="en-US" w:eastAsia="zh-CN"/>
        </w:rPr>
        <w:t>鸭</w:t>
      </w:r>
      <w:r>
        <w:rPr>
          <w:rFonts w:hint="eastAsia"/>
        </w:rPr>
        <w:t>、腊肉、腊肠、腊鸡、腊鹅、腊鱼，其中又以腊鸭最为出名。</w:t>
      </w:r>
    </w:p>
    <w:p w14:paraId="6652BFF8">
      <w:pPr>
        <w:rPr>
          <w:rFonts w:hint="eastAsia"/>
        </w:rPr>
      </w:pPr>
      <w:r>
        <w:rPr>
          <w:rFonts w:hint="eastAsia"/>
        </w:rPr>
        <w:t>过姓氏节；除传统节日外南雄上方乌径、界址、坪田、南亩、大塘、油山、黄坑等镇，盛行过姓氏节。一般以该族祖先的生日或对该氏族具有重大意义的日子为姓氏节节日。届时，由轮值首事（头人）牵头筹办，公尝出资，设坛祭祀，抬菩萨（祖像）出行游村，请戏班日夜演戏（或放电影）。各户则广邀亲朋戚友前来作客，为时三天，合家团圆，全族聚会，各姓亲朋相庆，热闹非凡，胜于过春节元宵。一姓过节，百家联欢。姓氏节流行至今，日期依旧，内容简化。</w:t>
      </w:r>
    </w:p>
    <w:p w14:paraId="043042AA">
      <w:pPr>
        <w:pStyle w:val="4"/>
        <w:bidi w:val="0"/>
        <w:rPr>
          <w:rFonts w:hint="eastAsia"/>
        </w:rPr>
      </w:pPr>
      <w:r>
        <w:rPr>
          <w:rFonts w:hint="eastAsia"/>
          <w:lang w:eastAsia="zh-CN"/>
        </w:rPr>
        <w:t>【</w:t>
      </w:r>
      <w:r>
        <w:rPr>
          <w:rFonts w:hint="eastAsia"/>
        </w:rPr>
        <w:t>旅游景观】</w:t>
      </w:r>
    </w:p>
    <w:p w14:paraId="7D5611A6">
      <w:pPr>
        <w:rPr>
          <w:rFonts w:hint="eastAsia"/>
        </w:rPr>
      </w:pPr>
      <w:r>
        <w:rPr>
          <w:rFonts w:hint="eastAsia"/>
        </w:rPr>
        <w:t>南雄物华天宝，人杰地灵；山川秀丽，风光旖旎。旅游资源丰富，尤其文物古迹甚多。珠玑古巷、梅关古道、三影千年古塔、恐龙等古生物化石、古银杏群“南雄五古”，享誉海内外。南亩鱼鲜村、乌迳新田村、黄坑溪塘村、百顺黄屋城古村落，人文价值颇高，先后被列为“广东省古村落”。孔江国家湿地公园（孔江水库）、青嶂山省级自然保护区、苍石寨风景区，奇异独特，风光秀丽。坪田古银杏群景色迷人，深秋看黄叶好地方帽子峰省级森林公园，被誉为“小九寨沟”。莲开净寺、大雄禅寺香火兴旺。具有古建筑艺术价值和历史文化价值的广州会馆。龙华山温泉酒店是集旅游度假自然观光和休闲、度假、康体、娱乐、泡温泉为一体的旅游度假胜地。青嶂山温泉高氡神奇，是罕见的高钠离子温泉。南雄又是一块红色的土地，是广东省重点老区县（市）之一。尤其第二次国内革命战争时期，南雄属中央苏区县之一，是中国工农红军长征经过的地方。毛泽东、朱德、彭德怀多次率部转战南雄，领导和指挥著名的“水口战役”。项英、陈毅等在油山一带领导粤赣边三年游击战争。抗日战争时期中共广东省委旧址瑶坑、油山革命纪念碑、水口战役纪念公园、是爱国主义教育基地。具有红色旅游特色。</w:t>
      </w:r>
    </w:p>
    <w:p w14:paraId="049F2063">
      <w:pPr>
        <w:pStyle w:val="4"/>
        <w:bidi w:val="0"/>
        <w:rPr>
          <w:rFonts w:hint="eastAsia"/>
        </w:rPr>
      </w:pPr>
      <w:r>
        <w:rPr>
          <w:rFonts w:hint="eastAsia"/>
        </w:rPr>
        <w:t>【南雄</w:t>
      </w:r>
      <w:r>
        <w:rPr>
          <w:rFonts w:hint="eastAsia"/>
          <w:lang w:val="en-US" w:eastAsia="zh-CN"/>
        </w:rPr>
        <w:t>黄</w:t>
      </w:r>
      <w:r>
        <w:rPr>
          <w:rFonts w:hint="eastAsia"/>
        </w:rPr>
        <w:t>烟】</w:t>
      </w:r>
    </w:p>
    <w:p w14:paraId="11D5BB15">
      <w:r>
        <w:rPr>
          <w:rFonts w:hint="eastAsia"/>
        </w:rPr>
        <w:t>南雄烟叶色金黄，俗称黄烟。土质气候适宜烟草生长，产出优质烟叶。南雄黄烟以叶色金黄、烟味醇香、易燃灰白三大特性而素负盛名，为当今各大烟厂生产卷烟必需之原料。烟草种植自清初由闽南传入，清道光四年《直隶南雄州志》记载：“烟叶，近四五十年日渐增植，每年货银约百万两，其利几与禾稻等”。</w:t>
      </w:r>
      <w:r>
        <w:t>1933年南雄烟叶</w:t>
      </w:r>
      <w:r>
        <w:rPr>
          <w:rFonts w:hint="eastAsia"/>
        </w:rPr>
        <w:t>产量</w:t>
      </w:r>
      <w:r>
        <w:t>3000吨，新中国成立后，黄烟生产在起伏中</w:t>
      </w:r>
      <w:r>
        <w:rPr>
          <w:rFonts w:hint="eastAsia"/>
        </w:rPr>
        <w:t>逐步发展，烟叶成为最大宗的农业商品，地方财政收入的支柱，烟区农民主要经济来源。</w:t>
      </w:r>
      <w:r>
        <w:t>1996年南雄</w:t>
      </w:r>
      <w:r>
        <w:rPr>
          <w:rFonts w:hint="eastAsia"/>
        </w:rPr>
        <w:t>被授予“中国黄烟之乡”，</w:t>
      </w:r>
      <w:r>
        <w:t>1999年南雄列为全国六</w:t>
      </w:r>
      <w:r>
        <w:rPr>
          <w:rFonts w:hint="eastAsia"/>
        </w:rPr>
        <w:t>大国际型优质烤烟生产基地之一和全国名优晒烟基地。</w:t>
      </w:r>
      <w:r>
        <w:t>2013年黄烟种植14.4万亩，收购烟叶1.45万</w:t>
      </w:r>
      <w:r>
        <w:rPr>
          <w:rFonts w:hint="eastAsia"/>
        </w:rPr>
        <w:t>吨，收购资金</w:t>
      </w:r>
      <w:r>
        <w:t>3.48亿元。</w:t>
      </w:r>
    </w:p>
    <w:p w14:paraId="4844E193">
      <w:pPr>
        <w:pStyle w:val="3"/>
        <w:bidi w:val="0"/>
        <w:rPr>
          <w:rFonts w:hint="default"/>
          <w:lang w:val="en-US" w:eastAsia="zh-CN"/>
        </w:rPr>
      </w:pPr>
      <w:r>
        <w:rPr>
          <w:rFonts w:hint="eastAsia"/>
          <w:lang w:val="en-US" w:eastAsia="zh-CN"/>
        </w:rPr>
        <w:t>社会·经济</w:t>
      </w:r>
    </w:p>
    <w:p w14:paraId="773E48DE">
      <w:pPr>
        <w:pStyle w:val="4"/>
        <w:bidi w:val="0"/>
      </w:pPr>
      <w:r>
        <w:rPr>
          <w:rFonts w:hint="eastAsia"/>
        </w:rPr>
        <w:t>【</w:t>
      </w:r>
      <w:r>
        <w:t>2013年经济社会发展】</w:t>
      </w:r>
    </w:p>
    <w:p w14:paraId="56DDD874">
      <w:r>
        <w:t>2013年全市生产总值100.79亿元，比上年增长12.7%。其中；第</w:t>
      </w:r>
      <w:r>
        <w:rPr>
          <w:rFonts w:hint="eastAsia"/>
          <w:lang w:val="en-US" w:eastAsia="zh-CN"/>
        </w:rPr>
        <w:t>一产</w:t>
      </w:r>
      <w:r>
        <w:rPr>
          <w:rFonts w:hint="eastAsia"/>
        </w:rPr>
        <w:t>业增加值为</w:t>
      </w:r>
      <w:r>
        <w:t>23.63亿元，增长4.8%；第二产业增</w:t>
      </w:r>
      <w:r>
        <w:rPr>
          <w:rFonts w:hint="eastAsia"/>
        </w:rPr>
        <w:t>加值为</w:t>
      </w:r>
      <w:r>
        <w:t>37.01亿元，增长20.6%；工业增加值28.6</w:t>
      </w:r>
      <w:r>
        <w:rPr>
          <w:rFonts w:hint="eastAsia"/>
        </w:rPr>
        <w:t>亿元，增长</w:t>
      </w:r>
      <w:r>
        <w:t>25.9%；第三产业增加值为40.15亿</w:t>
      </w:r>
      <w:r>
        <w:rPr>
          <w:rFonts w:hint="eastAsia"/>
        </w:rPr>
        <w:t>元，增长</w:t>
      </w:r>
      <w:r>
        <w:t>10.3%。人均地区生产总值31050元，增</w:t>
      </w:r>
      <w:r>
        <w:rPr>
          <w:rFonts w:hint="eastAsia"/>
        </w:rPr>
        <w:t>长</w:t>
      </w:r>
      <w:r>
        <w:t>1</w:t>
      </w:r>
      <w:r>
        <w:rPr>
          <w:rFonts w:hint="eastAsia"/>
          <w:lang w:val="en-US" w:eastAsia="zh-CN"/>
        </w:rPr>
        <w:t>1.8</w:t>
      </w:r>
      <w:r>
        <w:t>%。规模以上工业总产值94.62亿元，增长39.9%。农林牧渔业总产值38.61亿元，增长4.9%。固定资产投资82.4亿元，增长16%。社会</w:t>
      </w:r>
      <w:r>
        <w:rPr>
          <w:rFonts w:hint="eastAsia"/>
        </w:rPr>
        <w:t>消费品零售总额</w:t>
      </w:r>
      <w:r>
        <w:t>35.59亿元，增长15.1%。外贸出</w:t>
      </w:r>
      <w:r>
        <w:rPr>
          <w:rFonts w:hint="eastAsia"/>
        </w:rPr>
        <w:t>口总额</w:t>
      </w:r>
      <w:r>
        <w:t>3835万美元，增长34.2%。实际利用外资2116万美元。地方财政一般预算收入4.76亿元，</w:t>
      </w:r>
      <w:r>
        <w:rPr>
          <w:rFonts w:hint="eastAsia"/>
        </w:rPr>
        <w:t>增长</w:t>
      </w:r>
      <w:r>
        <w:t>18.9%。城镇居民人均可支配收入17134元，</w:t>
      </w:r>
      <w:r>
        <w:rPr>
          <w:rFonts w:hint="eastAsia"/>
        </w:rPr>
        <w:t>增长</w:t>
      </w:r>
      <w:r>
        <w:t>11.9%。农村居民人均纯收</w:t>
      </w:r>
      <w:r>
        <w:rPr>
          <w:rFonts w:hint="eastAsia"/>
          <w:lang w:val="en-US" w:eastAsia="zh-CN"/>
        </w:rPr>
        <w:t>入</w:t>
      </w:r>
      <w:r>
        <w:t>9203元，增</w:t>
      </w:r>
      <w:r>
        <w:rPr>
          <w:rFonts w:hint="eastAsia"/>
        </w:rPr>
        <w:t>长</w:t>
      </w:r>
      <w:r>
        <w:t>12.5%。</w:t>
      </w:r>
    </w:p>
    <w:p w14:paraId="66B2BF70">
      <w:pPr>
        <w:pStyle w:val="4"/>
        <w:bidi w:val="0"/>
        <w:rPr>
          <w:rFonts w:hint="eastAsia"/>
        </w:rPr>
      </w:pPr>
      <w:r>
        <w:rPr>
          <w:rFonts w:hint="eastAsia"/>
        </w:rPr>
        <w:t>【重点建设项目加快推进】</w:t>
      </w:r>
    </w:p>
    <w:p w14:paraId="5471DDDA">
      <w:pPr>
        <w:rPr>
          <w:rFonts w:hint="eastAsia"/>
          <w:lang w:eastAsia="zh-CN"/>
        </w:rPr>
      </w:pPr>
      <w:r>
        <w:rPr>
          <w:rFonts w:hint="eastAsia"/>
        </w:rPr>
        <w:t>“三农”项目，湖口镇、邓坊镇</w:t>
      </w:r>
      <w:r>
        <w:t>2个农综项目已竣工，分别完成投资1320万元和1500万元。烟叶基础设施完成投资3983万元。8个水利建设项目投入资金1.6亿元</w:t>
      </w:r>
      <w:r>
        <w:rPr>
          <w:rFonts w:hint="eastAsia"/>
          <w:lang w:eastAsia="zh-CN"/>
        </w:rPr>
        <w:t>。</w:t>
      </w:r>
      <w:r>
        <w:t>44个村级“一事一议”项目、2个名村、5个示范</w:t>
      </w:r>
      <w:r>
        <w:rPr>
          <w:rFonts w:hint="eastAsia"/>
        </w:rPr>
        <w:t>村建设全面完成。工业企业，乐华二期洁具工程投资</w:t>
      </w:r>
      <w:r>
        <w:t>9500万元，进行设备安装调试。绿洲公司扩</w:t>
      </w:r>
      <w:r>
        <w:rPr>
          <w:rFonts w:hint="eastAsia"/>
          <w:lang w:val="en-US" w:eastAsia="zh-CN"/>
        </w:rPr>
        <w:t>产</w:t>
      </w:r>
      <w:r>
        <w:rPr>
          <w:rFonts w:hint="eastAsia"/>
        </w:rPr>
        <w:t>技改项目完成投资</w:t>
      </w:r>
      <w:r>
        <w:t>2000万元，已完成土建工程</w:t>
      </w:r>
      <w:r>
        <w:rPr>
          <w:rFonts w:hint="eastAsia"/>
          <w:lang w:eastAsia="zh-CN"/>
        </w:rPr>
        <w:t>。</w:t>
      </w:r>
      <w:r>
        <w:rPr>
          <w:rFonts w:hint="eastAsia"/>
        </w:rPr>
        <w:t>交通基础设施，赣韶铁路南雄段完成铺轨，投资</w:t>
      </w:r>
      <w:r>
        <w:t>2075万元，完成83公里自然村水泥公路建设，</w:t>
      </w:r>
      <w:r>
        <w:rPr>
          <w:rFonts w:hint="eastAsia"/>
          <w:lang w:val="en-US" w:eastAsia="zh-CN"/>
        </w:rPr>
        <w:t>X</w:t>
      </w:r>
      <w:r>
        <w:t>342线湖口至南亩段改造完成主路面工程。旅游</w:t>
      </w:r>
      <w:r>
        <w:rPr>
          <w:rFonts w:hint="eastAsia"/>
        </w:rPr>
        <w:t>配套项目，珠玑古巷停车场建设已完成，广东奥威斯乐园完成投资</w:t>
      </w:r>
      <w:r>
        <w:t>1亿元，元升生态观光休闲农场完</w:t>
      </w:r>
      <w:r>
        <w:rPr>
          <w:rFonts w:hint="eastAsia"/>
        </w:rPr>
        <w:t>成投资</w:t>
      </w:r>
      <w:r>
        <w:t>5000万元，锦绣花园酒店完成投资3000万</w:t>
      </w:r>
      <w:r>
        <w:rPr>
          <w:rFonts w:hint="eastAsia"/>
        </w:rPr>
        <w:t>元，国际会展中心酒店已封顶。信息化建设、城市宽带、</w:t>
      </w:r>
      <w:r>
        <w:t>C网新建等项目建设完成投资974万元。农</w:t>
      </w:r>
      <w:r>
        <w:rPr>
          <w:rFonts w:hint="eastAsia"/>
        </w:rPr>
        <w:t>村电网改造完成投资</w:t>
      </w:r>
      <w:r>
        <w:t>3726万元，佛燃天然气公司</w:t>
      </w:r>
      <w:r>
        <w:rPr>
          <w:rFonts w:hint="eastAsia"/>
        </w:rPr>
        <w:t>完成</w:t>
      </w:r>
      <w:r>
        <w:t>20公里燃气管道铺设</w:t>
      </w:r>
      <w:r>
        <w:rPr>
          <w:rFonts w:hint="eastAsia"/>
          <w:lang w:eastAsia="zh-CN"/>
        </w:rPr>
        <w:t>。</w:t>
      </w:r>
    </w:p>
    <w:p w14:paraId="3E859119">
      <w:pPr>
        <w:pStyle w:val="4"/>
        <w:bidi w:val="0"/>
        <w:rPr>
          <w:rFonts w:hint="eastAsia"/>
        </w:rPr>
      </w:pPr>
      <w:r>
        <w:rPr>
          <w:rFonts w:hint="eastAsia"/>
        </w:rPr>
        <w:t>【社会各项事业不断发展】</w:t>
      </w:r>
    </w:p>
    <w:p w14:paraId="4AE2245E">
      <w:pPr>
        <w:rPr>
          <w:rFonts w:hint="eastAsia"/>
        </w:rPr>
      </w:pPr>
      <w:r>
        <w:rPr>
          <w:rFonts w:hint="eastAsia"/>
        </w:rPr>
        <w:t>城乡就业和社会保障服务均等化不断加强，镇级和园区人力资源社会保障服务平台建成使用。城镇新增就业</w:t>
      </w:r>
      <w:r>
        <w:t>4613人，新</w:t>
      </w:r>
      <w:r>
        <w:rPr>
          <w:rFonts w:hint="eastAsia"/>
        </w:rPr>
        <w:t>增农村劳动力转移就业</w:t>
      </w:r>
      <w:r>
        <w:t>7257人，城镇登记失业率</w:t>
      </w:r>
      <w:r>
        <w:rPr>
          <w:rFonts w:hint="eastAsia"/>
        </w:rPr>
        <w:t>为</w:t>
      </w:r>
      <w:r>
        <w:t>2.4%。社会保险覆盖面不断扩大，16.5万人参</w:t>
      </w:r>
      <w:r>
        <w:rPr>
          <w:rFonts w:hint="eastAsia"/>
        </w:rPr>
        <w:t>加城乡居民养老保险，</w:t>
      </w:r>
      <w:r>
        <w:t>35.5万人参加城乡居民医疗</w:t>
      </w:r>
      <w:r>
        <w:rPr>
          <w:rFonts w:hint="eastAsia"/>
        </w:rPr>
        <w:t>保险。社会救助体系不断完善，支出低保资金</w:t>
      </w:r>
      <w:r>
        <w:t>1020</w:t>
      </w:r>
      <w:r>
        <w:rPr>
          <w:rFonts w:hint="eastAsia"/>
        </w:rPr>
        <w:t>万元，为</w:t>
      </w:r>
      <w:r>
        <w:t>4820户8100名困难群众提供基本生活保</w:t>
      </w:r>
      <w:r>
        <w:rPr>
          <w:rFonts w:hint="eastAsia"/>
        </w:rPr>
        <w:t>障；五保老人生活标准每人每月增加</w:t>
      </w:r>
      <w:r>
        <w:t>50元；医疗</w:t>
      </w:r>
      <w:r>
        <w:rPr>
          <w:rFonts w:hint="eastAsia"/>
        </w:rPr>
        <w:t>救助支出</w:t>
      </w:r>
      <w:r>
        <w:t>190万元，救助640人次，有暴力倾向64</w:t>
      </w:r>
      <w:r>
        <w:rPr>
          <w:rFonts w:hint="eastAsia"/>
        </w:rPr>
        <w:t>名精神病人由市财政全额出资治疗。</w:t>
      </w:r>
    </w:p>
    <w:p w14:paraId="5F95DF26">
      <w:pPr>
        <w:rPr>
          <w:rFonts w:hint="eastAsia"/>
        </w:rPr>
      </w:pPr>
      <w:r>
        <w:rPr>
          <w:rFonts w:hint="eastAsia"/>
        </w:rPr>
        <w:t>教育事业加快发展，创建省“教育强市”和全国义务教育发展基本均衡县（市）通过省级督导评估，投入</w:t>
      </w:r>
      <w:r>
        <w:t>3亿多元南雄一小等教育四大“民生工</w:t>
      </w:r>
      <w:r>
        <w:rPr>
          <w:rFonts w:hint="eastAsia"/>
        </w:rPr>
        <w:t>程”启用。市疾控中心新业务楼投入使用，传染病报告与处理、儿童保健等“十一大基本公共卫生服务项目”全面落实，启动公立医院改革。精神文明创建水平进一步提高，珠玑镇通过“省文明镇”考评。文化广电事业繁荣发展，新城影剧院建成开业，完成数字电视整体转换工作，博物馆、文化馆、图书馆异地重建前期工作正在进行；“南粤雄关与古道”成为第七批全国重点文物保护单位，大成殿等</w:t>
      </w:r>
      <w:r>
        <w:t>3处文物成为第七批省级文物保护单位，恐</w:t>
      </w:r>
      <w:r>
        <w:rPr>
          <w:rFonts w:hint="eastAsia"/>
        </w:rPr>
        <w:t>龙自然保护区获批“省级地质公园”。科技创新能力增强，完成专利申报</w:t>
      </w:r>
      <w:r>
        <w:t>116件，南雄阳普医疗被认</w:t>
      </w:r>
      <w:r>
        <w:rPr>
          <w:rFonts w:hint="eastAsia"/>
        </w:rPr>
        <w:t>定为</w:t>
      </w:r>
      <w:r>
        <w:t>2013年广东省第一批高新技术企业。全民健</w:t>
      </w:r>
      <w:r>
        <w:rPr>
          <w:rFonts w:hint="eastAsia"/>
        </w:rPr>
        <w:t>身运动蓬勃发展，完成黄坑等</w:t>
      </w:r>
      <w:r>
        <w:t>4个镇农民健身工程</w:t>
      </w:r>
      <w:r>
        <w:rPr>
          <w:rFonts w:hint="eastAsia"/>
        </w:rPr>
        <w:t>建设。</w:t>
      </w:r>
    </w:p>
    <w:p w14:paraId="07A672DE">
      <w:pPr>
        <w:pStyle w:val="4"/>
        <w:bidi w:val="0"/>
        <w:rPr>
          <w:rFonts w:hint="eastAsia"/>
        </w:rPr>
      </w:pPr>
      <w:r>
        <w:rPr>
          <w:rFonts w:hint="eastAsia"/>
        </w:rPr>
        <w:t>【南雄城区公交车开通】</w:t>
      </w:r>
    </w:p>
    <w:p w14:paraId="7BFC31FF">
      <w:pPr>
        <w:rPr>
          <w:rFonts w:hint="eastAsia"/>
          <w:lang w:eastAsia="zh-CN"/>
        </w:rPr>
      </w:pPr>
      <w:r>
        <w:t>3月21日，南雄市城区</w:t>
      </w:r>
      <w:r>
        <w:rPr>
          <w:rFonts w:hint="eastAsia"/>
        </w:rPr>
        <w:t>公交车正式开通，该市投资</w:t>
      </w:r>
      <w:r>
        <w:t>150万元购置6辆城区</w:t>
      </w:r>
      <w:r>
        <w:rPr>
          <w:rFonts w:hint="eastAsia"/>
        </w:rPr>
        <w:t>专用公交车，开通线路</w:t>
      </w:r>
      <w:r>
        <w:t>3条，基本覆盖城区居民</w:t>
      </w:r>
      <w:r>
        <w:rPr>
          <w:rFonts w:hint="eastAsia"/>
        </w:rPr>
        <w:t>点，还辐射到城区附近古市镇。公交运行时间为每天早上</w:t>
      </w:r>
      <w:r>
        <w:t>7点至晚上8点，每条线路运行都在20趟以</w:t>
      </w:r>
      <w:r>
        <w:rPr>
          <w:rFonts w:hint="eastAsia"/>
        </w:rPr>
        <w:t>上，全程票价</w:t>
      </w:r>
      <w:r>
        <w:t>2元。随着城镇化建设步伐加快，城</w:t>
      </w:r>
      <w:r>
        <w:rPr>
          <w:rFonts w:hint="eastAsia"/>
        </w:rPr>
        <w:t>区面积扩大，人口日益增加，城区公交线开通，市民出行将更为便捷舒适</w:t>
      </w:r>
      <w:r>
        <w:rPr>
          <w:rFonts w:hint="eastAsia"/>
          <w:lang w:eastAsia="zh-CN"/>
        </w:rPr>
        <w:t>。</w:t>
      </w:r>
    </w:p>
    <w:p w14:paraId="18886A47">
      <w:pPr>
        <w:pStyle w:val="4"/>
        <w:bidi w:val="0"/>
        <w:rPr>
          <w:rFonts w:hint="eastAsia"/>
        </w:rPr>
      </w:pPr>
      <w:r>
        <w:rPr>
          <w:rFonts w:hint="eastAsia"/>
        </w:rPr>
        <w:t>【农村学校教师享受岗位津贴】</w:t>
      </w:r>
    </w:p>
    <w:p w14:paraId="6CB83AC2">
      <w:pPr>
        <w:rPr>
          <w:rFonts w:hint="eastAsia"/>
          <w:lang w:eastAsia="zh-CN"/>
        </w:rPr>
      </w:pPr>
      <w:r>
        <w:rPr>
          <w:rFonts w:hint="eastAsia"/>
        </w:rPr>
        <w:t>促进城乡教育均衡发展，利于农村学校教师队伍稳定，提高农村教学水平，缩小城乡差距，南雄市制定出台《农村义务教育学校教师享受岗位津贴实施方案》。津贴发放范围对象为全市（不含县城直属学校及原雄州镇小学）农村义务教育学校在编在岗工作人员，津贴发放标准根据学校距县城距离分</w:t>
      </w:r>
      <w:r>
        <w:t>5个档次，人均每</w:t>
      </w:r>
      <w:r>
        <w:rPr>
          <w:rFonts w:hint="eastAsia"/>
        </w:rPr>
        <w:t>月</w:t>
      </w:r>
      <w:r>
        <w:t>502元，津贴随工资纳入财政统一发放，每月农</w:t>
      </w:r>
      <w:r>
        <w:rPr>
          <w:rFonts w:hint="eastAsia"/>
        </w:rPr>
        <w:t>村教师岗位津贴经考核公示后，次月发放</w:t>
      </w:r>
      <w:r>
        <w:rPr>
          <w:rFonts w:hint="eastAsia"/>
          <w:lang w:eastAsia="zh-CN"/>
        </w:rPr>
        <w:t>。</w:t>
      </w:r>
    </w:p>
    <w:p w14:paraId="05C5E736">
      <w:pPr>
        <w:pStyle w:val="4"/>
        <w:bidi w:val="0"/>
        <w:rPr>
          <w:rFonts w:hint="eastAsia"/>
        </w:rPr>
      </w:pPr>
      <w:r>
        <w:rPr>
          <w:rFonts w:hint="eastAsia"/>
        </w:rPr>
        <w:t>【教育“四大”民生工程启用】</w:t>
      </w:r>
    </w:p>
    <w:p w14:paraId="5628E915">
      <w:r>
        <w:t>9月10日，南雄</w:t>
      </w:r>
      <w:r>
        <w:rPr>
          <w:rFonts w:hint="eastAsia"/>
        </w:rPr>
        <w:t>市举行教育“四大”民生工程启用仪式，优化城区学校布局，投</w:t>
      </w:r>
      <w:r>
        <w:rPr>
          <w:rFonts w:hint="eastAsia"/>
          <w:lang w:val="en-US" w:eastAsia="zh-CN"/>
        </w:rPr>
        <w:t>入</w:t>
      </w:r>
      <w:r>
        <w:t>3亿多元建设南雄一小、南雄二</w:t>
      </w:r>
      <w:r>
        <w:rPr>
          <w:rFonts w:hint="eastAsia"/>
        </w:rPr>
        <w:t>中、特殊教育学校、新全安中学等四所学校。这“四大”民生工程占地</w:t>
      </w:r>
      <w:r>
        <w:t>18公顷，建设面积8公顷。</w:t>
      </w:r>
      <w:r>
        <w:rPr>
          <w:rFonts w:hint="eastAsia"/>
        </w:rPr>
        <w:t>其中，南雄一小占地</w:t>
      </w:r>
      <w:r>
        <w:t>4.9公顷，学校建成后成为高</w:t>
      </w:r>
      <w:r>
        <w:rPr>
          <w:rFonts w:hint="eastAsia"/>
        </w:rPr>
        <w:t>标准、示范性小学，可同时容纳</w:t>
      </w:r>
      <w:r>
        <w:t>3600名学生就读。</w:t>
      </w:r>
      <w:r>
        <w:rPr>
          <w:rFonts w:hint="eastAsia"/>
        </w:rPr>
        <w:t>新全安中学和南雄二中分别占地</w:t>
      </w:r>
      <w:r>
        <w:t>4.6公顷，可分别</w:t>
      </w:r>
      <w:r>
        <w:rPr>
          <w:rFonts w:hint="eastAsia"/>
        </w:rPr>
        <w:t>容纳</w:t>
      </w:r>
      <w:r>
        <w:t>180</w:t>
      </w:r>
      <w:r>
        <w:rPr>
          <w:rFonts w:hint="eastAsia"/>
          <w:lang w:val="en-US" w:eastAsia="zh-CN"/>
        </w:rPr>
        <w:t>0</w:t>
      </w:r>
      <w:r>
        <w:t>和4200名学生就读。南雄市特殊教育学</w:t>
      </w:r>
      <w:r>
        <w:rPr>
          <w:rFonts w:hint="eastAsia"/>
        </w:rPr>
        <w:t>校则是在原珠玑长迳小学闲置校舍基础上，投资</w:t>
      </w:r>
      <w:r>
        <w:t>412万元进行改造建成。</w:t>
      </w:r>
    </w:p>
    <w:p w14:paraId="0057CAB4">
      <w:pPr>
        <w:pStyle w:val="4"/>
        <w:bidi w:val="0"/>
        <w:rPr>
          <w:rFonts w:hint="eastAsia"/>
        </w:rPr>
      </w:pPr>
      <w:r>
        <w:rPr>
          <w:rFonts w:hint="eastAsia"/>
        </w:rPr>
        <w:t>【珠影文化广场影院落成开业】</w:t>
      </w:r>
    </w:p>
    <w:p w14:paraId="5EF8B72C">
      <w:pPr>
        <w:rPr>
          <w:rFonts w:hint="eastAsia"/>
        </w:rPr>
      </w:pPr>
      <w:r>
        <w:t>2月2日，南雄</w:t>
      </w:r>
      <w:r>
        <w:rPr>
          <w:rFonts w:hint="eastAsia"/>
        </w:rPr>
        <w:t>市珠影文化广场影院落成并正式开业，近年来，南雄在强力推进经济发展的同时，把文化建设作为</w:t>
      </w:r>
      <w:r>
        <w:rPr>
          <w:rFonts w:hint="eastAsia"/>
          <w:lang w:eastAsia="zh-CN"/>
        </w:rPr>
        <w:t>“</w:t>
      </w:r>
      <w:r>
        <w:rPr>
          <w:rFonts w:hint="eastAsia"/>
        </w:rPr>
        <w:t>软实力”精心打造。影文化广场影院项目是南雄重点民生工程之一，总投资</w:t>
      </w:r>
      <w:r>
        <w:t>3500万元，建筑面积1</w:t>
      </w:r>
      <w:r>
        <w:rPr>
          <w:rFonts w:hint="eastAsia"/>
        </w:rPr>
        <w:t>万平方米，设</w:t>
      </w:r>
      <w:r>
        <w:t>5个放映厅，约800个座位，3D</w:t>
      </w:r>
      <w:r>
        <w:rPr>
          <w:rFonts w:hint="eastAsia"/>
          <w:lang w:eastAsia="zh-CN"/>
        </w:rPr>
        <w:t>、</w:t>
      </w:r>
      <w:r>
        <w:t>4D、5D放影齐全。配套世界先进的SONY4K放映</w:t>
      </w:r>
      <w:r>
        <w:rPr>
          <w:rFonts w:hint="eastAsia"/>
        </w:rPr>
        <w:t>设备，β</w:t>
      </w:r>
      <w:r>
        <w:t>3环绕立体音响，进口无缝金属幕。该项</w:t>
      </w:r>
      <w:r>
        <w:rPr>
          <w:rFonts w:hint="eastAsia"/>
        </w:rPr>
        <w:t>目建成，填补了南雄影视文化产业空白，成为南雄文化新地标，切实提高南雄文化消费档次和水平，成为建设幸福南雄重要平台和有效载体。</w:t>
      </w:r>
    </w:p>
    <w:p w14:paraId="697AC599">
      <w:pPr>
        <w:pStyle w:val="4"/>
        <w:bidi w:val="0"/>
        <w:rPr>
          <w:rFonts w:hint="eastAsia"/>
        </w:rPr>
      </w:pPr>
      <w:r>
        <w:rPr>
          <w:rFonts w:hint="eastAsia"/>
          <w:lang w:eastAsia="zh-CN"/>
        </w:rPr>
        <w:t>【</w:t>
      </w:r>
      <w:r>
        <w:rPr>
          <w:rFonts w:hint="eastAsia"/>
        </w:rPr>
        <w:t>南粤雄</w:t>
      </w:r>
      <w:r>
        <w:rPr>
          <w:rFonts w:hint="eastAsia"/>
          <w:lang w:eastAsia="zh-CN"/>
        </w:rPr>
        <w:t>关</w:t>
      </w:r>
      <w:r>
        <w:rPr>
          <w:rFonts w:hint="eastAsia"/>
        </w:rPr>
        <w:t>与古道列为全国重点文物保护单位】</w:t>
      </w:r>
    </w:p>
    <w:p w14:paraId="2132B358">
      <w:pPr>
        <w:rPr>
          <w:rFonts w:hint="eastAsia"/>
        </w:rPr>
      </w:pPr>
      <w:r>
        <w:t>5</w:t>
      </w:r>
      <w:r>
        <w:rPr>
          <w:rFonts w:hint="eastAsia"/>
        </w:rPr>
        <w:t>月，南雄市南</w:t>
      </w:r>
      <w:r>
        <w:rPr>
          <w:rFonts w:hint="eastAsia"/>
          <w:lang w:eastAsia="zh-CN"/>
        </w:rPr>
        <w:t>粤</w:t>
      </w:r>
      <w:r>
        <w:rPr>
          <w:rFonts w:hint="eastAsia"/>
        </w:rPr>
        <w:t>雄关与古道被列为第七批全国重点文物保护单位。梅关古道位于南雄市东北，距市区</w:t>
      </w:r>
      <w:r>
        <w:t>26公里珠玑镇境内。地跨</w:t>
      </w:r>
      <w:r>
        <w:rPr>
          <w:rFonts w:hint="eastAsia"/>
          <w:lang w:eastAsia="zh-CN"/>
        </w:rPr>
        <w:t>粤</w:t>
      </w:r>
      <w:r>
        <w:t>赣两省，古道上关楼刻</w:t>
      </w:r>
      <w:r>
        <w:rPr>
          <w:rFonts w:hint="eastAsia"/>
        </w:rPr>
        <w:t>有“岭南第一关”、“南</w:t>
      </w:r>
      <w:r>
        <w:rPr>
          <w:rFonts w:hint="eastAsia"/>
          <w:lang w:eastAsia="zh-CN"/>
        </w:rPr>
        <w:t>粤</w:t>
      </w:r>
      <w:r>
        <w:rPr>
          <w:rFonts w:hint="eastAsia"/>
        </w:rPr>
        <w:t>雄关”。自唐代张九龄开凿驿道以来，成为古代连接长江与珠江水系陆路最短交通要道。</w:t>
      </w:r>
      <w:r>
        <w:t>2012年评为国家4A级旅游景区。截</w:t>
      </w:r>
      <w:r>
        <w:rPr>
          <w:rFonts w:hint="eastAsia"/>
        </w:rPr>
        <w:t>至目前，南雄市有</w:t>
      </w:r>
      <w:r>
        <w:t>2处全国重点文物保护单位：三</w:t>
      </w:r>
      <w:r>
        <w:rPr>
          <w:rFonts w:hint="eastAsia"/>
        </w:rPr>
        <w:t>影古塔、南</w:t>
      </w:r>
      <w:r>
        <w:rPr>
          <w:rFonts w:hint="eastAsia"/>
          <w:lang w:eastAsia="zh-CN"/>
        </w:rPr>
        <w:t>粤</w:t>
      </w:r>
      <w:r>
        <w:rPr>
          <w:rFonts w:hint="eastAsia"/>
        </w:rPr>
        <w:t>雄关与古道。</w:t>
      </w:r>
    </w:p>
    <w:p w14:paraId="7F690730">
      <w:pPr>
        <w:jc w:val="right"/>
        <w:rPr>
          <w:rFonts w:hint="eastAsia"/>
          <w:b/>
          <w:bCs/>
        </w:rPr>
      </w:pPr>
      <w:r>
        <w:rPr>
          <w:rFonts w:hint="eastAsia"/>
          <w:b/>
          <w:bCs/>
        </w:rPr>
        <w:t>（谢</w:t>
      </w:r>
      <w:r>
        <w:rPr>
          <w:rFonts w:hint="eastAsia"/>
          <w:b/>
          <w:bCs/>
          <w:lang w:val="en-US" w:eastAsia="zh-CN"/>
        </w:rPr>
        <w:t xml:space="preserve">  </w:t>
      </w:r>
      <w:r>
        <w:rPr>
          <w:rFonts w:hint="eastAsia"/>
          <w:b/>
          <w:bCs/>
        </w:rPr>
        <w:t>平）</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6CB26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FAD614F">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2360" cy="3148965"/>
                  <wp:effectExtent l="0" t="0" r="8890" b="13335"/>
                  <wp:docPr id="45" name="图片 45" descr="南雄年鉴2014-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南雄年鉴2014-045"/>
                          <pic:cNvPicPr>
                            <a:picLocks noChangeAspect="1"/>
                          </pic:cNvPicPr>
                        </pic:nvPicPr>
                        <pic:blipFill>
                          <a:blip r:embed="rId115"/>
                          <a:stretch>
                            <a:fillRect/>
                          </a:stretch>
                        </pic:blipFill>
                        <pic:spPr>
                          <a:xfrm>
                            <a:off x="0" y="0"/>
                            <a:ext cx="6182360" cy="3148965"/>
                          </a:xfrm>
                          <a:prstGeom prst="rect">
                            <a:avLst/>
                          </a:prstGeom>
                        </pic:spPr>
                      </pic:pic>
                    </a:graphicData>
                  </a:graphic>
                </wp:inline>
              </w:drawing>
            </w:r>
          </w:p>
        </w:tc>
      </w:tr>
    </w:tbl>
    <w:p w14:paraId="63E4A58B">
      <w:pPr>
        <w:pStyle w:val="2"/>
        <w:bidi w:val="0"/>
        <w:rPr>
          <w:rFonts w:hint="eastAsia"/>
          <w:lang w:eastAsia="zh-CN"/>
        </w:rPr>
      </w:pPr>
      <w:r>
        <w:rPr>
          <w:rFonts w:hint="eastAsia"/>
        </w:rPr>
        <w:t>中共南雄市委员</w:t>
      </w:r>
      <w:r>
        <w:rPr>
          <w:rFonts w:hint="eastAsia"/>
          <w:lang w:eastAsia="zh-CN"/>
        </w:rPr>
        <w:t>会</w:t>
      </w:r>
    </w:p>
    <w:p w14:paraId="3627FAFF">
      <w:pPr>
        <w:pStyle w:val="3"/>
        <w:bidi w:val="0"/>
        <w:rPr>
          <w:rFonts w:hint="eastAsia"/>
          <w:lang w:val="en-US" w:eastAsia="zh-CN"/>
        </w:rPr>
      </w:pPr>
      <w:r>
        <w:rPr>
          <w:rFonts w:hint="eastAsia"/>
          <w:lang w:val="en-US" w:eastAsia="zh-CN"/>
        </w:rPr>
        <w:t>综述</w:t>
      </w:r>
    </w:p>
    <w:p w14:paraId="1AB06AD2">
      <w:pPr>
        <w:rPr>
          <w:rFonts w:hint="eastAsia"/>
          <w:lang w:eastAsia="zh-CN"/>
        </w:rPr>
      </w:pPr>
      <w:r>
        <w:t>2013年，南雄市深入学习贯彻习近平总书记系</w:t>
      </w:r>
      <w:r>
        <w:rPr>
          <w:rFonts w:hint="eastAsia"/>
        </w:rPr>
        <w:t>列讲话精神和省委书记胡春华同志在韶关调研时的讲话精神，坚持以发展为第一要务，以稳定为第</w:t>
      </w:r>
      <w:r>
        <w:rPr>
          <w:rFonts w:hint="eastAsia"/>
          <w:lang w:val="en-US" w:eastAsia="zh-CN"/>
        </w:rPr>
        <w:t>一</w:t>
      </w:r>
      <w:r>
        <w:rPr>
          <w:rFonts w:hint="eastAsia"/>
        </w:rPr>
        <w:t>责任，深入开展“面向基层、整顿作风、服务群众”教育实践活动，引导该市上下转变作风、强化责任、狠抓落实，经济运行呈现持续向好、质量提升、主要指标稳步增长的发展态势。全市实现生产总值</w:t>
      </w:r>
      <w:r>
        <w:t>100.79亿元，同比增长12.7%；公共财政预</w:t>
      </w:r>
      <w:r>
        <w:rPr>
          <w:rFonts w:hint="eastAsia"/>
        </w:rPr>
        <w:t>算收</w:t>
      </w:r>
      <w:r>
        <w:rPr>
          <w:rFonts w:hint="eastAsia"/>
          <w:lang w:val="en-US" w:eastAsia="zh-CN"/>
        </w:rPr>
        <w:t>入</w:t>
      </w:r>
      <w:r>
        <w:t>4.76亿元，同比增长18.9%；社会固定资</w:t>
      </w:r>
      <w:r>
        <w:rPr>
          <w:rFonts w:hint="eastAsia"/>
        </w:rPr>
        <w:t>产投资</w:t>
      </w:r>
      <w:r>
        <w:t>82.4亿元，同比增长16%。综观2013的工</w:t>
      </w:r>
      <w:r>
        <w:rPr>
          <w:rFonts w:hint="eastAsia"/>
        </w:rPr>
        <w:t>作，突出表现在以下几个方面</w:t>
      </w:r>
      <w:r>
        <w:rPr>
          <w:rFonts w:hint="eastAsia"/>
          <w:lang w:eastAsia="zh-CN"/>
        </w:rPr>
        <w:t>；</w:t>
      </w:r>
    </w:p>
    <w:p w14:paraId="1FADECFB">
      <w:r>
        <w:rPr>
          <w:rFonts w:hint="eastAsia"/>
          <w:b/>
          <w:bCs/>
          <w:lang w:val="en-US" w:eastAsia="zh-CN"/>
        </w:rPr>
        <w:t>一</w:t>
      </w:r>
      <w:r>
        <w:rPr>
          <w:rFonts w:hint="eastAsia"/>
          <w:b/>
          <w:bCs/>
        </w:rPr>
        <w:t>是农业产业化达到新水平。</w:t>
      </w:r>
      <w:r>
        <w:rPr>
          <w:rFonts w:hint="eastAsia"/>
        </w:rPr>
        <w:t>围绕加快农业产业化进程这一目标，扎实推进现代烟草、禽畜养殖、优质米生产等“六大”农业产业基地建设。</w:t>
      </w:r>
      <w:r>
        <w:t>2013年，种植烟叶面积10.1万亩，收购烟叶29万</w:t>
      </w:r>
      <w:r>
        <w:rPr>
          <w:rFonts w:hint="eastAsia"/>
        </w:rPr>
        <w:t>担，收购资金</w:t>
      </w:r>
      <w:r>
        <w:t>3.48亿元；创办4个万亩水稻高</w:t>
      </w:r>
      <w:r>
        <w:rPr>
          <w:rFonts w:hint="eastAsia"/>
          <w:lang w:val="en-US" w:eastAsia="zh-CN"/>
        </w:rPr>
        <w:t>产</w:t>
      </w:r>
      <w:r>
        <w:rPr>
          <w:rFonts w:hint="eastAsia"/>
        </w:rPr>
        <w:t>示范片；发展种植罗汉果、金银花、土茯苓等中药材</w:t>
      </w:r>
      <w:r>
        <w:t>7000多亩；全年生猪养殖86万头、家禽508万</w:t>
      </w:r>
      <w:r>
        <w:rPr>
          <w:rFonts w:hint="eastAsia"/>
        </w:rPr>
        <w:t>羽。农民专业合作社已发展到</w:t>
      </w:r>
      <w:r>
        <w:t>310家。科技兴农步</w:t>
      </w:r>
      <w:r>
        <w:rPr>
          <w:rFonts w:hint="eastAsia"/>
        </w:rPr>
        <w:t>伐加快，完成国家、省、市试验示范新品种</w:t>
      </w:r>
      <w:r>
        <w:t>168</w:t>
      </w:r>
      <w:r>
        <w:rPr>
          <w:rFonts w:hint="eastAsia"/>
        </w:rPr>
        <w:t>个。引进计划总投资</w:t>
      </w:r>
      <w:r>
        <w:t>2934万元的联生药业和总投</w:t>
      </w:r>
      <w:r>
        <w:rPr>
          <w:rFonts w:hint="eastAsia"/>
        </w:rPr>
        <w:t>资</w:t>
      </w:r>
      <w:r>
        <w:t>1.5亿元的台资企业陆河元升农业科技有限公</w:t>
      </w:r>
      <w:r>
        <w:rPr>
          <w:rFonts w:hint="eastAsia"/>
        </w:rPr>
        <w:t>司，农业发展势头良好。全年实现农业总产值</w:t>
      </w:r>
      <w:r>
        <w:t>38.61亿元，同比增长4.9%；农业增加值23.6亿</w:t>
      </w:r>
      <w:r>
        <w:rPr>
          <w:rFonts w:hint="eastAsia"/>
        </w:rPr>
        <w:t>元，同比增长</w:t>
      </w:r>
      <w:r>
        <w:t>5.6%。</w:t>
      </w:r>
    </w:p>
    <w:p w14:paraId="3C100007">
      <w:r>
        <w:rPr>
          <w:rFonts w:hint="eastAsia"/>
          <w:b/>
          <w:bCs/>
        </w:rPr>
        <w:t>二是园区建设取得新进展。</w:t>
      </w:r>
      <w:r>
        <w:rPr>
          <w:b/>
          <w:bCs/>
        </w:rPr>
        <w:t>1</w:t>
      </w:r>
      <w:r>
        <w:t>00家入园企业有66家企业进入投试产，其中规模以上企业53家</w:t>
      </w:r>
      <w:r>
        <w:rPr>
          <w:rFonts w:hint="eastAsia"/>
          <w:lang w:eastAsia="zh-CN"/>
        </w:rPr>
        <w:t>。</w:t>
      </w:r>
      <w:r>
        <w:rPr>
          <w:rFonts w:hint="eastAsia"/>
        </w:rPr>
        <w:t>园区全年完成工业总产值</w:t>
      </w:r>
      <w:r>
        <w:t>70.4亿元，增长49.6%</w:t>
      </w:r>
      <w:r>
        <w:rPr>
          <w:rFonts w:hint="eastAsia"/>
          <w:lang w:eastAsia="zh-CN"/>
        </w:rPr>
        <w:t>；</w:t>
      </w:r>
      <w:r>
        <w:rPr>
          <w:rFonts w:hint="eastAsia"/>
        </w:rPr>
        <w:t>实现工业增加值</w:t>
      </w:r>
      <w:r>
        <w:t>18亿元，增长50%。园区单位土</w:t>
      </w:r>
      <w:r>
        <w:rPr>
          <w:rFonts w:hint="eastAsia"/>
        </w:rPr>
        <w:t>地面积产出由原来的</w:t>
      </w:r>
      <w:r>
        <w:t>50.7万元</w:t>
      </w:r>
      <w:r>
        <w:rPr>
          <w:rFonts w:hint="eastAsia"/>
          <w:lang w:val="en-US" w:eastAsia="zh-CN"/>
        </w:rPr>
        <w:t>/</w:t>
      </w:r>
      <w:r>
        <w:t>亩提高到115.4万</w:t>
      </w:r>
      <w:r>
        <w:rPr>
          <w:rFonts w:hint="eastAsia"/>
        </w:rPr>
        <w:t>元</w:t>
      </w:r>
      <w:r>
        <w:rPr>
          <w:rFonts w:hint="eastAsia"/>
          <w:lang w:val="en-US" w:eastAsia="zh-CN"/>
        </w:rPr>
        <w:t>/</w:t>
      </w:r>
      <w:r>
        <w:t>亩，实现产出效益翻番。园区被评为省“四星</w:t>
      </w:r>
      <w:r>
        <w:rPr>
          <w:rFonts w:hint="eastAsia"/>
        </w:rPr>
        <w:t>级服务园区”（是韶关市唯一获此殊荣的园区），并在全省“双转移”</w:t>
      </w:r>
      <w:r>
        <w:rPr>
          <w:rFonts w:hint="eastAsia"/>
          <w:lang w:val="en-US" w:eastAsia="zh-CN"/>
        </w:rPr>
        <w:t>目</w:t>
      </w:r>
      <w:r>
        <w:rPr>
          <w:rFonts w:hint="eastAsia"/>
        </w:rPr>
        <w:t>标责任考核中，连续第三年获优秀等次。二期扩园建设已完成征地</w:t>
      </w:r>
      <w:r>
        <w:t>5400亩，平</w:t>
      </w:r>
      <w:r>
        <w:rPr>
          <w:rFonts w:hint="eastAsia"/>
        </w:rPr>
        <w:t>整土地</w:t>
      </w:r>
      <w:r>
        <w:t>4000多亩；已完成投资3000多万元新建4</w:t>
      </w:r>
      <w:r>
        <w:rPr>
          <w:rFonts w:hint="eastAsia"/>
        </w:rPr>
        <w:t>公里入园大道。路网、水网、电网和污水处理厂</w:t>
      </w:r>
      <w:r>
        <w:rPr>
          <w:rFonts w:hint="eastAsia"/>
          <w:lang w:eastAsia="zh-CN"/>
        </w:rPr>
        <w:t>、</w:t>
      </w:r>
      <w:r>
        <w:rPr>
          <w:rFonts w:hint="eastAsia"/>
        </w:rPr>
        <w:t>跨高速公路桥及新村安置工作均按计划推进。该市精细化工、陶瓷建材、浆纸制造、热电能源</w:t>
      </w:r>
      <w:r>
        <w:rPr>
          <w:rFonts w:hint="eastAsia"/>
          <w:lang w:eastAsia="zh-CN"/>
        </w:rPr>
        <w:t>、</w:t>
      </w:r>
      <w:r>
        <w:rPr>
          <w:rFonts w:hint="eastAsia"/>
        </w:rPr>
        <w:t>四大特色工业产业齐头并进、快速发展。全年完成工业总</w:t>
      </w:r>
      <w:r>
        <w:rPr>
          <w:rFonts w:hint="eastAsia"/>
          <w:lang w:val="en-US" w:eastAsia="zh-CN"/>
        </w:rPr>
        <w:t>产</w:t>
      </w:r>
      <w:r>
        <w:rPr>
          <w:rFonts w:hint="eastAsia"/>
        </w:rPr>
        <w:t>值</w:t>
      </w:r>
      <w:r>
        <w:t>109.2亿元，同比增长28.9%，实现工业增加</w:t>
      </w:r>
      <w:r>
        <w:rPr>
          <w:rFonts w:hint="eastAsia"/>
        </w:rPr>
        <w:t>值</w:t>
      </w:r>
      <w:r>
        <w:t>28.6亿元，同比增长25.9%。其中规模以上工</w:t>
      </w:r>
      <w:r>
        <w:rPr>
          <w:rFonts w:hint="eastAsia"/>
        </w:rPr>
        <w:t>业实现增加值</w:t>
      </w:r>
      <w:r>
        <w:t>24.5亿元，同比增长29.6%。</w:t>
      </w:r>
    </w:p>
    <w:p w14:paraId="59E3E68D">
      <w:r>
        <w:rPr>
          <w:rFonts w:hint="eastAsia"/>
          <w:b/>
          <w:bCs/>
        </w:rPr>
        <w:t>三是旅游发展进入新阶段。</w:t>
      </w:r>
      <w:r>
        <w:rPr>
          <w:rFonts w:hint="eastAsia"/>
        </w:rPr>
        <w:t>以打造“广东省旅游强市”、“</w:t>
      </w:r>
      <w:r>
        <w:rPr>
          <w:rFonts w:hint="eastAsia"/>
          <w:lang w:eastAsia="zh-CN"/>
        </w:rPr>
        <w:t>粤</w:t>
      </w:r>
      <w:r>
        <w:rPr>
          <w:rFonts w:hint="eastAsia"/>
        </w:rPr>
        <w:t>赣边际旅游度假优选地”为目标，提升旅游项目建设、旅游市场开发和旅游服务。“南粤雄关”和梅关古道被列为全国重点文物保护单位；广东奥威斯乐园完成投资</w:t>
      </w:r>
      <w:r>
        <w:t>1.16亿元；投资1260万元的珠玑古巷景区停车场已动工建设；五星</w:t>
      </w:r>
      <w:r>
        <w:rPr>
          <w:rFonts w:hint="eastAsia"/>
        </w:rPr>
        <w:t>级锦绣花园酒店已完成投资</w:t>
      </w:r>
      <w:r>
        <w:t>3000万元；主田生态</w:t>
      </w:r>
      <w:r>
        <w:rPr>
          <w:rFonts w:hint="eastAsia"/>
        </w:rPr>
        <w:t>观光休闲农场已完成投资</w:t>
      </w:r>
      <w:r>
        <w:t>5000万元，打造3个世</w:t>
      </w:r>
      <w:r>
        <w:rPr>
          <w:rFonts w:hint="eastAsia"/>
        </w:rPr>
        <w:t>界之最：最大的樱花世界、最大的茶花博览园、最具特色的花木种植园。引进广东清景旅游、华圣农林科技蓝莓博览园等</w:t>
      </w:r>
      <w:r>
        <w:t>4个项目，签约资金达28.7</w:t>
      </w:r>
      <w:r>
        <w:rPr>
          <w:rFonts w:hint="eastAsia"/>
        </w:rPr>
        <w:t>亿元。</w:t>
      </w:r>
      <w:r>
        <w:t>2013年，接待游客220.8万人次，同比增长28%；旅游总收入15.55亿元，同比增长32.7%。</w:t>
      </w:r>
      <w:r>
        <w:rPr>
          <w:rFonts w:hint="eastAsia"/>
        </w:rPr>
        <w:t>全年完成社会消费品零售总额</w:t>
      </w:r>
      <w:r>
        <w:t>35.6亿元，同比增</w:t>
      </w:r>
      <w:r>
        <w:rPr>
          <w:rFonts w:hint="eastAsia"/>
        </w:rPr>
        <w:t>长</w:t>
      </w:r>
      <w:r>
        <w:t>15.1%。</w:t>
      </w:r>
    </w:p>
    <w:p w14:paraId="1BEADFB1">
      <w:pPr>
        <w:rPr>
          <w:rFonts w:hint="eastAsia"/>
        </w:rPr>
      </w:pPr>
      <w:r>
        <w:rPr>
          <w:rFonts w:hint="eastAsia"/>
          <w:b/>
          <w:bCs/>
        </w:rPr>
        <w:t>四是城乡发展出现新面貌。</w:t>
      </w:r>
      <w:r>
        <w:rPr>
          <w:rFonts w:hint="eastAsia"/>
        </w:rPr>
        <w:t>以建设宜居宜业粤北门户城市为目标，以扩容提质为核心，城乡面貌有翻天覆地的变化。南雄东方大润发广场已投入建设资金约</w:t>
      </w:r>
      <w:r>
        <w:t>2亿元，已正式营业；珠影文化广场已完</w:t>
      </w:r>
      <w:r>
        <w:rPr>
          <w:rFonts w:hint="eastAsia"/>
        </w:rPr>
        <w:t>成投资</w:t>
      </w:r>
      <w:r>
        <w:t>1亿元，珠影文化中心（电影院）已经对外</w:t>
      </w:r>
      <w:r>
        <w:rPr>
          <w:rFonts w:hint="eastAsia"/>
        </w:rPr>
        <w:t>营业，是目前为止广东省县级市最大的星级影院；大福国际名城已完成土建投资约</w:t>
      </w:r>
      <w:r>
        <w:t>1.12亿元。新雄</w:t>
      </w:r>
      <w:r>
        <w:rPr>
          <w:rFonts w:hint="eastAsia"/>
        </w:rPr>
        <w:t>州公园、韶赣汽车城、韶赣铁路南雄站场等其它城市亮点工程扎实推进，污水处理厂、城市污水排污管网、生活垃圾填埋场等基础设施建设步伐加快，城市综合承载能力增强。同时，以城区和珠玑、乌迳、黄坑等</w:t>
      </w:r>
      <w:r>
        <w:t>3个中心镇为重点，开展农村违法用地</w:t>
      </w:r>
      <w:r>
        <w:rPr>
          <w:rFonts w:hint="eastAsia"/>
        </w:rPr>
        <w:t>和市区违章建筑整治活动，完善城乡生活垃圾处理设施，城乡人居环境不断改善。</w:t>
      </w:r>
    </w:p>
    <w:p w14:paraId="1175A277">
      <w:pPr>
        <w:rPr>
          <w:rFonts w:hint="eastAsia"/>
        </w:rPr>
      </w:pPr>
      <w:r>
        <w:rPr>
          <w:rFonts w:hint="eastAsia"/>
          <w:b/>
          <w:bCs/>
        </w:rPr>
        <w:t>五是生态建设取得新成效。</w:t>
      </w:r>
      <w:r>
        <w:t>2013年，该市共完</w:t>
      </w:r>
      <w:r>
        <w:rPr>
          <w:rFonts w:hint="eastAsia"/>
        </w:rPr>
        <w:t>成造林任务</w:t>
      </w:r>
      <w:r>
        <w:t>59550亩，森林碳汇重点生态工程建设</w:t>
      </w:r>
      <w:r>
        <w:rPr>
          <w:rFonts w:hint="eastAsia"/>
        </w:rPr>
        <w:t>任务</w:t>
      </w:r>
      <w:r>
        <w:t>37950亩，建设生态景观林带31公里1860亩；</w:t>
      </w:r>
      <w:r>
        <w:rPr>
          <w:rFonts w:hint="eastAsia"/>
        </w:rPr>
        <w:t>完成全市</w:t>
      </w:r>
      <w:r>
        <w:t>118万亩封山育林工作，完成“万村绿”20个示范点的种植任务，投资200万元完成2公里</w:t>
      </w:r>
      <w:r>
        <w:rPr>
          <w:rFonts w:hint="eastAsia"/>
        </w:rPr>
        <w:t>城市绿道建设；建立</w:t>
      </w:r>
      <w:r>
        <w:t>3个自然保护区，面积17.7</w:t>
      </w:r>
      <w:r>
        <w:rPr>
          <w:rFonts w:hint="eastAsia"/>
        </w:rPr>
        <w:t>万亩；建立</w:t>
      </w:r>
      <w:r>
        <w:t>6个县级森林公园，森林公园划定面积16.9万亩；建立1个国家级湿地公园，即孔江国家</w:t>
      </w:r>
      <w:r>
        <w:rPr>
          <w:rFonts w:hint="eastAsia"/>
        </w:rPr>
        <w:t>湿地公园，面积</w:t>
      </w:r>
      <w:r>
        <w:t>2.5万亩。同时，落实珠玑纸业与</w:t>
      </w:r>
      <w:r>
        <w:rPr>
          <w:rFonts w:hint="eastAsia"/>
        </w:rPr>
        <w:t>污水处理厂、禽畜养殖等重点排污企业污染减排与防治措施，两国控企业分别减少</w:t>
      </w:r>
      <w:r>
        <w:t>COD排放量1384</w:t>
      </w:r>
      <w:r>
        <w:rPr>
          <w:rFonts w:hint="eastAsia"/>
        </w:rPr>
        <w:t>吨、</w:t>
      </w:r>
      <w:r>
        <w:t>436吨，氨氮减排14吨、32吨，减排效果得</w:t>
      </w:r>
      <w:r>
        <w:rPr>
          <w:rFonts w:hint="eastAsia"/>
        </w:rPr>
        <w:t>到韶关市肯定。</w:t>
      </w:r>
    </w:p>
    <w:p w14:paraId="349A0430">
      <w:r>
        <w:rPr>
          <w:rFonts w:hint="eastAsia"/>
          <w:b/>
          <w:bCs/>
        </w:rPr>
        <w:t>六是民生事业有新进步。</w:t>
      </w:r>
      <w:r>
        <w:rPr>
          <w:rFonts w:hint="eastAsia"/>
        </w:rPr>
        <w:t>民生类资金投入达</w:t>
      </w:r>
      <w:r>
        <w:t>10.9亿元，占公共财政预算支出的70%。政府承</w:t>
      </w:r>
      <w:r>
        <w:rPr>
          <w:rFonts w:hint="eastAsia"/>
        </w:rPr>
        <w:t>诺的九件实事基本完成；投资</w:t>
      </w:r>
      <w:r>
        <w:t>3亿元的教育“四大</w:t>
      </w:r>
      <w:r>
        <w:rPr>
          <w:rFonts w:hint="eastAsia"/>
        </w:rPr>
        <w:t>民生”工程全面建成并投入使</w:t>
      </w:r>
      <w:r>
        <w:t>16.49万人参加</w:t>
      </w:r>
      <w:r>
        <w:rPr>
          <w:rFonts w:hint="eastAsia"/>
        </w:rPr>
        <w:t>城乡居民养老保险，完成省下达目标任务数的</w:t>
      </w:r>
      <w:r>
        <w:t>102%，新型农村合作医疗覆盖率达100%，城乡</w:t>
      </w:r>
      <w:r>
        <w:rPr>
          <w:rFonts w:hint="eastAsia"/>
        </w:rPr>
        <w:t>“低保”全覆盖；博物馆、文化馆、图书馆的异地重建选址及规划工作有序推进，城乡公共文化服务设施逐步完善；体育事业加快发展，人口和计生管理水平提高；坚持不懈做好信访维稳工作，社会大局保持和谐稳定；新一轮扶贫开发“双到”工作落实帮扶资金</w:t>
      </w:r>
      <w:r>
        <w:t>1.5亿元。2013年城镇居民人均可支配</w:t>
      </w:r>
      <w:r>
        <w:rPr>
          <w:rFonts w:hint="eastAsia"/>
        </w:rPr>
        <w:t>收入达</w:t>
      </w:r>
      <w:r>
        <w:t>1.71万元，同比增长14.5%；而农村居民</w:t>
      </w:r>
      <w:r>
        <w:rPr>
          <w:rFonts w:hint="eastAsia"/>
        </w:rPr>
        <w:t>家庭人均现金收入达</w:t>
      </w:r>
      <w:r>
        <w:t>1.31万元，同比增长16.5%。</w:t>
      </w:r>
    </w:p>
    <w:p w14:paraId="13980B14">
      <w:pPr>
        <w:rPr>
          <w:rFonts w:hint="eastAsia"/>
        </w:rPr>
      </w:pPr>
      <w:r>
        <w:rPr>
          <w:rFonts w:hint="eastAsia"/>
          <w:b/>
          <w:bCs/>
        </w:rPr>
        <w:t>七是党的建设有新提高。</w:t>
      </w:r>
      <w:r>
        <w:rPr>
          <w:rFonts w:hint="eastAsia"/>
        </w:rPr>
        <w:t>严格落实中央八项规定和“六项禁令”，深入开展“面向基层、整顿作风、服务群众”主题教育实践活动，建立健全干部住镇、驻村、值班考勤登记和奖惩制度，着力整顿基层干部上班走读、作风飘浮、在职不在岗、在岗不履职等</w:t>
      </w:r>
      <w:r>
        <w:t>7种不正之风。严格落实党风廉政建</w:t>
      </w:r>
      <w:r>
        <w:rPr>
          <w:rFonts w:hint="eastAsia"/>
        </w:rPr>
        <w:t>设责任制，深入推进反腐倡廉教育，切实增强党员干部廉洁自律意识，锻造一支政治坚定、纪律严明、作风优良、敢抓敢管的干部队伍。</w:t>
      </w:r>
    </w:p>
    <w:p w14:paraId="08B7191F">
      <w:pPr>
        <w:pStyle w:val="4"/>
        <w:bidi w:val="0"/>
      </w:pPr>
      <w:r>
        <w:rPr>
          <w:rFonts w:hint="eastAsia"/>
        </w:rPr>
        <w:t>【</w:t>
      </w:r>
      <w:r>
        <w:t>2013年中共南雄市委领导职务变动】</w:t>
      </w:r>
    </w:p>
    <w:p w14:paraId="7BF9E3A2">
      <w:r>
        <w:rPr>
          <w:rFonts w:hint="eastAsia"/>
          <w:b/>
          <w:bCs/>
        </w:rPr>
        <w:t>书</w:t>
      </w:r>
      <w:r>
        <w:rPr>
          <w:rFonts w:hint="eastAsia"/>
          <w:b/>
          <w:bCs/>
          <w:lang w:val="en-US" w:eastAsia="zh-CN"/>
        </w:rPr>
        <w:t xml:space="preserve">    </w:t>
      </w:r>
      <w:r>
        <w:rPr>
          <w:rFonts w:hint="eastAsia"/>
          <w:b/>
          <w:bCs/>
        </w:rPr>
        <w:t>记：</w:t>
      </w:r>
      <w:r>
        <w:rPr>
          <w:rFonts w:hint="eastAsia"/>
        </w:rPr>
        <w:t>许志新（</w:t>
      </w:r>
      <w:r>
        <w:t>2013年8月免）</w:t>
      </w:r>
    </w:p>
    <w:p w14:paraId="75A3CA00">
      <w:pPr>
        <w:ind w:leftChars="500"/>
      </w:pPr>
      <w:r>
        <w:rPr>
          <w:rFonts w:hint="eastAsia"/>
        </w:rPr>
        <w:t>刘清生（</w:t>
      </w:r>
      <w:r>
        <w:t>2013年8月任）</w:t>
      </w:r>
    </w:p>
    <w:p w14:paraId="79367415">
      <w:pPr>
        <w:rPr>
          <w:rFonts w:hint="eastAsia"/>
        </w:rPr>
      </w:pPr>
      <w:r>
        <w:rPr>
          <w:rFonts w:hint="eastAsia"/>
          <w:b/>
          <w:bCs/>
        </w:rPr>
        <w:t>副</w:t>
      </w:r>
      <w:r>
        <w:rPr>
          <w:rFonts w:hint="eastAsia"/>
          <w:b/>
          <w:bCs/>
          <w:lang w:val="en-US" w:eastAsia="zh-CN"/>
        </w:rPr>
        <w:t xml:space="preserve"> </w:t>
      </w:r>
      <w:r>
        <w:rPr>
          <w:rFonts w:hint="eastAsia"/>
          <w:b/>
          <w:bCs/>
        </w:rPr>
        <w:t>书</w:t>
      </w:r>
      <w:r>
        <w:rPr>
          <w:rFonts w:hint="eastAsia"/>
          <w:b/>
          <w:bCs/>
          <w:lang w:val="en-US" w:eastAsia="zh-CN"/>
        </w:rPr>
        <w:t xml:space="preserve"> </w:t>
      </w:r>
      <w:r>
        <w:rPr>
          <w:rFonts w:hint="eastAsia"/>
          <w:b/>
          <w:bCs/>
        </w:rPr>
        <w:t>记：</w:t>
      </w:r>
      <w:r>
        <w:rPr>
          <w:rFonts w:hint="eastAsia"/>
        </w:rPr>
        <w:t>刘清生</w:t>
      </w:r>
    </w:p>
    <w:p w14:paraId="383A8E6C">
      <w:pPr>
        <w:ind w:leftChars="500"/>
      </w:pPr>
      <w:r>
        <w:rPr>
          <w:rFonts w:hint="eastAsia"/>
        </w:rPr>
        <w:t>曾风保（</w:t>
      </w:r>
      <w:r>
        <w:t>2013年9月任）</w:t>
      </w:r>
    </w:p>
    <w:p w14:paraId="58D5DE69">
      <w:pPr>
        <w:ind w:leftChars="500"/>
        <w:rPr>
          <w:rFonts w:hint="eastAsia"/>
        </w:rPr>
      </w:pPr>
      <w:r>
        <w:rPr>
          <w:rFonts w:hint="eastAsia"/>
        </w:rPr>
        <w:t>丘德周</w:t>
      </w:r>
    </w:p>
    <w:p w14:paraId="2DBF972A">
      <w:r>
        <w:rPr>
          <w:rFonts w:hint="eastAsia"/>
          <w:b/>
          <w:bCs/>
        </w:rPr>
        <w:t>常务委员</w:t>
      </w:r>
      <w:r>
        <w:rPr>
          <w:rFonts w:hint="eastAsia"/>
        </w:rPr>
        <w:t>：许志新（</w:t>
      </w:r>
      <w:r>
        <w:t>2013年8月免）</w:t>
      </w:r>
    </w:p>
    <w:p w14:paraId="2CFBD07C">
      <w:pPr>
        <w:ind w:leftChars="500"/>
      </w:pPr>
      <w:r>
        <w:rPr>
          <w:rFonts w:hint="eastAsia"/>
        </w:rPr>
        <w:t>刘清生</w:t>
      </w:r>
      <w:r>
        <w:rPr>
          <w:rFonts w:hint="eastAsia"/>
          <w:lang w:val="en-US" w:eastAsia="zh-CN"/>
        </w:rPr>
        <w:t xml:space="preserve">   </w:t>
      </w:r>
      <w:r>
        <w:rPr>
          <w:rFonts w:hint="eastAsia"/>
        </w:rPr>
        <w:t>曾风保（</w:t>
      </w:r>
      <w:r>
        <w:t>2013年9月任）</w:t>
      </w:r>
    </w:p>
    <w:p w14:paraId="497E3113">
      <w:pPr>
        <w:ind w:leftChars="500"/>
        <w:rPr>
          <w:rFonts w:hint="eastAsia"/>
        </w:rPr>
      </w:pPr>
      <w:r>
        <w:rPr>
          <w:rFonts w:hint="eastAsia"/>
        </w:rPr>
        <w:t>丘德周</w:t>
      </w:r>
      <w:r>
        <w:rPr>
          <w:rFonts w:hint="eastAsia"/>
          <w:lang w:val="en-US" w:eastAsia="zh-CN"/>
        </w:rPr>
        <w:t xml:space="preserve">   </w:t>
      </w:r>
      <w:r>
        <w:rPr>
          <w:rFonts w:hint="eastAsia"/>
        </w:rPr>
        <w:t>谢志铎</w:t>
      </w:r>
      <w:r>
        <w:rPr>
          <w:rFonts w:hint="eastAsia"/>
          <w:lang w:val="en-US" w:eastAsia="zh-CN"/>
        </w:rPr>
        <w:t xml:space="preserve">   </w:t>
      </w:r>
      <w:r>
        <w:rPr>
          <w:rFonts w:hint="eastAsia"/>
        </w:rPr>
        <w:t>黄德群</w:t>
      </w:r>
    </w:p>
    <w:p w14:paraId="719F0ADE">
      <w:pPr>
        <w:ind w:leftChars="500"/>
        <w:rPr>
          <w:rFonts w:hint="eastAsia"/>
        </w:rPr>
      </w:pPr>
      <w:r>
        <w:rPr>
          <w:rFonts w:hint="eastAsia"/>
        </w:rPr>
        <w:t>毛利群</w:t>
      </w:r>
      <w:r>
        <w:rPr>
          <w:rFonts w:hint="eastAsia"/>
          <w:lang w:val="en-US" w:eastAsia="zh-CN"/>
        </w:rPr>
        <w:t xml:space="preserve">   </w:t>
      </w:r>
      <w:r>
        <w:rPr>
          <w:rFonts w:hint="eastAsia"/>
        </w:rPr>
        <w:t>何人平</w:t>
      </w:r>
      <w:r>
        <w:rPr>
          <w:rFonts w:hint="eastAsia"/>
          <w:lang w:val="en-US" w:eastAsia="zh-CN"/>
        </w:rPr>
        <w:t xml:space="preserve">   </w:t>
      </w:r>
      <w:r>
        <w:rPr>
          <w:rFonts w:hint="eastAsia"/>
        </w:rPr>
        <w:t>卜小燕</w:t>
      </w:r>
    </w:p>
    <w:p w14:paraId="27B17EBE">
      <w:pPr>
        <w:ind w:leftChars="500"/>
        <w:rPr>
          <w:rFonts w:hint="eastAsia"/>
        </w:rPr>
      </w:pPr>
      <w:r>
        <w:rPr>
          <w:rFonts w:hint="eastAsia"/>
        </w:rPr>
        <w:t>刘发龙</w:t>
      </w:r>
      <w:r>
        <w:rPr>
          <w:rFonts w:hint="eastAsia"/>
          <w:lang w:val="en-US" w:eastAsia="zh-CN"/>
        </w:rPr>
        <w:t xml:space="preserve">   </w:t>
      </w:r>
      <w:r>
        <w:rPr>
          <w:rFonts w:hint="eastAsia"/>
        </w:rPr>
        <w:t>朱海兵</w:t>
      </w:r>
      <w:r>
        <w:rPr>
          <w:rFonts w:hint="eastAsia"/>
          <w:lang w:val="en-US" w:eastAsia="zh-CN"/>
        </w:rPr>
        <w:t xml:space="preserve">   </w:t>
      </w:r>
      <w:r>
        <w:rPr>
          <w:rFonts w:hint="eastAsia"/>
        </w:rPr>
        <w:t>叶济熊</w:t>
      </w:r>
    </w:p>
    <w:p w14:paraId="655C4876">
      <w:pPr>
        <w:rPr>
          <w:rFonts w:hint="eastAsia"/>
        </w:rPr>
      </w:pPr>
      <w:r>
        <w:rPr>
          <w:rFonts w:hint="eastAsia"/>
          <w:b/>
          <w:bCs/>
        </w:rPr>
        <w:t>委</w:t>
      </w:r>
      <w:r>
        <w:rPr>
          <w:rFonts w:hint="eastAsia"/>
          <w:b/>
          <w:bCs/>
          <w:lang w:val="en-US" w:eastAsia="zh-CN"/>
        </w:rPr>
        <w:t xml:space="preserve">    </w:t>
      </w:r>
      <w:r>
        <w:rPr>
          <w:rFonts w:hint="eastAsia"/>
          <w:b/>
          <w:bCs/>
        </w:rPr>
        <w:t>员：</w:t>
      </w:r>
      <w:r>
        <w:rPr>
          <w:rFonts w:hint="eastAsia"/>
        </w:rPr>
        <w:t>（按姓氏笔画为序）</w:t>
      </w:r>
    </w:p>
    <w:p w14:paraId="63F20938">
      <w:pPr>
        <w:ind w:leftChars="500"/>
        <w:rPr>
          <w:rFonts w:hint="eastAsia"/>
        </w:rPr>
      </w:pPr>
      <w:r>
        <w:rPr>
          <w:rFonts w:hint="eastAsia"/>
        </w:rPr>
        <w:t>卜小燕（女）</w:t>
      </w:r>
      <w:r>
        <w:rPr>
          <w:rFonts w:hint="eastAsia"/>
          <w:lang w:val="en-US" w:eastAsia="zh-CN"/>
        </w:rPr>
        <w:t xml:space="preserve">   </w:t>
      </w:r>
      <w:r>
        <w:rPr>
          <w:rFonts w:hint="eastAsia"/>
        </w:rPr>
        <w:t>马细妹（女）</w:t>
      </w:r>
    </w:p>
    <w:p w14:paraId="5F85DB40">
      <w:pPr>
        <w:ind w:leftChars="500"/>
        <w:rPr>
          <w:rFonts w:hint="eastAsia"/>
        </w:rPr>
      </w:pPr>
      <w:r>
        <w:rPr>
          <w:rFonts w:hint="eastAsia"/>
        </w:rPr>
        <w:t>王友华</w:t>
      </w:r>
      <w:r>
        <w:rPr>
          <w:rFonts w:hint="eastAsia"/>
          <w:lang w:val="en-US" w:eastAsia="zh-CN"/>
        </w:rPr>
        <w:t xml:space="preserve">   </w:t>
      </w:r>
      <w:r>
        <w:rPr>
          <w:rFonts w:hint="eastAsia"/>
        </w:rPr>
        <w:t>毛利群</w:t>
      </w:r>
      <w:r>
        <w:rPr>
          <w:rFonts w:hint="eastAsia"/>
          <w:lang w:val="en-US" w:eastAsia="zh-CN"/>
        </w:rPr>
        <w:t xml:space="preserve">   </w:t>
      </w:r>
      <w:r>
        <w:rPr>
          <w:rFonts w:hint="eastAsia"/>
        </w:rPr>
        <w:t>叶济熊</w:t>
      </w:r>
      <w:r>
        <w:rPr>
          <w:rFonts w:hint="eastAsia"/>
          <w:lang w:val="en-US" w:eastAsia="zh-CN"/>
        </w:rPr>
        <w:t xml:space="preserve">   </w:t>
      </w:r>
      <w:r>
        <w:rPr>
          <w:rFonts w:hint="eastAsia"/>
        </w:rPr>
        <w:t>田文斌</w:t>
      </w:r>
    </w:p>
    <w:p w14:paraId="273B4871">
      <w:pPr>
        <w:ind w:leftChars="500"/>
        <w:rPr>
          <w:rFonts w:hint="eastAsia"/>
        </w:rPr>
      </w:pPr>
      <w:r>
        <w:rPr>
          <w:rFonts w:hint="eastAsia"/>
        </w:rPr>
        <w:t>丘德周</w:t>
      </w:r>
      <w:r>
        <w:rPr>
          <w:rFonts w:hint="eastAsia"/>
          <w:lang w:val="en-US" w:eastAsia="zh-CN"/>
        </w:rPr>
        <w:t xml:space="preserve">   </w:t>
      </w:r>
      <w:r>
        <w:rPr>
          <w:rFonts w:hint="eastAsia"/>
        </w:rPr>
        <w:t>吕道宏</w:t>
      </w:r>
      <w:r>
        <w:rPr>
          <w:rFonts w:hint="eastAsia"/>
          <w:lang w:val="en-US" w:eastAsia="zh-CN"/>
        </w:rPr>
        <w:t xml:space="preserve">   </w:t>
      </w:r>
      <w:r>
        <w:rPr>
          <w:rFonts w:hint="eastAsia"/>
        </w:rPr>
        <w:t>朱海兵</w:t>
      </w:r>
      <w:r>
        <w:rPr>
          <w:rFonts w:hint="eastAsia"/>
          <w:lang w:val="en-US" w:eastAsia="zh-CN"/>
        </w:rPr>
        <w:t xml:space="preserve">   </w:t>
      </w:r>
      <w:r>
        <w:rPr>
          <w:rFonts w:hint="eastAsia"/>
        </w:rPr>
        <w:t>刘发龙</w:t>
      </w:r>
    </w:p>
    <w:p w14:paraId="6D3872FA">
      <w:pPr>
        <w:ind w:leftChars="500"/>
        <w:rPr>
          <w:rFonts w:hint="eastAsia"/>
        </w:rPr>
      </w:pPr>
      <w:r>
        <w:rPr>
          <w:rFonts w:hint="eastAsia"/>
        </w:rPr>
        <w:t>刘光团</w:t>
      </w:r>
      <w:r>
        <w:rPr>
          <w:rFonts w:hint="eastAsia"/>
          <w:lang w:val="en-US" w:eastAsia="zh-CN"/>
        </w:rPr>
        <w:t xml:space="preserve">   </w:t>
      </w:r>
      <w:r>
        <w:rPr>
          <w:rFonts w:hint="eastAsia"/>
        </w:rPr>
        <w:t>刘宏伟</w:t>
      </w:r>
      <w:r>
        <w:rPr>
          <w:rFonts w:hint="eastAsia"/>
          <w:lang w:val="en-US" w:eastAsia="zh-CN"/>
        </w:rPr>
        <w:t xml:space="preserve">   </w:t>
      </w:r>
      <w:r>
        <w:rPr>
          <w:rFonts w:hint="eastAsia"/>
        </w:rPr>
        <w:t>刘悦明</w:t>
      </w:r>
      <w:r>
        <w:rPr>
          <w:rFonts w:hint="eastAsia"/>
          <w:lang w:val="en-US" w:eastAsia="zh-CN"/>
        </w:rPr>
        <w:t xml:space="preserve">   </w:t>
      </w:r>
      <w:r>
        <w:rPr>
          <w:rFonts w:hint="eastAsia"/>
        </w:rPr>
        <w:t>刘清生</w:t>
      </w:r>
    </w:p>
    <w:p w14:paraId="3A48E230">
      <w:pPr>
        <w:ind w:leftChars="500"/>
      </w:pPr>
      <w:r>
        <w:rPr>
          <w:rFonts w:hint="eastAsia"/>
        </w:rPr>
        <w:t>许志新（</w:t>
      </w:r>
      <w:r>
        <w:t>2013年8月调离）</w:t>
      </w:r>
    </w:p>
    <w:p w14:paraId="70DB7358">
      <w:pPr>
        <w:ind w:leftChars="500"/>
        <w:rPr>
          <w:rFonts w:hint="eastAsia"/>
        </w:rPr>
      </w:pPr>
      <w:r>
        <w:rPr>
          <w:rFonts w:hint="eastAsia"/>
        </w:rPr>
        <w:t>严桂龙</w:t>
      </w:r>
      <w:r>
        <w:rPr>
          <w:rFonts w:hint="eastAsia"/>
          <w:lang w:val="en-US" w:eastAsia="zh-CN"/>
        </w:rPr>
        <w:t xml:space="preserve">   </w:t>
      </w:r>
      <w:r>
        <w:rPr>
          <w:rFonts w:hint="eastAsia"/>
        </w:rPr>
        <w:t>苏德椿</w:t>
      </w:r>
      <w:r>
        <w:rPr>
          <w:rFonts w:hint="eastAsia"/>
          <w:lang w:val="en-US" w:eastAsia="zh-CN"/>
        </w:rPr>
        <w:t xml:space="preserve">   </w:t>
      </w:r>
      <w:r>
        <w:rPr>
          <w:rFonts w:hint="eastAsia"/>
        </w:rPr>
        <w:t>李卫兰（女）</w:t>
      </w:r>
      <w:r>
        <w:rPr>
          <w:rFonts w:hint="eastAsia"/>
          <w:lang w:val="en-US" w:eastAsia="zh-CN"/>
        </w:rPr>
        <w:t xml:space="preserve">   </w:t>
      </w:r>
      <w:r>
        <w:rPr>
          <w:rFonts w:hint="eastAsia"/>
        </w:rPr>
        <w:t>李传忠</w:t>
      </w:r>
    </w:p>
    <w:p w14:paraId="26A240B2">
      <w:pPr>
        <w:ind w:leftChars="500"/>
        <w:rPr>
          <w:rFonts w:hint="eastAsia"/>
        </w:rPr>
      </w:pPr>
      <w:r>
        <w:rPr>
          <w:rFonts w:hint="eastAsia"/>
        </w:rPr>
        <w:t>李新明</w:t>
      </w:r>
      <w:r>
        <w:rPr>
          <w:rFonts w:hint="eastAsia"/>
          <w:lang w:val="en-US" w:eastAsia="zh-CN"/>
        </w:rPr>
        <w:t xml:space="preserve">   </w:t>
      </w:r>
      <w:r>
        <w:rPr>
          <w:rFonts w:hint="eastAsia"/>
        </w:rPr>
        <w:t>肖裕忠</w:t>
      </w:r>
      <w:r>
        <w:rPr>
          <w:rFonts w:hint="eastAsia"/>
          <w:lang w:val="en-US" w:eastAsia="zh-CN"/>
        </w:rPr>
        <w:t xml:space="preserve">   </w:t>
      </w:r>
      <w:r>
        <w:rPr>
          <w:rFonts w:hint="eastAsia"/>
        </w:rPr>
        <w:t>吴良彬</w:t>
      </w:r>
      <w:r>
        <w:rPr>
          <w:rFonts w:hint="eastAsia"/>
          <w:lang w:val="en-US" w:eastAsia="zh-CN"/>
        </w:rPr>
        <w:t xml:space="preserve">   </w:t>
      </w:r>
      <w:r>
        <w:rPr>
          <w:rFonts w:hint="eastAsia"/>
        </w:rPr>
        <w:t>何人平</w:t>
      </w:r>
    </w:p>
    <w:p w14:paraId="6B5F5D9F">
      <w:pPr>
        <w:ind w:leftChars="500"/>
        <w:rPr>
          <w:rFonts w:hint="eastAsia"/>
        </w:rPr>
      </w:pPr>
      <w:r>
        <w:rPr>
          <w:rFonts w:hint="eastAsia"/>
        </w:rPr>
        <w:t>何万飞</w:t>
      </w:r>
      <w:r>
        <w:rPr>
          <w:rFonts w:hint="eastAsia"/>
          <w:lang w:val="en-US" w:eastAsia="zh-CN"/>
        </w:rPr>
        <w:t xml:space="preserve">   </w:t>
      </w:r>
      <w:r>
        <w:rPr>
          <w:rFonts w:hint="eastAsia"/>
        </w:rPr>
        <w:t>何文忠</w:t>
      </w:r>
      <w:r>
        <w:rPr>
          <w:rFonts w:hint="eastAsia"/>
          <w:lang w:val="en-US" w:eastAsia="zh-CN"/>
        </w:rPr>
        <w:t xml:space="preserve">   </w:t>
      </w:r>
      <w:r>
        <w:rPr>
          <w:rFonts w:hint="eastAsia"/>
        </w:rPr>
        <w:t>沈文昌</w:t>
      </w:r>
      <w:r>
        <w:rPr>
          <w:rFonts w:hint="eastAsia"/>
          <w:lang w:val="en-US" w:eastAsia="zh-CN"/>
        </w:rPr>
        <w:t xml:space="preserve">   </w:t>
      </w:r>
      <w:r>
        <w:rPr>
          <w:rFonts w:hint="eastAsia"/>
        </w:rPr>
        <w:t>沈步亮</w:t>
      </w:r>
    </w:p>
    <w:p w14:paraId="7AF1DDA2">
      <w:pPr>
        <w:ind w:leftChars="500"/>
        <w:rPr>
          <w:rFonts w:hint="eastAsia"/>
        </w:rPr>
      </w:pPr>
      <w:r>
        <w:rPr>
          <w:rFonts w:hint="eastAsia"/>
        </w:rPr>
        <w:t>张英宏</w:t>
      </w:r>
      <w:r>
        <w:rPr>
          <w:rFonts w:hint="eastAsia"/>
          <w:lang w:val="en-US" w:eastAsia="zh-CN"/>
        </w:rPr>
        <w:t xml:space="preserve">   </w:t>
      </w:r>
      <w:r>
        <w:rPr>
          <w:rFonts w:hint="eastAsia"/>
        </w:rPr>
        <w:t>张宗财</w:t>
      </w:r>
      <w:r>
        <w:rPr>
          <w:rFonts w:hint="eastAsia"/>
          <w:lang w:val="en-US" w:eastAsia="zh-CN"/>
        </w:rPr>
        <w:t xml:space="preserve">   </w:t>
      </w:r>
      <w:r>
        <w:rPr>
          <w:rFonts w:hint="eastAsia"/>
        </w:rPr>
        <w:t>陈仁麟</w:t>
      </w:r>
      <w:r>
        <w:rPr>
          <w:rFonts w:hint="eastAsia"/>
          <w:lang w:val="en-US" w:eastAsia="zh-CN"/>
        </w:rPr>
        <w:t xml:space="preserve">   </w:t>
      </w:r>
      <w:r>
        <w:rPr>
          <w:rFonts w:hint="eastAsia"/>
        </w:rPr>
        <w:t>陈玉英（女）</w:t>
      </w:r>
    </w:p>
    <w:p w14:paraId="5D5EE7D7">
      <w:pPr>
        <w:ind w:leftChars="500"/>
        <w:rPr>
          <w:rFonts w:hint="eastAsia"/>
        </w:rPr>
      </w:pPr>
      <w:r>
        <w:rPr>
          <w:rFonts w:hint="eastAsia"/>
        </w:rPr>
        <w:t>陈尚妹（女）</w:t>
      </w:r>
      <w:r>
        <w:rPr>
          <w:rFonts w:hint="eastAsia"/>
          <w:lang w:val="en-US" w:eastAsia="zh-CN"/>
        </w:rPr>
        <w:t xml:space="preserve">   </w:t>
      </w:r>
      <w:r>
        <w:rPr>
          <w:rFonts w:hint="eastAsia"/>
        </w:rPr>
        <w:t>陈培兰</w:t>
      </w:r>
      <w:r>
        <w:rPr>
          <w:rFonts w:hint="eastAsia"/>
          <w:lang w:val="en-US" w:eastAsia="zh-CN"/>
        </w:rPr>
        <w:t xml:space="preserve">   </w:t>
      </w:r>
      <w:r>
        <w:rPr>
          <w:rFonts w:hint="eastAsia"/>
        </w:rPr>
        <w:t>范桂全</w:t>
      </w:r>
    </w:p>
    <w:p w14:paraId="3FA1DA66">
      <w:pPr>
        <w:ind w:leftChars="500"/>
        <w:rPr>
          <w:rFonts w:hint="eastAsia"/>
        </w:rPr>
      </w:pPr>
      <w:r>
        <w:rPr>
          <w:rFonts w:hint="eastAsia"/>
        </w:rPr>
        <w:t>罗勇新</w:t>
      </w:r>
      <w:r>
        <w:rPr>
          <w:rFonts w:hint="eastAsia"/>
          <w:lang w:val="en-US" w:eastAsia="zh-CN"/>
        </w:rPr>
        <w:t xml:space="preserve">   </w:t>
      </w:r>
      <w:r>
        <w:rPr>
          <w:rFonts w:hint="eastAsia"/>
        </w:rPr>
        <w:t>周宏忠</w:t>
      </w:r>
      <w:r>
        <w:rPr>
          <w:rFonts w:hint="eastAsia"/>
          <w:lang w:val="en-US" w:eastAsia="zh-CN"/>
        </w:rPr>
        <w:t xml:space="preserve">   </w:t>
      </w:r>
      <w:r>
        <w:rPr>
          <w:rFonts w:hint="eastAsia"/>
        </w:rPr>
        <w:t>周济辉</w:t>
      </w:r>
      <w:r>
        <w:rPr>
          <w:rFonts w:hint="eastAsia"/>
          <w:lang w:val="en-US" w:eastAsia="zh-CN"/>
        </w:rPr>
        <w:t xml:space="preserve">   </w:t>
      </w:r>
      <w:r>
        <w:rPr>
          <w:rFonts w:hint="eastAsia"/>
        </w:rPr>
        <w:t>周铁山</w:t>
      </w:r>
    </w:p>
    <w:p w14:paraId="3022A7D0">
      <w:pPr>
        <w:ind w:leftChars="500"/>
        <w:rPr>
          <w:rFonts w:hint="eastAsia"/>
        </w:rPr>
      </w:pPr>
      <w:r>
        <w:rPr>
          <w:rFonts w:hint="eastAsia"/>
        </w:rPr>
        <w:t>袁元桃</w:t>
      </w:r>
      <w:r>
        <w:rPr>
          <w:rFonts w:hint="eastAsia"/>
          <w:lang w:val="en-US" w:eastAsia="zh-CN"/>
        </w:rPr>
        <w:t xml:space="preserve">   </w:t>
      </w:r>
      <w:r>
        <w:rPr>
          <w:rFonts w:hint="eastAsia"/>
        </w:rPr>
        <w:t>黄德群</w:t>
      </w:r>
      <w:r>
        <w:rPr>
          <w:rFonts w:hint="eastAsia"/>
          <w:lang w:val="en-US" w:eastAsia="zh-CN"/>
        </w:rPr>
        <w:t xml:space="preserve">   </w:t>
      </w:r>
      <w:r>
        <w:rPr>
          <w:rFonts w:hint="eastAsia"/>
        </w:rPr>
        <w:t>董圣国</w:t>
      </w:r>
    </w:p>
    <w:p w14:paraId="75CE1774">
      <w:pPr>
        <w:ind w:leftChars="500"/>
      </w:pPr>
      <w:r>
        <w:rPr>
          <w:rFonts w:hint="eastAsia"/>
        </w:rPr>
        <w:t>曾风保（</w:t>
      </w:r>
      <w:r>
        <w:t>2013年9月任）</w:t>
      </w:r>
      <w:r>
        <w:rPr>
          <w:rFonts w:hint="eastAsia"/>
          <w:lang w:val="en-US" w:eastAsia="zh-CN"/>
        </w:rPr>
        <w:t xml:space="preserve">   </w:t>
      </w:r>
      <w:r>
        <w:t>曾昭泉</w:t>
      </w:r>
    </w:p>
    <w:p w14:paraId="01124C61">
      <w:pPr>
        <w:ind w:leftChars="500"/>
        <w:rPr>
          <w:rFonts w:hint="eastAsia"/>
        </w:rPr>
      </w:pPr>
      <w:r>
        <w:rPr>
          <w:rFonts w:hint="eastAsia"/>
        </w:rPr>
        <w:t>谢志铎</w:t>
      </w:r>
      <w:r>
        <w:rPr>
          <w:rFonts w:hint="eastAsia"/>
          <w:lang w:val="en-US" w:eastAsia="zh-CN"/>
        </w:rPr>
        <w:t xml:space="preserve">   </w:t>
      </w:r>
      <w:r>
        <w:rPr>
          <w:rFonts w:hint="eastAsia"/>
        </w:rPr>
        <w:t>赖正志</w:t>
      </w:r>
      <w:r>
        <w:rPr>
          <w:rFonts w:hint="eastAsia"/>
          <w:lang w:val="en-US" w:eastAsia="zh-CN"/>
        </w:rPr>
        <w:t xml:space="preserve">   </w:t>
      </w:r>
      <w:r>
        <w:rPr>
          <w:rFonts w:hint="eastAsia"/>
        </w:rPr>
        <w:t>廖声华</w:t>
      </w:r>
    </w:p>
    <w:p w14:paraId="5FE8D936">
      <w:pPr>
        <w:pStyle w:val="4"/>
        <w:bidi w:val="0"/>
        <w:rPr>
          <w:rFonts w:hint="eastAsia"/>
        </w:rPr>
      </w:pPr>
      <w:r>
        <w:rPr>
          <w:rFonts w:hint="eastAsia"/>
        </w:rPr>
        <w:t>【重要会议】</w:t>
      </w:r>
    </w:p>
    <w:p w14:paraId="5848B883">
      <w:pPr>
        <w:rPr>
          <w:rFonts w:hint="eastAsia"/>
        </w:rPr>
      </w:pPr>
      <w:r>
        <w:t>3月13日上午，市委书记许志新同志在市委常</w:t>
      </w:r>
      <w:r>
        <w:rPr>
          <w:rFonts w:hint="eastAsia"/>
        </w:rPr>
        <w:t>委会议室主持召开</w:t>
      </w:r>
      <w:r>
        <w:rPr>
          <w:rFonts w:hint="eastAsia"/>
          <w:lang w:eastAsia="zh-CN"/>
        </w:rPr>
        <w:t>市委常委会会议</w:t>
      </w:r>
      <w:r>
        <w:rPr>
          <w:rFonts w:hint="eastAsia"/>
        </w:rPr>
        <w:t>。会议讨论通过《贯彻落实十八届中央政治局</w:t>
      </w:r>
      <w:r>
        <w:t>&lt;关于改进工作作风、</w:t>
      </w:r>
      <w:r>
        <w:rPr>
          <w:rFonts w:hint="eastAsia"/>
        </w:rPr>
        <w:t>密切联系群众的八项规定</w:t>
      </w:r>
      <w:r>
        <w:t>&gt;实施办法》、《南雄市2012年度党政领导班子民主生活会整改方案》。会</w:t>
      </w:r>
      <w:r>
        <w:rPr>
          <w:rFonts w:hint="eastAsia"/>
        </w:rPr>
        <w:t>议还讨论有关党政领导工作分工的事项。</w:t>
      </w:r>
    </w:p>
    <w:p w14:paraId="158A4EB8">
      <w:pPr>
        <w:rPr>
          <w:rFonts w:hint="eastAsia"/>
        </w:rPr>
      </w:pPr>
      <w:r>
        <w:t>4月26日晚，市委书记许志新同志在市委常委</w:t>
      </w:r>
      <w:r>
        <w:rPr>
          <w:rFonts w:hint="eastAsia"/>
        </w:rPr>
        <w:t>会议室主持召开</w:t>
      </w:r>
      <w:r>
        <w:rPr>
          <w:rFonts w:hint="eastAsia"/>
          <w:lang w:eastAsia="zh-CN"/>
        </w:rPr>
        <w:t>市委常委会会议</w:t>
      </w:r>
      <w:r>
        <w:rPr>
          <w:rFonts w:hint="eastAsia"/>
        </w:rPr>
        <w:t>。会议学习《广东省从严治党五年行动计划实施细则》；讨论关于推进城镇化建设工作方案的问题、召开科技与知识产权工作暨科技进步奖励大会的问题、成立“九三学社”南雄分社的问题、提高住房公积金标准的问题、旅游发展的问题和整顿机关事业单位工作人员离</w:t>
      </w:r>
      <w:r>
        <w:rPr>
          <w:rFonts w:hint="eastAsia"/>
          <w:lang w:val="en-US" w:eastAsia="zh-CN"/>
        </w:rPr>
        <w:t>岗</w:t>
      </w:r>
      <w:r>
        <w:rPr>
          <w:rFonts w:hint="eastAsia"/>
        </w:rPr>
        <w:t>吃空饷的问题。</w:t>
      </w:r>
    </w:p>
    <w:p w14:paraId="2F84F4C1">
      <w:pPr>
        <w:rPr>
          <w:rFonts w:hint="eastAsia"/>
        </w:rPr>
      </w:pPr>
      <w:r>
        <w:t>6月7日下午，市委书记许志新同志在市委常</w:t>
      </w:r>
      <w:r>
        <w:rPr>
          <w:rFonts w:hint="eastAsia"/>
        </w:rPr>
        <w:t>委会议室主持召开</w:t>
      </w:r>
      <w:r>
        <w:rPr>
          <w:rFonts w:hint="eastAsia"/>
          <w:lang w:eastAsia="zh-CN"/>
        </w:rPr>
        <w:t>市委常委会会议</w:t>
      </w:r>
      <w:r>
        <w:rPr>
          <w:rFonts w:hint="eastAsia"/>
        </w:rPr>
        <w:t>。会议讨论省委巡视组反馈意见整改问题、扶贫开发工作问题、镇（街）经济社会科学发展考核问题、县域经济社会发展考核奖励办法问题。</w:t>
      </w:r>
    </w:p>
    <w:p w14:paraId="25F5C797">
      <w:pPr>
        <w:rPr>
          <w:rFonts w:hint="eastAsia"/>
        </w:rPr>
      </w:pPr>
      <w:r>
        <w:t>8月22日上午，市委书记刘清生同志在市委常</w:t>
      </w:r>
      <w:r>
        <w:rPr>
          <w:rFonts w:hint="eastAsia"/>
        </w:rPr>
        <w:t>委会议室主持召开</w:t>
      </w:r>
      <w:r>
        <w:rPr>
          <w:rFonts w:hint="eastAsia"/>
          <w:lang w:eastAsia="zh-CN"/>
        </w:rPr>
        <w:t>市委常委会会议</w:t>
      </w:r>
      <w:r>
        <w:rPr>
          <w:rFonts w:hint="eastAsia"/>
        </w:rPr>
        <w:t>。会议传达省委常委会加强作风建设十一项承诺的精神，讨论</w:t>
      </w:r>
      <w:r>
        <w:t>2013</w:t>
      </w:r>
      <w:r>
        <w:rPr>
          <w:rFonts w:hint="eastAsia"/>
        </w:rPr>
        <w:t>年市直单位绩效考评问题、开展“廉洁南雄”创建活动问题、</w:t>
      </w:r>
      <w:r>
        <w:t>2013年主要污染物减排行动计划问题。</w:t>
      </w:r>
      <w:r>
        <w:rPr>
          <w:rFonts w:hint="eastAsia"/>
        </w:rPr>
        <w:t>会议还讨论有关干部任免问题。</w:t>
      </w:r>
    </w:p>
    <w:p w14:paraId="5FE1B71B">
      <w:pPr>
        <w:rPr>
          <w:rFonts w:hint="eastAsia"/>
        </w:rPr>
      </w:pPr>
      <w:r>
        <w:t>9月2日下午，市委书记刘清生同志在市委常</w:t>
      </w:r>
      <w:r>
        <w:rPr>
          <w:rFonts w:hint="eastAsia"/>
        </w:rPr>
        <w:t>委会议室主持召开</w:t>
      </w:r>
      <w:r>
        <w:rPr>
          <w:rFonts w:hint="eastAsia"/>
          <w:lang w:eastAsia="zh-CN"/>
        </w:rPr>
        <w:t>市委常委会会议</w:t>
      </w:r>
      <w:r>
        <w:rPr>
          <w:rFonts w:hint="eastAsia"/>
        </w:rPr>
        <w:t>。会议讨论关于党内规范性文件备案工作的问题及相关人事任免问题。</w:t>
      </w:r>
    </w:p>
    <w:p w14:paraId="13FCBD41">
      <w:r>
        <w:t>10月15日下午，市委书记刘清生同志在市委</w:t>
      </w:r>
      <w:r>
        <w:rPr>
          <w:rFonts w:hint="eastAsia"/>
        </w:rPr>
        <w:t>常委会议室主持召开</w:t>
      </w:r>
      <w:r>
        <w:rPr>
          <w:rFonts w:hint="eastAsia"/>
          <w:lang w:eastAsia="zh-CN"/>
        </w:rPr>
        <w:t>市委常委会会议</w:t>
      </w:r>
      <w:r>
        <w:rPr>
          <w:rFonts w:hint="eastAsia"/>
        </w:rPr>
        <w:t>。会议讨论关于市领导挂点联系镇（街道）、企业、扶贫重点帮扶村、党建示范村、薄弱村整治、学习、镇（街道）人口与计生工作的问题；讨论村“两委”换届工作的问题、</w:t>
      </w:r>
      <w:r>
        <w:t>2013年计划生育考核方案问题。</w:t>
      </w:r>
    </w:p>
    <w:p w14:paraId="557E4C92">
      <w:pPr>
        <w:rPr>
          <w:rFonts w:hint="eastAsia"/>
        </w:rPr>
      </w:pPr>
      <w:r>
        <w:t>12月6日下午，市委书记刘清生同志在市委常</w:t>
      </w:r>
      <w:r>
        <w:rPr>
          <w:rFonts w:hint="eastAsia"/>
        </w:rPr>
        <w:t>委会议室主持召开</w:t>
      </w:r>
      <w:r>
        <w:rPr>
          <w:rFonts w:hint="eastAsia"/>
          <w:lang w:eastAsia="zh-CN"/>
        </w:rPr>
        <w:t>市委常委会会议</w:t>
      </w:r>
      <w:r>
        <w:rPr>
          <w:rFonts w:hint="eastAsia"/>
        </w:rPr>
        <w:t>。会议讨论关于市领导兼职部门副职称谓规范问题、设立人力资源和社会保障局党组问题。会议还讨论干部人事任免问题。</w:t>
      </w:r>
    </w:p>
    <w:p w14:paraId="404883AC">
      <w:pPr>
        <w:rPr>
          <w:rFonts w:hint="eastAsia"/>
        </w:rPr>
      </w:pPr>
      <w:r>
        <w:t>12月23日上午，市委书记刘清生同志在市委</w:t>
      </w:r>
      <w:r>
        <w:rPr>
          <w:rFonts w:hint="eastAsia"/>
        </w:rPr>
        <w:t>常委会议室主持召开</w:t>
      </w:r>
      <w:r>
        <w:rPr>
          <w:rFonts w:hint="eastAsia"/>
          <w:lang w:eastAsia="zh-CN"/>
        </w:rPr>
        <w:t>市委常委会会议</w:t>
      </w:r>
      <w:r>
        <w:rPr>
          <w:rFonts w:hint="eastAsia"/>
        </w:rPr>
        <w:t>。会议讨论关于</w:t>
      </w:r>
      <w:r>
        <w:rPr>
          <w:rFonts w:hint="eastAsia"/>
          <w:lang w:eastAsia="zh-CN"/>
        </w:rPr>
        <w:t>“</w:t>
      </w:r>
      <w:r>
        <w:rPr>
          <w:rFonts w:hint="eastAsia"/>
        </w:rPr>
        <w:t>三会”（市委十二届三次全会、市人大第十四届四次会议、市政协第九届四次会议）问题、抓好安全生产的问题；组织开展慰问老干部、特困党员、困难职工等活动；做好县域经济考核准备工作的问题。</w:t>
      </w:r>
    </w:p>
    <w:p w14:paraId="7D6D0A26">
      <w:pPr>
        <w:pStyle w:val="3"/>
        <w:bidi w:val="0"/>
        <w:rPr>
          <w:rFonts w:hint="default"/>
          <w:lang w:val="en-US" w:eastAsia="zh-CN"/>
        </w:rPr>
      </w:pPr>
      <w:r>
        <w:rPr>
          <w:rFonts w:hint="eastAsia"/>
          <w:lang w:val="en-US" w:eastAsia="zh-CN"/>
        </w:rPr>
        <w:t>南雄市委办公室</w:t>
      </w:r>
    </w:p>
    <w:p w14:paraId="753DD5EE">
      <w:pPr>
        <w:pStyle w:val="4"/>
        <w:bidi w:val="0"/>
        <w:rPr>
          <w:rFonts w:hint="eastAsia"/>
        </w:rPr>
      </w:pPr>
      <w:r>
        <w:rPr>
          <w:rFonts w:hint="eastAsia"/>
          <w:lang w:eastAsia="zh-CN"/>
        </w:rPr>
        <w:t>【</w:t>
      </w:r>
      <w:r>
        <w:rPr>
          <w:rFonts w:hint="eastAsia"/>
        </w:rPr>
        <w:t>概况】</w:t>
      </w:r>
    </w:p>
    <w:p w14:paraId="06F9F59C">
      <w:pPr>
        <w:rPr>
          <w:rFonts w:hint="eastAsia"/>
        </w:rPr>
      </w:pPr>
      <w:r>
        <w:rPr>
          <w:rFonts w:hint="eastAsia"/>
        </w:rPr>
        <w:t>市委办公室是市委的工作部门，内设机构：人事秘书股、信息调</w:t>
      </w:r>
      <w:r>
        <w:rPr>
          <w:rFonts w:hint="eastAsia"/>
          <w:lang w:val="en-US" w:eastAsia="zh-CN"/>
        </w:rPr>
        <w:t>研</w:t>
      </w:r>
      <w:r>
        <w:rPr>
          <w:rFonts w:hint="eastAsia"/>
        </w:rPr>
        <w:t>股、综合督</w:t>
      </w:r>
      <w:r>
        <w:rPr>
          <w:rFonts w:hint="eastAsia"/>
          <w:lang w:eastAsia="zh-CN"/>
        </w:rPr>
        <w:t>查</w:t>
      </w:r>
      <w:r>
        <w:rPr>
          <w:rFonts w:hint="eastAsia"/>
        </w:rPr>
        <w:t>股、新闻股、保密股（局）、信访股（局）、网络问政股。</w:t>
      </w:r>
    </w:p>
    <w:p w14:paraId="2FCF0DE1">
      <w:pPr>
        <w:pStyle w:val="4"/>
        <w:bidi w:val="0"/>
        <w:rPr>
          <w:rFonts w:hint="eastAsia"/>
        </w:rPr>
      </w:pPr>
      <w:r>
        <w:rPr>
          <w:rFonts w:hint="eastAsia"/>
        </w:rPr>
        <w:t>【新闻信息调研工作】</w:t>
      </w:r>
    </w:p>
    <w:p w14:paraId="37F6F509">
      <w:pPr>
        <w:rPr>
          <w:rFonts w:hint="eastAsia"/>
        </w:rPr>
      </w:pPr>
      <w:r>
        <w:t>2013年，全年向省委办公</w:t>
      </w:r>
      <w:r>
        <w:rPr>
          <w:rFonts w:hint="eastAsia"/>
        </w:rPr>
        <w:t>厅报送信息近</w:t>
      </w:r>
      <w:r>
        <w:t>70条，被采用6条；向韶关市委办</w:t>
      </w:r>
      <w:r>
        <w:rPr>
          <w:rFonts w:hint="eastAsia"/>
        </w:rPr>
        <w:t>报送信息</w:t>
      </w:r>
      <w:r>
        <w:t>73条，被采用15条，专报4篇。信息工</w:t>
      </w:r>
      <w:r>
        <w:rPr>
          <w:rFonts w:hint="eastAsia"/>
        </w:rPr>
        <w:t>作在韶关各县（市、区）排名第三。新闻报道工作成绩显著，在《韶关日报》用稿</w:t>
      </w:r>
      <w:r>
        <w:t>230多条，《南方</w:t>
      </w:r>
      <w:r>
        <w:rPr>
          <w:rFonts w:hint="eastAsia"/>
        </w:rPr>
        <w:t>日报》、《羊城</w:t>
      </w:r>
      <w:r>
        <w:rPr>
          <w:rFonts w:hint="eastAsia"/>
          <w:lang w:val="en-US" w:eastAsia="zh-CN"/>
        </w:rPr>
        <w:t>晚</w:t>
      </w:r>
      <w:r>
        <w:rPr>
          <w:rFonts w:hint="eastAsia"/>
        </w:rPr>
        <w:t>报》等省级媒体用稿近</w:t>
      </w:r>
      <w:r>
        <w:t>50条，省</w:t>
      </w:r>
      <w:r>
        <w:rPr>
          <w:rFonts w:hint="eastAsia"/>
          <w:lang w:eastAsia="zh-CN"/>
        </w:rPr>
        <w:t>、</w:t>
      </w:r>
      <w:r>
        <w:rPr>
          <w:rFonts w:hint="eastAsia"/>
        </w:rPr>
        <w:t>市报刊用稿居韶关各县（市、区）前列。同时，抓好紧急信息报送工作，为领导超前谋划、及早决策，正确把握社会舆论导向，切实化解矛盾纠纷，维护社会稳定提供优质的工作，快捷的服务。</w:t>
      </w:r>
    </w:p>
    <w:p w14:paraId="55543578">
      <w:pPr>
        <w:pStyle w:val="4"/>
        <w:bidi w:val="0"/>
        <w:rPr>
          <w:rFonts w:hint="eastAsia"/>
        </w:rPr>
      </w:pPr>
      <w:r>
        <w:rPr>
          <w:rFonts w:hint="eastAsia"/>
          <w:lang w:eastAsia="zh-CN"/>
        </w:rPr>
        <w:t>【</w:t>
      </w:r>
      <w:r>
        <w:rPr>
          <w:rFonts w:hint="eastAsia"/>
        </w:rPr>
        <w:t>督</w:t>
      </w:r>
      <w:r>
        <w:rPr>
          <w:rFonts w:hint="eastAsia"/>
          <w:lang w:eastAsia="zh-CN"/>
        </w:rPr>
        <w:t>查</w:t>
      </w:r>
      <w:r>
        <w:rPr>
          <w:rFonts w:hint="eastAsia"/>
        </w:rPr>
        <w:t>督办工作】</w:t>
      </w:r>
    </w:p>
    <w:p w14:paraId="66C287C1">
      <w:r>
        <w:rPr>
          <w:rFonts w:hint="eastAsia"/>
        </w:rPr>
        <w:t>围绕市委、市政府的中心工作和重要决策部署、重大项目建设及人民群众关心的热点难点问题等，开展督</w:t>
      </w:r>
      <w:r>
        <w:rPr>
          <w:rFonts w:hint="eastAsia"/>
          <w:lang w:eastAsia="zh-CN"/>
        </w:rPr>
        <w:t>查</w:t>
      </w:r>
      <w:r>
        <w:rPr>
          <w:rFonts w:hint="eastAsia"/>
        </w:rPr>
        <w:t>督办工作，确保市委</w:t>
      </w:r>
      <w:r>
        <w:rPr>
          <w:rFonts w:hint="eastAsia"/>
          <w:lang w:eastAsia="zh-CN"/>
        </w:rPr>
        <w:t>、</w:t>
      </w:r>
      <w:r>
        <w:rPr>
          <w:rFonts w:hint="eastAsia"/>
        </w:rPr>
        <w:t>市政府重要决策得到全面贯彻落实。一是抓好市委、市政府重要决策部署的督</w:t>
      </w:r>
      <w:r>
        <w:rPr>
          <w:rFonts w:hint="eastAsia"/>
          <w:lang w:eastAsia="zh-CN"/>
        </w:rPr>
        <w:t>查</w:t>
      </w:r>
      <w:r>
        <w:rPr>
          <w:rFonts w:hint="eastAsia"/>
        </w:rPr>
        <w:t>。以“面向基层、整顿作风、服务群众”教育实践活动为契机，开展市四套班子领导和有关单位挂点联系企业、政府承诺的民生实事等市委、市政府重要决策部署的专项督</w:t>
      </w:r>
      <w:r>
        <w:rPr>
          <w:rFonts w:hint="eastAsia"/>
          <w:lang w:eastAsia="zh-CN"/>
        </w:rPr>
        <w:t>查</w:t>
      </w:r>
      <w:r>
        <w:rPr>
          <w:rFonts w:hint="eastAsia"/>
        </w:rPr>
        <w:t>，及时向市委、市政府反馈贯彻落实情况。</w:t>
      </w:r>
      <w:r>
        <w:rPr>
          <w:rFonts w:hint="eastAsia"/>
          <w:lang w:val="en-US" w:eastAsia="zh-CN"/>
        </w:rPr>
        <w:t>二</w:t>
      </w:r>
      <w:r>
        <w:rPr>
          <w:rFonts w:hint="eastAsia"/>
        </w:rPr>
        <w:t>是抓好重大项目督</w:t>
      </w:r>
      <w:r>
        <w:rPr>
          <w:rFonts w:hint="eastAsia"/>
          <w:lang w:eastAsia="zh-CN"/>
        </w:rPr>
        <w:t>查</w:t>
      </w:r>
      <w:r>
        <w:rPr>
          <w:rFonts w:hint="eastAsia"/>
        </w:rPr>
        <w:t>。整合各部门资源，成立市委督</w:t>
      </w:r>
      <w:r>
        <w:rPr>
          <w:rFonts w:hint="eastAsia"/>
          <w:lang w:eastAsia="zh-CN"/>
        </w:rPr>
        <w:t>查</w:t>
      </w:r>
      <w:r>
        <w:rPr>
          <w:rFonts w:hint="eastAsia"/>
        </w:rPr>
        <w:t>督办专责小组，建立大督办工作格局。根据全市重大项目建设计划，通过听取汇报、</w:t>
      </w:r>
      <w:r>
        <w:rPr>
          <w:rFonts w:hint="eastAsia"/>
          <w:lang w:eastAsia="zh-CN"/>
        </w:rPr>
        <w:t>查</w:t>
      </w:r>
      <w:r>
        <w:rPr>
          <w:rFonts w:hint="eastAsia"/>
        </w:rPr>
        <w:t>阅资料</w:t>
      </w:r>
      <w:r>
        <w:rPr>
          <w:rFonts w:hint="eastAsia"/>
          <w:lang w:eastAsia="zh-CN"/>
        </w:rPr>
        <w:t>、</w:t>
      </w:r>
      <w:r>
        <w:rPr>
          <w:rFonts w:hint="eastAsia"/>
        </w:rPr>
        <w:t>实地</w:t>
      </w:r>
      <w:r>
        <w:rPr>
          <w:rFonts w:hint="eastAsia"/>
          <w:lang w:eastAsia="zh-CN"/>
        </w:rPr>
        <w:t>查</w:t>
      </w:r>
      <w:r>
        <w:rPr>
          <w:rFonts w:hint="eastAsia"/>
        </w:rPr>
        <w:t>看等形式，对全市重大项目建设进行督促检</w:t>
      </w:r>
      <w:r>
        <w:rPr>
          <w:rFonts w:hint="eastAsia"/>
          <w:lang w:eastAsia="zh-CN"/>
        </w:rPr>
        <w:t>查</w:t>
      </w:r>
      <w:r>
        <w:rPr>
          <w:rFonts w:hint="eastAsia"/>
        </w:rPr>
        <w:t>，有力地推动农村公路硬底化工程、电力基础设施、小型农田水利重点县、东</w:t>
      </w:r>
      <w:r>
        <w:rPr>
          <w:rFonts w:hint="eastAsia"/>
          <w:lang w:eastAsia="zh-CN"/>
        </w:rPr>
        <w:t>莞</w:t>
      </w:r>
      <w:r>
        <w:rPr>
          <w:rFonts w:hint="eastAsia"/>
        </w:rPr>
        <w:t>大岭山（南雄）</w:t>
      </w:r>
      <w:r>
        <w:rPr>
          <w:rFonts w:hint="eastAsia"/>
          <w:lang w:val="en-US" w:eastAsia="zh-CN"/>
        </w:rPr>
        <w:t>产</w:t>
      </w:r>
      <w:r>
        <w:rPr>
          <w:rFonts w:hint="eastAsia"/>
        </w:rPr>
        <w:t>业转移工业园、“四大民生教育”工程、广东奥威斯乐园和城市综合体等一批重大项目建设。三是抓好群众关心的热点难点问题督</w:t>
      </w:r>
      <w:r>
        <w:rPr>
          <w:rFonts w:hint="eastAsia"/>
          <w:lang w:eastAsia="zh-CN"/>
        </w:rPr>
        <w:t>查</w:t>
      </w:r>
      <w:r>
        <w:rPr>
          <w:rFonts w:hint="eastAsia"/>
        </w:rPr>
        <w:t>。</w:t>
      </w:r>
      <w:r>
        <w:t>2013年，南雄市</w:t>
      </w:r>
      <w:r>
        <w:rPr>
          <w:rFonts w:hint="eastAsia"/>
        </w:rPr>
        <w:t>成立市网络问政工作领导小组，建立健全全市网络问政体系，推进网络问政工作制度化、规划化建设；收到</w:t>
      </w:r>
      <w:r>
        <w:t>271条网络问政留言，网上办结率</w:t>
      </w:r>
      <w:r>
        <w:rPr>
          <w:rFonts w:hint="eastAsia"/>
        </w:rPr>
        <w:t>为</w:t>
      </w:r>
      <w:r>
        <w:t>100%。</w:t>
      </w:r>
    </w:p>
    <w:p w14:paraId="628A8317">
      <w:pPr>
        <w:pStyle w:val="4"/>
        <w:bidi w:val="0"/>
        <w:rPr>
          <w:rFonts w:hint="eastAsia"/>
        </w:rPr>
      </w:pPr>
      <w:r>
        <w:rPr>
          <w:rFonts w:hint="eastAsia"/>
        </w:rPr>
        <w:t>【文件会务接待工作】</w:t>
      </w:r>
    </w:p>
    <w:p w14:paraId="2565D99C">
      <w:pPr>
        <w:rPr>
          <w:rFonts w:hint="eastAsia"/>
          <w:lang w:eastAsia="zh-CN"/>
        </w:rPr>
      </w:pPr>
      <w:r>
        <w:t>2013年，发文57份，发</w:t>
      </w:r>
      <w:r>
        <w:rPr>
          <w:rFonts w:hint="eastAsia"/>
        </w:rPr>
        <w:t>电文</w:t>
      </w:r>
      <w:r>
        <w:t>135份。处理来文、信函、报刊杂志，印发抄</w:t>
      </w:r>
      <w:r>
        <w:rPr>
          <w:rFonts w:hint="eastAsia"/>
        </w:rPr>
        <w:t>送常委会议纪要、党政联席会议纪要、简报、请示报告、重要事项安排、各种材料等文书。做好市委交办的大型会议、重大活动的材料及会务等筹备工作，办理较大型会议</w:t>
      </w:r>
      <w:r>
        <w:t>10多场次，先后完成市委</w:t>
      </w:r>
      <w:r>
        <w:rPr>
          <w:rFonts w:hint="eastAsia"/>
          <w:lang w:val="en-US" w:eastAsia="zh-CN"/>
        </w:rPr>
        <w:t>十二</w:t>
      </w:r>
      <w:r>
        <w:rPr>
          <w:rFonts w:hint="eastAsia"/>
        </w:rPr>
        <w:t>届二次全会、市委工作会议、开春动员大会、“</w:t>
      </w:r>
      <w:r>
        <w:t>2012年度经济社会科学发展总结表彰大会等一系</w:t>
      </w:r>
      <w:r>
        <w:rPr>
          <w:rFonts w:hint="eastAsia"/>
        </w:rPr>
        <w:t>列会议的报告、讲话材料和会务筹备工作。先后接待省、市领导及兄弟县市来雄视察、考察</w:t>
      </w:r>
      <w:r>
        <w:t>10余次</w:t>
      </w:r>
      <w:r>
        <w:rPr>
          <w:rFonts w:hint="eastAsia"/>
          <w:lang w:eastAsia="zh-CN"/>
        </w:rPr>
        <w:t>。</w:t>
      </w:r>
    </w:p>
    <w:p w14:paraId="2C376FE0">
      <w:pPr>
        <w:pStyle w:val="4"/>
        <w:bidi w:val="0"/>
        <w:rPr>
          <w:rFonts w:hint="eastAsia"/>
        </w:rPr>
      </w:pPr>
      <w:r>
        <w:rPr>
          <w:rFonts w:hint="eastAsia"/>
          <w:lang w:eastAsia="zh-CN"/>
        </w:rPr>
        <w:t>【</w:t>
      </w:r>
      <w:r>
        <w:rPr>
          <w:rFonts w:hint="eastAsia"/>
        </w:rPr>
        <w:t>信访工作】</w:t>
      </w:r>
    </w:p>
    <w:p w14:paraId="5A456E8A">
      <w:r>
        <w:rPr>
          <w:rFonts w:hint="eastAsia"/>
        </w:rPr>
        <w:t>以群众工作统揽信访工作，做好办信接访工作，推进领导干部走访下访活动，化解信访积案，发挥综合协调指导职能作用，加强隐患排</w:t>
      </w:r>
      <w:r>
        <w:rPr>
          <w:rFonts w:hint="eastAsia"/>
          <w:lang w:eastAsia="zh-CN"/>
        </w:rPr>
        <w:t>查</w:t>
      </w:r>
      <w:r>
        <w:rPr>
          <w:rFonts w:hint="eastAsia"/>
        </w:rPr>
        <w:t>和社会研判工作，提升信访干部队伍建设。</w:t>
      </w:r>
      <w:r>
        <w:t>2013</w:t>
      </w:r>
      <w:r>
        <w:rPr>
          <w:rFonts w:hint="eastAsia"/>
        </w:rPr>
        <w:t>年，接待群众来信来访</w:t>
      </w:r>
      <w:r>
        <w:t>551宗1569人次，受理群</w:t>
      </w:r>
      <w:r>
        <w:rPr>
          <w:rFonts w:hint="eastAsia"/>
        </w:rPr>
        <w:t>众来信来访</w:t>
      </w:r>
      <w:r>
        <w:t>377宗1056人次，比2012年下降12.3%和17.8%。其中办理群众来信163件，比2012年下降0.6%；接待群众来访214批1056人次</w:t>
      </w:r>
      <w:r>
        <w:rPr>
          <w:rFonts w:hint="eastAsia"/>
        </w:rPr>
        <w:t>（领导接访</w:t>
      </w:r>
      <w:r>
        <w:t>114批515人次），分别比2012年下降20.1%和17.8%。重复访34批103人次，同比批</w:t>
      </w:r>
      <w:r>
        <w:rPr>
          <w:rFonts w:hint="eastAsia"/>
        </w:rPr>
        <w:t>次上升</w:t>
      </w:r>
      <w:r>
        <w:t>6%、人次下降1.5%；越级访79批192人</w:t>
      </w:r>
      <w:r>
        <w:rPr>
          <w:rFonts w:hint="eastAsia"/>
        </w:rPr>
        <w:t>次，同比上升</w:t>
      </w:r>
      <w:r>
        <w:t>31.7%和84.6%；集体访43批651</w:t>
      </w:r>
      <w:r>
        <w:rPr>
          <w:rFonts w:hint="eastAsia"/>
        </w:rPr>
        <w:t>人次，同比上升</w:t>
      </w:r>
      <w:r>
        <w:t>19.4%和38.8%。上级交办转送89件，全部按期办结。</w:t>
      </w:r>
    </w:p>
    <w:p w14:paraId="4D15E5BF">
      <w:pPr>
        <w:pStyle w:val="4"/>
        <w:bidi w:val="0"/>
        <w:rPr>
          <w:rFonts w:hint="eastAsia"/>
        </w:rPr>
      </w:pPr>
      <w:r>
        <w:rPr>
          <w:rFonts w:hint="eastAsia"/>
        </w:rPr>
        <w:t>【保密管理工作】</w:t>
      </w:r>
    </w:p>
    <w:p w14:paraId="50CDC083">
      <w:r>
        <w:rPr>
          <w:rFonts w:hint="eastAsia"/>
        </w:rPr>
        <w:t>严守岗位职责，完成一批机要保密安全任务。在全市开展“保密调</w:t>
      </w:r>
      <w:r>
        <w:rPr>
          <w:rFonts w:hint="eastAsia"/>
          <w:lang w:eastAsia="zh-CN"/>
        </w:rPr>
        <w:t>查</w:t>
      </w:r>
      <w:r>
        <w:rPr>
          <w:rFonts w:hint="eastAsia"/>
        </w:rPr>
        <w:t>研究年”活动，并撰写调研报告。在市财政局三楼会议室召开全市保密普</w:t>
      </w:r>
      <w:r>
        <w:rPr>
          <w:rFonts w:hint="eastAsia"/>
          <w:lang w:eastAsia="zh-CN"/>
        </w:rPr>
        <w:t>查</w:t>
      </w:r>
      <w:r>
        <w:rPr>
          <w:rFonts w:hint="eastAsia"/>
        </w:rPr>
        <w:t>动员培训会议，全市顺利完成第一次保密普</w:t>
      </w:r>
      <w:r>
        <w:rPr>
          <w:rFonts w:hint="eastAsia"/>
          <w:lang w:eastAsia="zh-CN"/>
        </w:rPr>
        <w:t>查</w:t>
      </w:r>
      <w:r>
        <w:rPr>
          <w:rFonts w:hint="eastAsia"/>
        </w:rPr>
        <w:t>工作。在市委党校举办公务员保密法制教育及必须的专业知识培训，受教育人员近</w:t>
      </w:r>
      <w:r>
        <w:t>1500人，</w:t>
      </w:r>
      <w:r>
        <w:rPr>
          <w:rFonts w:hint="eastAsia"/>
        </w:rPr>
        <w:t>完成初任公务员保密法制教育培训一期，受教育人员近</w:t>
      </w:r>
      <w:r>
        <w:t>50人。</w:t>
      </w:r>
    </w:p>
    <w:p w14:paraId="1405DFB1">
      <w:pPr>
        <w:jc w:val="right"/>
        <w:rPr>
          <w:b/>
          <w:bCs/>
        </w:rPr>
      </w:pPr>
      <w:r>
        <w:rPr>
          <w:b/>
          <w:bCs/>
        </w:rPr>
        <w:t>（市委办）</w:t>
      </w:r>
    </w:p>
    <w:p w14:paraId="780D987A">
      <w:pPr>
        <w:pStyle w:val="10"/>
        <w:bidi w:val="0"/>
        <w:rPr>
          <w:b/>
          <w:bCs/>
        </w:rPr>
      </w:pPr>
      <w:r>
        <w:rPr>
          <w:rFonts w:hint="eastAsia"/>
          <w:b/>
          <w:bCs/>
        </w:rPr>
        <w:t>附：</w:t>
      </w:r>
      <w:r>
        <w:rPr>
          <w:b/>
          <w:bCs/>
        </w:rPr>
        <w:t>2013年市委办领导班子成员名单</w:t>
      </w:r>
    </w:p>
    <w:p w14:paraId="5CE0D865">
      <w:pPr>
        <w:pStyle w:val="10"/>
        <w:bidi w:val="0"/>
        <w:rPr>
          <w:rFonts w:hint="eastAsia"/>
        </w:rPr>
      </w:pPr>
      <w:r>
        <w:rPr>
          <w:rFonts w:hint="eastAsia"/>
          <w:b/>
          <w:bCs/>
        </w:rPr>
        <w:t>主</w:t>
      </w:r>
      <w:r>
        <w:rPr>
          <w:rFonts w:hint="eastAsia"/>
          <w:b/>
          <w:bCs/>
          <w:lang w:val="en-US" w:eastAsia="zh-CN"/>
        </w:rPr>
        <w:t xml:space="preserve">    </w:t>
      </w:r>
      <w:r>
        <w:rPr>
          <w:rFonts w:hint="eastAsia"/>
          <w:b/>
          <w:bCs/>
        </w:rPr>
        <w:t>任：</w:t>
      </w:r>
      <w:r>
        <w:rPr>
          <w:rFonts w:hint="eastAsia"/>
        </w:rPr>
        <w:t>黄德群（兼）</w:t>
      </w:r>
    </w:p>
    <w:p w14:paraId="2175FCD5">
      <w:pPr>
        <w:pStyle w:val="10"/>
        <w:bidi w:val="0"/>
        <w:rPr>
          <w:rFonts w:hint="eastAsia"/>
        </w:rPr>
      </w:pPr>
      <w:r>
        <w:rPr>
          <w:rFonts w:hint="eastAsia"/>
          <w:b/>
          <w:bCs/>
        </w:rPr>
        <w:t>副</w:t>
      </w:r>
      <w:r>
        <w:rPr>
          <w:rFonts w:hint="eastAsia"/>
          <w:b/>
          <w:bCs/>
          <w:lang w:val="en-US" w:eastAsia="zh-CN"/>
        </w:rPr>
        <w:t xml:space="preserve"> </w:t>
      </w:r>
      <w:r>
        <w:rPr>
          <w:rFonts w:hint="eastAsia"/>
          <w:b/>
          <w:bCs/>
        </w:rPr>
        <w:t>主</w:t>
      </w:r>
      <w:r>
        <w:rPr>
          <w:rFonts w:hint="eastAsia"/>
          <w:b/>
          <w:bCs/>
          <w:lang w:val="en-US" w:eastAsia="zh-CN"/>
        </w:rPr>
        <w:t xml:space="preserve"> </w:t>
      </w:r>
      <w:r>
        <w:rPr>
          <w:rFonts w:hint="eastAsia"/>
          <w:b/>
          <w:bCs/>
        </w:rPr>
        <w:t>任：</w:t>
      </w:r>
      <w:r>
        <w:rPr>
          <w:rFonts w:hint="eastAsia"/>
        </w:rPr>
        <w:t>张堂耀</w:t>
      </w:r>
      <w:r>
        <w:rPr>
          <w:rFonts w:hint="eastAsia"/>
          <w:lang w:val="en-US" w:eastAsia="zh-CN"/>
        </w:rPr>
        <w:t xml:space="preserve">   </w:t>
      </w:r>
      <w:r>
        <w:rPr>
          <w:rFonts w:hint="eastAsia"/>
        </w:rPr>
        <w:t>陈志刚</w:t>
      </w:r>
    </w:p>
    <w:p w14:paraId="242A0777">
      <w:pPr>
        <w:pStyle w:val="10"/>
        <w:bidi w:val="0"/>
        <w:ind w:leftChars="500"/>
      </w:pPr>
      <w:r>
        <w:rPr>
          <w:rFonts w:hint="eastAsia"/>
        </w:rPr>
        <w:t>朱世平（任至</w:t>
      </w:r>
      <w:r>
        <w:t>9月）朱祖纯</w:t>
      </w:r>
    </w:p>
    <w:p w14:paraId="78CC9D13">
      <w:pPr>
        <w:pStyle w:val="10"/>
        <w:bidi w:val="0"/>
        <w:ind w:leftChars="500"/>
        <w:rPr>
          <w:rFonts w:hint="eastAsia"/>
          <w:lang w:eastAsia="zh-CN"/>
        </w:rPr>
      </w:pPr>
      <w:r>
        <w:rPr>
          <w:rFonts w:hint="eastAsia"/>
        </w:rPr>
        <w:t>卢锦华（</w:t>
      </w:r>
      <w:r>
        <w:t>12月任</w:t>
      </w:r>
      <w:r>
        <w:rPr>
          <w:rFonts w:hint="eastAsia"/>
          <w:lang w:eastAsia="zh-CN"/>
        </w:rPr>
        <w:t>）</w:t>
      </w:r>
    </w:p>
    <w:p w14:paraId="3DE2B4DE">
      <w:pPr>
        <w:pStyle w:val="10"/>
        <w:bidi w:val="0"/>
        <w:ind w:leftChars="500"/>
      </w:pPr>
      <w:r>
        <w:rPr>
          <w:rFonts w:hint="eastAsia"/>
        </w:rPr>
        <w:t>叶</w:t>
      </w:r>
      <w:r>
        <w:rPr>
          <w:rFonts w:hint="eastAsia"/>
          <w:lang w:val="en-US" w:eastAsia="zh-CN"/>
        </w:rPr>
        <w:t xml:space="preserve">  </w:t>
      </w:r>
      <w:r>
        <w:rPr>
          <w:rFonts w:hint="eastAsia"/>
        </w:rPr>
        <w:t>飞（</w:t>
      </w:r>
      <w:r>
        <w:t>12月任）</w:t>
      </w:r>
    </w:p>
    <w:p w14:paraId="163A65CD">
      <w:pPr>
        <w:pStyle w:val="10"/>
        <w:bidi w:val="0"/>
        <w:rPr>
          <w:rFonts w:hint="eastAsia"/>
        </w:rPr>
      </w:pPr>
      <w:r>
        <w:rPr>
          <w:rFonts w:hint="eastAsia"/>
          <w:b/>
          <w:bCs/>
        </w:rPr>
        <w:t>党群纪检中心组组长：</w:t>
      </w:r>
      <w:r>
        <w:rPr>
          <w:rFonts w:hint="eastAsia"/>
        </w:rPr>
        <w:t>何润红</w:t>
      </w:r>
    </w:p>
    <w:p w14:paraId="5C4592AD">
      <w:pPr>
        <w:pStyle w:val="10"/>
        <w:bidi w:val="0"/>
        <w:rPr>
          <w:rFonts w:hint="eastAsia"/>
        </w:rPr>
      </w:pPr>
      <w:r>
        <w:rPr>
          <w:rFonts w:hint="eastAsia"/>
          <w:b/>
          <w:bCs/>
        </w:rPr>
        <w:t>纪检组长：</w:t>
      </w:r>
      <w:r>
        <w:rPr>
          <w:rFonts w:hint="eastAsia"/>
        </w:rPr>
        <w:t>陈龙妹</w:t>
      </w:r>
    </w:p>
    <w:p w14:paraId="4A8D95F3">
      <w:pPr>
        <w:pStyle w:val="3"/>
        <w:bidi w:val="0"/>
        <w:rPr>
          <w:rFonts w:hint="default"/>
          <w:lang w:val="en-US" w:eastAsia="zh-CN"/>
        </w:rPr>
      </w:pPr>
      <w:r>
        <w:rPr>
          <w:rFonts w:hint="eastAsia"/>
          <w:lang w:val="en-US" w:eastAsia="zh-CN"/>
        </w:rPr>
        <w:t>组织工作</w:t>
      </w:r>
    </w:p>
    <w:p w14:paraId="0BF335DB">
      <w:pPr>
        <w:pStyle w:val="4"/>
        <w:bidi w:val="0"/>
        <w:rPr>
          <w:rFonts w:hint="eastAsia"/>
        </w:rPr>
      </w:pPr>
      <w:r>
        <w:rPr>
          <w:rFonts w:hint="eastAsia"/>
        </w:rPr>
        <w:t>【概况】</w:t>
      </w:r>
    </w:p>
    <w:p w14:paraId="6D36C6D9">
      <w:r>
        <w:rPr>
          <w:rFonts w:hint="eastAsia"/>
        </w:rPr>
        <w:t>中共南雄市委组织部是市委负责领导班子、干部队伍、人才队伍和党的基层组织建设的职能部门。内设办公室、干部组、组织组、人才组、调研组、干部监督审理组（举报中心）、远程电教办、非公有制经济组织和社会组织工作委员会办公室（简称“两新”工委办）。中共南雄市非公有制经济组织和社会组织工作委员会挂靠在市委组织部。行政编制</w:t>
      </w:r>
      <w:r>
        <w:t>19名，在编在岗18名，后勤服务人</w:t>
      </w:r>
      <w:r>
        <w:rPr>
          <w:rFonts w:hint="eastAsia"/>
        </w:rPr>
        <w:t>员</w:t>
      </w:r>
      <w:r>
        <w:t>3名。</w:t>
      </w:r>
    </w:p>
    <w:p w14:paraId="05CC7CCE">
      <w:pPr>
        <w:rPr>
          <w:rFonts w:hint="eastAsia"/>
        </w:rPr>
      </w:pPr>
      <w:r>
        <w:t>2013年，全市组织工作以十八大精神为指导，</w:t>
      </w:r>
      <w:r>
        <w:rPr>
          <w:rFonts w:hint="eastAsia"/>
        </w:rPr>
        <w:t>以加强党的执政能力和先进性、纯洁性建设为主线，紧密结合“面向基层、整顿作风、服务群众”主题实践教育活动，统筹抓好选干部、配班子，建队伍、聚人才，抓基层、打基础等各项工作，为推动南雄经济社会全面发展提供坚强组织保证。</w:t>
      </w:r>
    </w:p>
    <w:p w14:paraId="57512011">
      <w:pPr>
        <w:pStyle w:val="4"/>
        <w:bidi w:val="0"/>
        <w:rPr>
          <w:rFonts w:hint="eastAsia"/>
        </w:rPr>
      </w:pPr>
      <w:r>
        <w:rPr>
          <w:rFonts w:hint="eastAsia"/>
        </w:rPr>
        <w:t>【</w:t>
      </w:r>
      <w:r>
        <w:rPr>
          <w:rFonts w:hint="eastAsia"/>
          <w:lang w:val="en-US" w:eastAsia="zh-CN"/>
        </w:rPr>
        <w:t>干</w:t>
      </w:r>
      <w:r>
        <w:rPr>
          <w:rFonts w:hint="eastAsia"/>
        </w:rPr>
        <w:t>部工作】</w:t>
      </w:r>
    </w:p>
    <w:p w14:paraId="748CD8F7">
      <w:pPr>
        <w:rPr>
          <w:rFonts w:hint="eastAsia"/>
        </w:rPr>
      </w:pPr>
      <w:r>
        <w:rPr>
          <w:rFonts w:hint="eastAsia"/>
        </w:rPr>
        <w:t>一是延伸考察范围，在干部选任考察环节，探索实行干部考察“家访”制。二是在干部选任过程中，探索实行干部任前实绩公示制，将拟提拔干部主要业绩“晒”出来，接受党员群众的监督。三是改进培养方式，从全市机关、事业单位干部中，公开选拔</w:t>
      </w:r>
      <w:r>
        <w:t>5名法学、金融、经济管理、财</w:t>
      </w:r>
      <w:r>
        <w:rPr>
          <w:rFonts w:hint="eastAsia"/>
        </w:rPr>
        <w:t>会、建筑工程类专业人才到市城投公司挂职培养锻炼。四是实行镇（街道）党政正职年度考核与落实科学发展观考核、市直机关“一把手”年度考核与绩效考核结果挂钩制，奖励先进、鼓励后进。</w:t>
      </w:r>
    </w:p>
    <w:p w14:paraId="30DE6624">
      <w:pPr>
        <w:pStyle w:val="4"/>
        <w:bidi w:val="0"/>
        <w:rPr>
          <w:rFonts w:hint="eastAsia"/>
          <w:lang w:eastAsia="zh-CN"/>
        </w:rPr>
      </w:pPr>
      <w:r>
        <w:rPr>
          <w:rFonts w:hint="eastAsia"/>
        </w:rPr>
        <w:t>【干部监督</w:t>
      </w:r>
      <w:r>
        <w:rPr>
          <w:rFonts w:hint="eastAsia"/>
          <w:lang w:eastAsia="zh-CN"/>
        </w:rPr>
        <w:t>】</w:t>
      </w:r>
    </w:p>
    <w:p w14:paraId="50829449">
      <w:pPr>
        <w:rPr>
          <w:rFonts w:hint="eastAsia"/>
        </w:rPr>
      </w:pPr>
      <w:r>
        <w:rPr>
          <w:rFonts w:hint="eastAsia"/>
        </w:rPr>
        <w:t>是对新提拔和转任的镇（街道）党政正职、市直单位主要负责人下发任期经济责任书面告知书，并签订经济责任承诺书，对其任期内的经济责任进行告知和承诺。二是牵头组织研究，制定出台《南雄市贯彻</w:t>
      </w:r>
      <w:r>
        <w:t>&lt;广东省</w:t>
      </w:r>
      <w:r>
        <w:rPr>
          <w:rFonts w:hint="eastAsia"/>
          <w:lang w:val="en-US" w:eastAsia="zh-CN"/>
        </w:rPr>
        <w:t>全面</w:t>
      </w:r>
      <w:r>
        <w:t>从严治党五年行动</w:t>
      </w:r>
      <w:r>
        <w:rPr>
          <w:rFonts w:hint="eastAsia"/>
        </w:rPr>
        <w:t>计划</w:t>
      </w:r>
      <w:r>
        <w:t>&gt;实施细则》。开展“一报告两评议”工作、</w:t>
      </w:r>
      <w:r>
        <w:rPr>
          <w:rFonts w:hint="eastAsia"/>
        </w:rPr>
        <w:t>整顿干部吃空饷工作、市管干部出国（境）政审工作、干部群众来信来访的接待工作等。</w:t>
      </w:r>
    </w:p>
    <w:p w14:paraId="56BE4AFE">
      <w:pPr>
        <w:pStyle w:val="4"/>
        <w:bidi w:val="0"/>
        <w:rPr>
          <w:rFonts w:hint="eastAsia"/>
        </w:rPr>
      </w:pPr>
      <w:r>
        <w:rPr>
          <w:rFonts w:hint="eastAsia"/>
        </w:rPr>
        <w:t>【基层组织建设】</w:t>
      </w:r>
    </w:p>
    <w:p w14:paraId="47B173DB">
      <w:r>
        <w:rPr>
          <w:rFonts w:hint="eastAsia"/>
        </w:rPr>
        <w:t>加强党的基层组织建设，落实基层党建工作责任制，增强基层党组织创造力、凝聚力和战斗力。一是实施基层党建“五大工程”</w:t>
      </w:r>
      <w:r>
        <w:rPr>
          <w:rFonts w:hint="eastAsia"/>
          <w:lang w:eastAsia="zh-CN"/>
        </w:rPr>
        <w:t>。</w:t>
      </w:r>
      <w:r>
        <w:rPr>
          <w:rFonts w:hint="eastAsia"/>
        </w:rPr>
        <w:t>实施基层支部创先争优和整治赶超工程。</w:t>
      </w:r>
      <w:r>
        <w:t>2013年，</w:t>
      </w:r>
      <w:r>
        <w:rPr>
          <w:rFonts w:hint="eastAsia"/>
        </w:rPr>
        <w:t>投入经费</w:t>
      </w:r>
      <w:r>
        <w:t>26万元创建党建示范点39个，其中乌迳</w:t>
      </w:r>
      <w:r>
        <w:rPr>
          <w:rFonts w:hint="eastAsia"/>
        </w:rPr>
        <w:t>镇高溯村、古市镇古市村等</w:t>
      </w:r>
      <w:r>
        <w:t>17个示范点被韶关市</w:t>
      </w:r>
      <w:r>
        <w:rPr>
          <w:rFonts w:hint="eastAsia"/>
        </w:rPr>
        <w:t>评为“</w:t>
      </w:r>
      <w:r>
        <w:t>2013年度</w:t>
      </w:r>
      <w:r>
        <w:rPr>
          <w:rFonts w:hint="eastAsia"/>
          <w:lang w:eastAsia="zh-CN"/>
        </w:rPr>
        <w:t>‘</w:t>
      </w:r>
      <w:r>
        <w:t>百佳</w:t>
      </w:r>
      <w:r>
        <w:rPr>
          <w:rFonts w:hint="eastAsia"/>
          <w:lang w:eastAsia="zh-CN"/>
        </w:rPr>
        <w:t>’</w:t>
      </w:r>
      <w:r>
        <w:t>示范党支部</w:t>
      </w:r>
      <w:r>
        <w:rPr>
          <w:rFonts w:hint="eastAsia"/>
          <w:lang w:val="en-US" w:eastAsia="zh-CN"/>
        </w:rPr>
        <w:t>门</w:t>
      </w:r>
      <w:r>
        <w:t>黄坑镇列</w:t>
      </w:r>
      <w:r>
        <w:rPr>
          <w:rFonts w:hint="eastAsia"/>
        </w:rPr>
        <w:t>入“全省</w:t>
      </w:r>
      <w:r>
        <w:t>100个创建村级组织运作示范镇”；投入60万元对3个村级办公场所进行重建、对14个村</w:t>
      </w:r>
      <w:r>
        <w:rPr>
          <w:rFonts w:hint="eastAsia"/>
        </w:rPr>
        <w:t>级办公场所进行修缮。实施农村党员创业致富引领工程。发放“红色创业信贷”</w:t>
      </w:r>
      <w:r>
        <w:t>65万元；成立243</w:t>
      </w:r>
      <w:r>
        <w:rPr>
          <w:rFonts w:hint="eastAsia"/>
        </w:rPr>
        <w:t>个专业合作社（协会），打造</w:t>
      </w:r>
      <w:r>
        <w:t>10个省、韶关市及县</w:t>
      </w:r>
      <w:r>
        <w:rPr>
          <w:rFonts w:hint="eastAsia"/>
        </w:rPr>
        <w:t>级示范专业合作社，邓坊镇上湖高山果业专业合作社、黄坑镇细细养殖专业合作社荣获“省级示范专业合作社”称号，坪田生态农业农民专业合作社、珠玑镇春越核桃专业合作社荣获“韶关市级示范专业合作社”称号；全市</w:t>
      </w:r>
      <w:r>
        <w:t>200多名镇（街道）领导班</w:t>
      </w:r>
      <w:r>
        <w:rPr>
          <w:rFonts w:hint="eastAsia"/>
        </w:rPr>
        <w:t>子成员联系帮扶</w:t>
      </w:r>
      <w:r>
        <w:t>535名党员创业致富典型，党员创</w:t>
      </w:r>
      <w:r>
        <w:rPr>
          <w:rFonts w:hint="eastAsia"/>
        </w:rPr>
        <w:t>业致富典型结对帮扶</w:t>
      </w:r>
      <w:r>
        <w:t>1605户农户；利用基层远程</w:t>
      </w:r>
      <w:r>
        <w:rPr>
          <w:rFonts w:hint="eastAsia"/>
        </w:rPr>
        <w:t>教育站点培训农村创业致富典型</w:t>
      </w:r>
      <w:r>
        <w:t>641人次，培训农</w:t>
      </w:r>
      <w:r>
        <w:rPr>
          <w:rFonts w:hint="eastAsia"/>
        </w:rPr>
        <w:t>村党员干部</w:t>
      </w:r>
      <w:r>
        <w:t>7580人次。实施农村支部书记和后备</w:t>
      </w:r>
      <w:r>
        <w:rPr>
          <w:rFonts w:hint="eastAsia"/>
        </w:rPr>
        <w:t>干部培养工程。以培养新农村建设“领头雁”为切入点，公开选聘</w:t>
      </w:r>
      <w:r>
        <w:t>175名大学生村官；举办村党组织</w:t>
      </w:r>
      <w:r>
        <w:rPr>
          <w:rFonts w:hint="eastAsia"/>
        </w:rPr>
        <w:t>书记培训班</w:t>
      </w:r>
      <w:r>
        <w:t>36次，培训783人次；建立600人的村</w:t>
      </w:r>
      <w:r>
        <w:rPr>
          <w:rFonts w:hint="eastAsia"/>
        </w:rPr>
        <w:t>级后备干部人才资源库。实施基层组织建设保障激励工程。落实《关于建立稳定规范的农村基层组织工作经费保障制度的意见》，确保每村办公经费达到</w:t>
      </w:r>
      <w:r>
        <w:t>3万元，每位村干部月补贴达到1300元；制定</w:t>
      </w:r>
      <w:r>
        <w:rPr>
          <w:rFonts w:hint="eastAsia"/>
        </w:rPr>
        <w:t>《南雄市村、社区“两委”离任干部生活补助实施办法》，对</w:t>
      </w:r>
      <w:r>
        <w:t>1678名符合要求的离任村干部发放生活</w:t>
      </w:r>
      <w:r>
        <w:rPr>
          <w:rFonts w:hint="eastAsia"/>
        </w:rPr>
        <w:t>补助</w:t>
      </w:r>
      <w:r>
        <w:t>131.828万元。实施城乡党建资源</w:t>
      </w:r>
      <w:r>
        <w:rPr>
          <w:rFonts w:hint="eastAsia"/>
          <w:lang w:eastAsia="zh-CN"/>
        </w:rPr>
        <w:t>、</w:t>
      </w:r>
      <w:r>
        <w:t>统筹工程</w:t>
      </w:r>
      <w:r>
        <w:rPr>
          <w:rFonts w:hint="eastAsia"/>
          <w:lang w:eastAsia="zh-CN"/>
        </w:rPr>
        <w:t>。</w:t>
      </w:r>
      <w:r>
        <w:rPr>
          <w:rFonts w:hint="eastAsia"/>
        </w:rPr>
        <w:t>全市</w:t>
      </w:r>
      <w:r>
        <w:t>228个机关企事业单位4791名干部挂钩联系6053户群众，实现对全市208个村、24个社区联</w:t>
      </w:r>
      <w:r>
        <w:rPr>
          <w:rFonts w:hint="eastAsia"/>
        </w:rPr>
        <w:t>系结对全覆盖，共记《走（接）访日记》</w:t>
      </w:r>
      <w:r>
        <w:t>19913多</w:t>
      </w:r>
      <w:r>
        <w:rPr>
          <w:rFonts w:hint="eastAsia"/>
        </w:rPr>
        <w:t>篇、为群众解决实际问题</w:t>
      </w:r>
      <w:r>
        <w:t>5801多个。二是基层党</w:t>
      </w:r>
      <w:r>
        <w:rPr>
          <w:rFonts w:hint="eastAsia"/>
        </w:rPr>
        <w:t>建“书记项目”创出品牌。市委书记刘清生的“书记项目”“面向基层、整顿作风、服务群众”入选韶关市“书记项目”库。三是加强党代表工作室（站）建设。印发《南雄市“两代表一委员”到党代表工作室（站）开展活动的实施办法》，编排省、市、县、镇</w:t>
      </w:r>
      <w:r>
        <w:t>3829名“两代表一委员”到工</w:t>
      </w:r>
      <w:r>
        <w:rPr>
          <w:rFonts w:hint="eastAsia"/>
        </w:rPr>
        <w:t>作室（站）开展活动，接访党员群众</w:t>
      </w:r>
      <w:r>
        <w:t>17684人次、</w:t>
      </w:r>
      <w:r>
        <w:rPr>
          <w:rFonts w:hint="eastAsia"/>
        </w:rPr>
        <w:t>集中走访</w:t>
      </w:r>
      <w:r>
        <w:t>21400多人次、指定约访2375人次，收集</w:t>
      </w:r>
      <w:r>
        <w:rPr>
          <w:rFonts w:hint="eastAsia"/>
        </w:rPr>
        <w:t>意见和建议</w:t>
      </w:r>
      <w:r>
        <w:t>1290条，事务代办13827件、惠民代理11716件、诉求代言5842件，化解矛盾1973宗。</w:t>
      </w:r>
      <w:r>
        <w:rPr>
          <w:rFonts w:hint="eastAsia"/>
        </w:rPr>
        <w:t>四是做好党内关爱工作。全市党员捐赠党员互助金</w:t>
      </w:r>
      <w:r>
        <w:t>49万元。发放困难党员一次性扶助金41人次18.4</w:t>
      </w:r>
      <w:r>
        <w:rPr>
          <w:rFonts w:hint="eastAsia"/>
        </w:rPr>
        <w:t>万元，对</w:t>
      </w:r>
      <w:r>
        <w:t>98名困难老党员发放生活补贴16.7万</w:t>
      </w:r>
      <w:r>
        <w:rPr>
          <w:rFonts w:hint="eastAsia"/>
        </w:rPr>
        <w:t>元；对</w:t>
      </w:r>
      <w:r>
        <w:t>1308名生活困难的老党员、老党员干部</w:t>
      </w:r>
      <w:r>
        <w:rPr>
          <w:rFonts w:hint="eastAsia"/>
          <w:lang w:eastAsia="zh-CN"/>
        </w:rPr>
        <w:t>、</w:t>
      </w:r>
      <w:r>
        <w:rPr>
          <w:rFonts w:hint="eastAsia"/>
        </w:rPr>
        <w:t>老党员模范共发放</w:t>
      </w:r>
      <w:r>
        <w:t>39.24万元慰问金。五是推行</w:t>
      </w:r>
      <w:r>
        <w:rPr>
          <w:rFonts w:hint="eastAsia"/>
        </w:rPr>
        <w:t>“三三制”基层工作法。在全市</w:t>
      </w:r>
      <w:r>
        <w:t>208个村推行“开</w:t>
      </w:r>
      <w:r>
        <w:rPr>
          <w:rFonts w:hint="eastAsia"/>
        </w:rPr>
        <w:t>好三个会、定好三个岗、建好三本帐”的“三三制”基层工作法，打造“五个好”村级服务型党组织。全市共召开班子联席会议</w:t>
      </w:r>
      <w:r>
        <w:t>1980次，决定事项1755项，已落实15</w:t>
      </w:r>
      <w:r>
        <w:rPr>
          <w:rFonts w:hint="eastAsia"/>
          <w:lang w:val="en-US" w:eastAsia="zh-CN"/>
        </w:rPr>
        <w:t>9</w:t>
      </w:r>
      <w:r>
        <w:t>6件；召开党群联席会议259</w:t>
      </w:r>
      <w:r>
        <w:rPr>
          <w:rFonts w:hint="eastAsia"/>
        </w:rPr>
        <w:t>次，决定事项</w:t>
      </w:r>
      <w:r>
        <w:t>227项，已落实193项；召开“结对</w:t>
      </w:r>
      <w:r>
        <w:rPr>
          <w:rFonts w:hint="eastAsia"/>
        </w:rPr>
        <w:t>共建”联席会议</w:t>
      </w:r>
      <w:r>
        <w:t>536次，研究事项525项，已落实517件。设立干部“敬业</w:t>
      </w:r>
      <w:r>
        <w:rPr>
          <w:rFonts w:hint="eastAsia"/>
          <w:lang w:val="en-US" w:eastAsia="zh-CN"/>
        </w:rPr>
        <w:t>岗</w:t>
      </w:r>
      <w:r>
        <w:t>”208个，落实事件数</w:t>
      </w:r>
      <w:r>
        <w:rPr>
          <w:rFonts w:hint="eastAsia"/>
        </w:rPr>
        <w:t>有</w:t>
      </w:r>
      <w:r>
        <w:t>748件；设立党员“服务岗”208个，完成为民</w:t>
      </w:r>
      <w:r>
        <w:rPr>
          <w:rFonts w:hint="eastAsia"/>
        </w:rPr>
        <w:t>办好事件数有</w:t>
      </w:r>
      <w:r>
        <w:t>459件；建立志愿者“爱心岗”208</w:t>
      </w:r>
      <w:r>
        <w:rPr>
          <w:rFonts w:hint="eastAsia"/>
        </w:rPr>
        <w:t>个，为群众解决问题</w:t>
      </w:r>
      <w:r>
        <w:t>496件。建立承诺帐数1192</w:t>
      </w:r>
      <w:r>
        <w:rPr>
          <w:rFonts w:hint="eastAsia"/>
        </w:rPr>
        <w:t>本，实现承诺件数</w:t>
      </w:r>
      <w:r>
        <w:t>2042件；建立财务帐208本，</w:t>
      </w:r>
      <w:r>
        <w:rPr>
          <w:rFonts w:hint="eastAsia"/>
        </w:rPr>
        <w:t>公开</w:t>
      </w:r>
      <w:r>
        <w:rPr>
          <w:rFonts w:hint="eastAsia"/>
          <w:lang w:val="en-US" w:eastAsia="zh-CN"/>
        </w:rPr>
        <w:t>账</w:t>
      </w:r>
      <w:r>
        <w:rPr>
          <w:rFonts w:hint="eastAsia"/>
        </w:rPr>
        <w:t>本数</w:t>
      </w:r>
      <w:r>
        <w:t>208本；建立维稳帐数208本，化解矛</w:t>
      </w:r>
      <w:r>
        <w:rPr>
          <w:rFonts w:hint="eastAsia"/>
        </w:rPr>
        <w:t>盾事件</w:t>
      </w:r>
      <w:r>
        <w:t>756件。</w:t>
      </w:r>
    </w:p>
    <w:p w14:paraId="208C4469">
      <w:pPr>
        <w:pStyle w:val="4"/>
        <w:bidi w:val="0"/>
        <w:rPr>
          <w:rFonts w:hint="eastAsia"/>
        </w:rPr>
      </w:pPr>
      <w:r>
        <w:rPr>
          <w:rFonts w:hint="eastAsia"/>
        </w:rPr>
        <w:t>【“两新”组织党建】</w:t>
      </w:r>
    </w:p>
    <w:p w14:paraId="4A0C0F1A">
      <w:pPr>
        <w:rPr>
          <w:rFonts w:hint="eastAsia"/>
        </w:rPr>
      </w:pPr>
      <w:r>
        <w:rPr>
          <w:rFonts w:hint="eastAsia"/>
        </w:rPr>
        <w:t>以“三看两提高”为抓手采取“调</w:t>
      </w:r>
      <w:r>
        <w:rPr>
          <w:rFonts w:hint="eastAsia"/>
          <w:lang w:eastAsia="zh-CN"/>
        </w:rPr>
        <w:t>查</w:t>
      </w:r>
      <w:r>
        <w:rPr>
          <w:rFonts w:hint="eastAsia"/>
        </w:rPr>
        <w:t>摸底、定期走访、挂钩联系”方式，建立市直单位党组织挂钩联系园区企业党组织的制度和挂点联系企业的市直单位党员领导干部担任园区企业党建指导员制度。全市有“两新”组织</w:t>
      </w:r>
      <w:r>
        <w:t>255</w:t>
      </w:r>
      <w:r>
        <w:rPr>
          <w:rFonts w:hint="eastAsia"/>
        </w:rPr>
        <w:t>个，其中非公有制经济组织</w:t>
      </w:r>
      <w:r>
        <w:t>176个，新社会组织79</w:t>
      </w:r>
      <w:r>
        <w:rPr>
          <w:rFonts w:hint="eastAsia"/>
        </w:rPr>
        <w:t>个。成立党组织</w:t>
      </w:r>
      <w:r>
        <w:t>147个，其中单独组建党支部57</w:t>
      </w:r>
      <w:r>
        <w:rPr>
          <w:rFonts w:hint="eastAsia"/>
        </w:rPr>
        <w:t>个，联合组建党支部</w:t>
      </w:r>
      <w:r>
        <w:t>90个，党员覆盖率90.9%</w:t>
      </w:r>
      <w:r>
        <w:rPr>
          <w:rFonts w:hint="eastAsia"/>
          <w:lang w:eastAsia="zh-CN"/>
        </w:rPr>
        <w:t>。</w:t>
      </w:r>
      <w:r>
        <w:rPr>
          <w:rFonts w:hint="eastAsia"/>
        </w:rPr>
        <w:t>打造金友集团、康绿宝科技、阳普医疗、星翔供水、志一化工等一批各具特色、可看可学的“两新”组织党建工作品牌示范点。</w:t>
      </w:r>
    </w:p>
    <w:p w14:paraId="1AB85DD9">
      <w:pPr>
        <w:pStyle w:val="4"/>
        <w:bidi w:val="0"/>
        <w:rPr>
          <w:rFonts w:hint="eastAsia"/>
        </w:rPr>
      </w:pPr>
      <w:r>
        <w:rPr>
          <w:rFonts w:hint="eastAsia"/>
        </w:rPr>
        <w:t>【培训工作】</w:t>
      </w:r>
    </w:p>
    <w:p w14:paraId="15B740F0">
      <w:r>
        <w:rPr>
          <w:rFonts w:hint="eastAsia"/>
        </w:rPr>
        <w:t>围绕省、市大规模培训干部的总体部署，整合培训资源、拓宽培训渠道、扩大培训覆盖面，提升领导干部综合素质。全市先后举办十八大精神专题培训、干部自主选学专题辅导班、新农村建设创业带头人培训班、“为民务实清廉”公务员全员培训班等各类培训班</w:t>
      </w:r>
      <w:r>
        <w:t>10多期，邀请省内外</w:t>
      </w:r>
      <w:r>
        <w:rPr>
          <w:rFonts w:hint="eastAsia"/>
        </w:rPr>
        <w:t>知名专家学者到南雄开展廉洁从政、法治思维和法治方式、健康宣传等专题讲座。累计培训各级各类党员干部</w:t>
      </w:r>
      <w:r>
        <w:t>21300多人次，其中党政干部10100多人</w:t>
      </w:r>
      <w:r>
        <w:rPr>
          <w:rFonts w:hint="eastAsia"/>
        </w:rPr>
        <w:t>次；选派各级领导干部参加省、市级以上培训班次</w:t>
      </w:r>
      <w:r>
        <w:t>13个，培训干部43人次。</w:t>
      </w:r>
    </w:p>
    <w:p w14:paraId="276356A9">
      <w:pPr>
        <w:pStyle w:val="4"/>
        <w:bidi w:val="0"/>
        <w:rPr>
          <w:rFonts w:hint="eastAsia"/>
        </w:rPr>
      </w:pPr>
      <w:r>
        <w:rPr>
          <w:rFonts w:hint="eastAsia"/>
        </w:rPr>
        <w:t>【人才工作】</w:t>
      </w:r>
    </w:p>
    <w:p w14:paraId="0C252388">
      <w:r>
        <w:rPr>
          <w:rFonts w:hint="eastAsia"/>
        </w:rPr>
        <w:t>坚持党管人才原则，创新人才体制和机制，培养和引进各类优秀人才，提高人才服务水平。修定《南雄市人才工作实施办法》，将正高级职称专业技术人才津贴上调至每月</w:t>
      </w:r>
      <w:r>
        <w:t>400元。出台</w:t>
      </w:r>
      <w:r>
        <w:rPr>
          <w:rFonts w:hint="eastAsia"/>
        </w:rPr>
        <w:t>《南雄市引进高层次人才子女入学（园）安置办法》、《南雄市高层次人才公寓管理暂行办法》和《南雄市鼓励在职在编工作人员参加高层次学位教育实施办法》。首次与仲恺农业工程学院合作办学，在市委党校设立农业推广专业硕士研究生班教学点，</w:t>
      </w:r>
      <w:r>
        <w:t>9名在职人员入读并领取市财政学费补助。全</w:t>
      </w:r>
      <w:r>
        <w:rPr>
          <w:rFonts w:hint="eastAsia"/>
        </w:rPr>
        <w:t>市向社会公开招考</w:t>
      </w:r>
      <w:r>
        <w:t>102名全日制专科以上人才，其</w:t>
      </w:r>
      <w:r>
        <w:rPr>
          <w:rFonts w:hint="eastAsia"/>
        </w:rPr>
        <w:t>中全日制本科学历</w:t>
      </w:r>
      <w:r>
        <w:t>69人，占67.6%；分2期面向</w:t>
      </w:r>
      <w:r>
        <w:rPr>
          <w:rFonts w:hint="eastAsia"/>
        </w:rPr>
        <w:t>社会选聘</w:t>
      </w:r>
      <w:r>
        <w:t>167名大学生村官，其中本科学历52人，</w:t>
      </w:r>
      <w:r>
        <w:rPr>
          <w:rFonts w:hint="eastAsia"/>
        </w:rPr>
        <w:t>研究生学历</w:t>
      </w:r>
      <w:r>
        <w:t>1人；全职引进硕士及以上学历或副高</w:t>
      </w:r>
      <w:r>
        <w:rPr>
          <w:rFonts w:hint="eastAsia"/>
        </w:rPr>
        <w:t>以上职称</w:t>
      </w:r>
      <w:r>
        <w:t>15人，其中博士4人，副高或硕士11人；</w:t>
      </w:r>
      <w:r>
        <w:rPr>
          <w:rFonts w:hint="eastAsia"/>
        </w:rPr>
        <w:t>柔性引进博士或正高级职称人才</w:t>
      </w:r>
      <w:r>
        <w:t>5人，副高级职称1人。认定专业技术副高以上职称355人，新晋升</w:t>
      </w:r>
      <w:r>
        <w:rPr>
          <w:rFonts w:hint="eastAsia"/>
        </w:rPr>
        <w:t>高级职称</w:t>
      </w:r>
      <w:r>
        <w:t>49人，增幅11.6%，落实在岗高级职称</w:t>
      </w:r>
      <w:r>
        <w:rPr>
          <w:rFonts w:hint="eastAsia"/>
        </w:rPr>
        <w:t>专业技术人员岗位津贴</w:t>
      </w:r>
      <w:r>
        <w:t>74.06万元，发放9名拔尖</w:t>
      </w:r>
      <w:r>
        <w:rPr>
          <w:rFonts w:hint="eastAsia"/>
        </w:rPr>
        <w:t>人才补助</w:t>
      </w:r>
      <w:r>
        <w:t>4.2万元。</w:t>
      </w:r>
    </w:p>
    <w:p w14:paraId="1A377555">
      <w:pPr>
        <w:pStyle w:val="4"/>
        <w:bidi w:val="0"/>
        <w:rPr>
          <w:rFonts w:hint="eastAsia"/>
        </w:rPr>
      </w:pPr>
      <w:r>
        <w:rPr>
          <w:rFonts w:hint="eastAsia"/>
          <w:lang w:eastAsia="zh-CN"/>
        </w:rPr>
        <w:t>【</w:t>
      </w:r>
      <w:r>
        <w:rPr>
          <w:rFonts w:hint="eastAsia"/>
        </w:rPr>
        <w:t>组工信息调研】</w:t>
      </w:r>
    </w:p>
    <w:p w14:paraId="41C9C1AF">
      <w:r>
        <w:rPr>
          <w:rFonts w:hint="eastAsia"/>
        </w:rPr>
        <w:t>全市组工调研信息工作位居韶关市各县（市、区）前列，分别被评为《韶关组工通讯》宣传报道先进集体、《韶关组工信息》工作先进集体。全市共报送稿件</w:t>
      </w:r>
      <w:r>
        <w:t>366篇，在韶关及省以</w:t>
      </w:r>
      <w:r>
        <w:rPr>
          <w:rFonts w:hint="eastAsia"/>
        </w:rPr>
        <w:t>上重点党刊上发表调研文章</w:t>
      </w:r>
      <w:r>
        <w:t>33篇，其中《广东组</w:t>
      </w:r>
      <w:r>
        <w:rPr>
          <w:rFonts w:hint="eastAsia"/>
        </w:rPr>
        <w:t>工通讯》用稿</w:t>
      </w:r>
      <w:r>
        <w:t>3篇、《领导科学》用稿7篇、《党建</w:t>
      </w:r>
      <w:r>
        <w:rPr>
          <w:rFonts w:hint="eastAsia"/>
        </w:rPr>
        <w:t>文汇》用稿</w:t>
      </w:r>
      <w:r>
        <w:t>2篇、《广东党建》用稿2篇、《韶关组</w:t>
      </w:r>
      <w:r>
        <w:rPr>
          <w:rFonts w:hint="eastAsia"/>
        </w:rPr>
        <w:t>工通讯》用稿</w:t>
      </w:r>
      <w:r>
        <w:t>19篇；被上级组织部门采用组工信</w:t>
      </w:r>
      <w:r>
        <w:rPr>
          <w:rFonts w:hint="eastAsia"/>
        </w:rPr>
        <w:t>息</w:t>
      </w:r>
      <w:r>
        <w:t>20余条，其中《广东组工信息》单条采用3条。</w:t>
      </w:r>
    </w:p>
    <w:p w14:paraId="48D77A56">
      <w:pPr>
        <w:pStyle w:val="4"/>
        <w:bidi w:val="0"/>
        <w:rPr>
          <w:rFonts w:hint="eastAsia"/>
        </w:rPr>
      </w:pPr>
      <w:r>
        <w:rPr>
          <w:rFonts w:hint="eastAsia"/>
        </w:rPr>
        <w:t>【党员干部现代远程教育】</w:t>
      </w:r>
    </w:p>
    <w:p w14:paraId="7966CEB5">
      <w:pPr>
        <w:rPr>
          <w:rFonts w:hint="eastAsia"/>
        </w:rPr>
      </w:pPr>
      <w:r>
        <w:rPr>
          <w:rFonts w:hint="eastAsia"/>
        </w:rPr>
        <w:t>发挥党员干部现代远程教育网络平台的传播作用，宣传各级党组织和基层党员的先进经验和典型。结合“领导带学”，组织基层党员干部集中收看党的十八届三中全会精神专题视频讲座。创新党员干部现代远程教育，实施党员能力素质提升工程。在全市开展“远程教育</w:t>
      </w:r>
      <w:r>
        <w:t>+</w:t>
      </w:r>
      <w:r>
        <w:rPr>
          <w:rFonts w:hint="eastAsia"/>
        </w:rPr>
        <w:t>知识讲堂、远程教育</w:t>
      </w:r>
      <w:r>
        <w:t>+党员示范、远程教育+实践</w:t>
      </w:r>
      <w:r>
        <w:rPr>
          <w:rFonts w:hint="eastAsia"/>
        </w:rPr>
        <w:t>基地、远程教育</w:t>
      </w:r>
      <w:r>
        <w:t>+专业合作社，远程教育+专家服</w:t>
      </w:r>
      <w:r>
        <w:rPr>
          <w:rFonts w:hint="eastAsia"/>
        </w:rPr>
        <w:t>务队”活动，助推经济社会加快发展。在古市镇推</w:t>
      </w:r>
      <w:r>
        <w:rPr>
          <w:rFonts w:hint="eastAsia"/>
          <w:lang w:val="en-US" w:eastAsia="zh-CN"/>
        </w:rPr>
        <w:t>广</w:t>
      </w:r>
      <w:r>
        <w:rPr>
          <w:rFonts w:hint="eastAsia"/>
        </w:rPr>
        <w:t>“远程村务管理信息服务平台”，增强村务信息公开透明度。狠抓学用管理，全市</w:t>
      </w:r>
      <w:r>
        <w:t>250个基层站点</w:t>
      </w:r>
      <w:r>
        <w:rPr>
          <w:rFonts w:hint="eastAsia"/>
        </w:rPr>
        <w:t>全年平均开机率达到</w:t>
      </w:r>
      <w:r>
        <w:t>100%，位列韶关市前列；开</w:t>
      </w:r>
      <w:r>
        <w:rPr>
          <w:rFonts w:hint="eastAsia"/>
        </w:rPr>
        <w:t>发精品视频课件，其中党员电教片《阳光村务暖民心》被广东省党员干部现代远程教育网络电视平台采用。</w:t>
      </w:r>
    </w:p>
    <w:p w14:paraId="59B36B01">
      <w:pPr>
        <w:pStyle w:val="4"/>
        <w:bidi w:val="0"/>
        <w:rPr>
          <w:rFonts w:hint="eastAsia"/>
        </w:rPr>
      </w:pPr>
      <w:r>
        <w:rPr>
          <w:rFonts w:hint="eastAsia"/>
        </w:rPr>
        <w:t>【组织部门自身建设】</w:t>
      </w:r>
    </w:p>
    <w:p w14:paraId="7A80D902">
      <w:pPr>
        <w:rPr>
          <w:rFonts w:hint="eastAsia"/>
          <w:lang w:eastAsia="zh-CN"/>
        </w:rPr>
      </w:pPr>
      <w:r>
        <w:rPr>
          <w:rFonts w:hint="eastAsia"/>
        </w:rPr>
        <w:t>围绕建设“讲政治、重公道、业务精、作风好”的模范部门这一目标，落实中央八项规定，实行部务会成员“每月一主题带学”和组工干部直接联系服务党员、干部、人才和群众等加强作风建设的制度，开展“三讲三争”（讲正气强信念、争做勤学善思的表率，讲作风树形象，争做为民服务的表率，讲创新求突破，争做锐意进取的表率）、“双学”（学报告、学党章）等活动，为组织部门提素强能，锻造过硬队伍。注重强化部机关内部制度创新，梳理完善各项制度</w:t>
      </w:r>
      <w:r>
        <w:t>28</w:t>
      </w:r>
      <w:r>
        <w:rPr>
          <w:rFonts w:hint="eastAsia"/>
        </w:rPr>
        <w:t>条，利用党员干部远程教育网、大组工网提高组织工作电子化水平，规范内部管理，提高工作效率</w:t>
      </w:r>
      <w:r>
        <w:rPr>
          <w:rFonts w:hint="eastAsia"/>
          <w:lang w:eastAsia="zh-CN"/>
        </w:rPr>
        <w:t>。</w:t>
      </w:r>
    </w:p>
    <w:p w14:paraId="370B2EC5">
      <w:pPr>
        <w:jc w:val="right"/>
        <w:rPr>
          <w:rFonts w:hint="eastAsia"/>
          <w:b/>
          <w:bCs/>
        </w:rPr>
      </w:pPr>
      <w:r>
        <w:rPr>
          <w:rFonts w:hint="eastAsia"/>
          <w:b/>
          <w:bCs/>
        </w:rPr>
        <w:t>（赖晓春）</w:t>
      </w:r>
    </w:p>
    <w:p w14:paraId="43276AD3">
      <w:pPr>
        <w:pStyle w:val="10"/>
        <w:bidi w:val="0"/>
        <w:rPr>
          <w:b/>
          <w:bCs/>
        </w:rPr>
      </w:pPr>
      <w:r>
        <w:rPr>
          <w:rFonts w:hint="eastAsia"/>
          <w:b/>
          <w:bCs/>
        </w:rPr>
        <w:t>附：</w:t>
      </w:r>
      <w:r>
        <w:rPr>
          <w:b/>
          <w:bCs/>
        </w:rPr>
        <w:t>2013年市委组织部领导班子成员名单</w:t>
      </w:r>
    </w:p>
    <w:p w14:paraId="1AA92D58">
      <w:pPr>
        <w:pStyle w:val="10"/>
        <w:bidi w:val="0"/>
        <w:rPr>
          <w:rFonts w:hint="eastAsia"/>
        </w:rPr>
      </w:pPr>
      <w:r>
        <w:rPr>
          <w:rFonts w:hint="eastAsia"/>
          <w:b/>
          <w:bCs/>
        </w:rPr>
        <w:t>部</w:t>
      </w:r>
      <w:r>
        <w:rPr>
          <w:rFonts w:hint="eastAsia"/>
          <w:b/>
          <w:bCs/>
          <w:lang w:val="en-US" w:eastAsia="zh-CN"/>
        </w:rPr>
        <w:t xml:space="preserve">    </w:t>
      </w:r>
      <w:r>
        <w:rPr>
          <w:rFonts w:hint="eastAsia"/>
          <w:b/>
          <w:bCs/>
        </w:rPr>
        <w:t>长：</w:t>
      </w:r>
      <w:r>
        <w:rPr>
          <w:rFonts w:hint="eastAsia"/>
        </w:rPr>
        <w:t>叶济熊（兼）</w:t>
      </w:r>
    </w:p>
    <w:p w14:paraId="6D418BD2">
      <w:pPr>
        <w:pStyle w:val="10"/>
        <w:bidi w:val="0"/>
      </w:pPr>
      <w:r>
        <w:rPr>
          <w:rFonts w:hint="eastAsia"/>
          <w:b/>
          <w:bCs/>
        </w:rPr>
        <w:t>副</w:t>
      </w:r>
      <w:r>
        <w:rPr>
          <w:rFonts w:hint="eastAsia"/>
          <w:b/>
          <w:bCs/>
          <w:lang w:val="en-US" w:eastAsia="zh-CN"/>
        </w:rPr>
        <w:t xml:space="preserve"> </w:t>
      </w:r>
      <w:r>
        <w:rPr>
          <w:rFonts w:hint="eastAsia"/>
          <w:b/>
          <w:bCs/>
        </w:rPr>
        <w:t>部</w:t>
      </w:r>
      <w:r>
        <w:rPr>
          <w:rFonts w:hint="eastAsia"/>
          <w:b/>
          <w:bCs/>
          <w:lang w:val="en-US" w:eastAsia="zh-CN"/>
        </w:rPr>
        <w:t xml:space="preserve"> </w:t>
      </w:r>
      <w:r>
        <w:rPr>
          <w:rFonts w:hint="eastAsia"/>
          <w:b/>
          <w:bCs/>
        </w:rPr>
        <w:t>长：</w:t>
      </w:r>
      <w:r>
        <w:rPr>
          <w:rFonts w:hint="eastAsia"/>
        </w:rPr>
        <w:t>董圣国（任至</w:t>
      </w:r>
      <w:r>
        <w:t>12月）</w:t>
      </w:r>
    </w:p>
    <w:p w14:paraId="460ED18C">
      <w:pPr>
        <w:pStyle w:val="10"/>
        <w:bidi w:val="0"/>
        <w:ind w:leftChars="500"/>
        <w:rPr>
          <w:rFonts w:hint="eastAsia"/>
        </w:rPr>
      </w:pPr>
      <w:r>
        <w:rPr>
          <w:rFonts w:hint="eastAsia"/>
        </w:rPr>
        <w:t>蔡徳华</w:t>
      </w:r>
      <w:r>
        <w:rPr>
          <w:rFonts w:hint="eastAsia"/>
          <w:lang w:val="en-US" w:eastAsia="zh-CN"/>
        </w:rPr>
        <w:t xml:space="preserve">   </w:t>
      </w:r>
      <w:r>
        <w:rPr>
          <w:rFonts w:hint="eastAsia"/>
        </w:rPr>
        <w:t>王婉霞</w:t>
      </w:r>
      <w:r>
        <w:rPr>
          <w:rFonts w:hint="eastAsia"/>
          <w:lang w:val="en-US" w:eastAsia="zh-CN"/>
        </w:rPr>
        <w:t xml:space="preserve">   </w:t>
      </w:r>
      <w:r>
        <w:rPr>
          <w:rFonts w:hint="eastAsia"/>
        </w:rPr>
        <w:t>陈章分</w:t>
      </w:r>
      <w:r>
        <w:rPr>
          <w:rFonts w:hint="eastAsia"/>
          <w:lang w:val="en-US" w:eastAsia="zh-CN"/>
        </w:rPr>
        <w:t xml:space="preserve">   </w:t>
      </w:r>
      <w:r>
        <w:rPr>
          <w:rFonts w:hint="eastAsia"/>
        </w:rPr>
        <w:t>黄文儒</w:t>
      </w:r>
    </w:p>
    <w:p w14:paraId="1F7AE743">
      <w:pPr>
        <w:pStyle w:val="10"/>
        <w:bidi w:val="0"/>
        <w:ind w:leftChars="500"/>
      </w:pPr>
      <w:r>
        <w:rPr>
          <w:rFonts w:hint="eastAsia"/>
        </w:rPr>
        <w:t>张相铭</w:t>
      </w:r>
      <w:r>
        <w:rPr>
          <w:rFonts w:hint="eastAsia"/>
          <w:lang w:val="en-US" w:eastAsia="zh-CN"/>
        </w:rPr>
        <w:t xml:space="preserve">   </w:t>
      </w:r>
      <w:r>
        <w:rPr>
          <w:rFonts w:hint="eastAsia"/>
        </w:rPr>
        <w:t>凌生成（</w:t>
      </w:r>
      <w:r>
        <w:t>12月任）</w:t>
      </w:r>
    </w:p>
    <w:p w14:paraId="2E52AA53">
      <w:pPr>
        <w:pStyle w:val="10"/>
        <w:bidi w:val="0"/>
        <w:rPr>
          <w:rFonts w:hint="eastAsia"/>
        </w:rPr>
      </w:pPr>
      <w:r>
        <w:rPr>
          <w:rFonts w:hint="eastAsia"/>
          <w:b/>
          <w:bCs/>
        </w:rPr>
        <w:t>纪检组长：</w:t>
      </w:r>
      <w:r>
        <w:rPr>
          <w:rFonts w:hint="eastAsia"/>
        </w:rPr>
        <w:t>林</w:t>
      </w:r>
      <w:r>
        <w:rPr>
          <w:rFonts w:hint="eastAsia"/>
          <w:lang w:val="en-US" w:eastAsia="zh-CN"/>
        </w:rPr>
        <w:t xml:space="preserve">  </w:t>
      </w:r>
      <w:r>
        <w:rPr>
          <w:rFonts w:hint="eastAsia"/>
        </w:rPr>
        <w:t>生</w:t>
      </w:r>
    </w:p>
    <w:p w14:paraId="6FEEBF62">
      <w:pPr>
        <w:pStyle w:val="3"/>
        <w:bidi w:val="0"/>
        <w:rPr>
          <w:rFonts w:hint="default"/>
          <w:lang w:val="en-US" w:eastAsia="zh-CN"/>
        </w:rPr>
      </w:pPr>
      <w:r>
        <w:rPr>
          <w:rFonts w:hint="eastAsia"/>
          <w:lang w:val="en-US" w:eastAsia="zh-CN"/>
        </w:rPr>
        <w:t>宣传工作</w:t>
      </w:r>
    </w:p>
    <w:p w14:paraId="7AFDE003">
      <w:pPr>
        <w:pStyle w:val="4"/>
        <w:bidi w:val="0"/>
        <w:rPr>
          <w:rFonts w:hint="eastAsia"/>
        </w:rPr>
      </w:pPr>
      <w:r>
        <w:rPr>
          <w:rFonts w:hint="eastAsia"/>
        </w:rPr>
        <w:t>【概况】</w:t>
      </w:r>
    </w:p>
    <w:p w14:paraId="36D8BA8E">
      <w:pPr>
        <w:rPr>
          <w:rFonts w:hint="eastAsia"/>
        </w:rPr>
      </w:pPr>
      <w:r>
        <w:rPr>
          <w:rFonts w:hint="eastAsia"/>
        </w:rPr>
        <w:t>宣传部行政编制</w:t>
      </w:r>
      <w:r>
        <w:t>13名，其中领导职数4</w:t>
      </w:r>
      <w:r>
        <w:rPr>
          <w:rFonts w:hint="eastAsia"/>
        </w:rPr>
        <w:t>名（</w:t>
      </w:r>
      <w:r>
        <w:t>1正3副），其他干部9名（其中股长职数5</w:t>
      </w:r>
      <w:r>
        <w:rPr>
          <w:rFonts w:hint="eastAsia"/>
        </w:rPr>
        <w:t>名）；后勤编制</w:t>
      </w:r>
      <w:r>
        <w:t>1名。总编制为14名。内设人秘</w:t>
      </w:r>
      <w:r>
        <w:rPr>
          <w:rFonts w:hint="eastAsia"/>
        </w:rPr>
        <w:t>股、宣传股、理论股、新闻文艺股、文明办</w:t>
      </w:r>
      <w:r>
        <w:t>5个职</w:t>
      </w:r>
      <w:r>
        <w:rPr>
          <w:rFonts w:hint="eastAsia"/>
        </w:rPr>
        <w:t>能股室，增设网络舆情股；市委讲师团在宣传部挂牌。</w:t>
      </w:r>
    </w:p>
    <w:p w14:paraId="04A62F11">
      <w:pPr>
        <w:pStyle w:val="4"/>
        <w:bidi w:val="0"/>
        <w:rPr>
          <w:rFonts w:hint="eastAsia"/>
        </w:rPr>
      </w:pPr>
      <w:r>
        <w:rPr>
          <w:rFonts w:hint="eastAsia"/>
        </w:rPr>
        <w:t>【理论工作】</w:t>
      </w:r>
    </w:p>
    <w:p w14:paraId="52CD0458">
      <w:pPr>
        <w:rPr>
          <w:rFonts w:hint="eastAsia"/>
        </w:rPr>
      </w:pPr>
      <w:r>
        <w:t>1.组织专题学习。组织学习习近平</w:t>
      </w:r>
      <w:r>
        <w:rPr>
          <w:rFonts w:hint="eastAsia"/>
        </w:rPr>
        <w:t>总书记的系列讲话精神、省委十一届二次全会、韶关市经济工作会议、韶关市</w:t>
      </w:r>
      <w:r>
        <w:rPr>
          <w:rFonts w:hint="eastAsia"/>
          <w:lang w:eastAsia="zh-CN"/>
        </w:rPr>
        <w:t>两会</w:t>
      </w:r>
      <w:r>
        <w:rPr>
          <w:rFonts w:hint="eastAsia"/>
        </w:rPr>
        <w:t>精神和中央八项规定及省、市贯彻落实“八项规定”会议及文件精神，开展“加快工业经济发展、城镇化建设”学习考察务虚座谈会。</w:t>
      </w:r>
    </w:p>
    <w:p w14:paraId="1A46EAF0">
      <w:r>
        <w:t>2.举办专题报告会。举办“强化领导干部作</w:t>
      </w:r>
      <w:r>
        <w:rPr>
          <w:rFonts w:hint="eastAsia"/>
        </w:rPr>
        <w:t>风建设”和“面向基层、整顿作风、服务群众”的专题辅导报告，承办广东青年社科英才</w:t>
      </w:r>
      <w:r>
        <w:rPr>
          <w:rFonts w:hint="eastAsia"/>
          <w:lang w:val="en-US" w:eastAsia="zh-CN"/>
        </w:rPr>
        <w:t>宣</w:t>
      </w:r>
      <w:r>
        <w:rPr>
          <w:rFonts w:hint="eastAsia"/>
        </w:rPr>
        <w:t>讲十八大精神老区行报告会</w:t>
      </w:r>
      <w:r>
        <w:t>1场，举办“共筑中国梦”百姓</w:t>
      </w:r>
      <w:r>
        <w:rPr>
          <w:rFonts w:hint="eastAsia"/>
        </w:rPr>
        <w:t>宣讲报告会</w:t>
      </w:r>
      <w:r>
        <w:t>20场。</w:t>
      </w:r>
    </w:p>
    <w:p w14:paraId="641554B7">
      <w:pPr>
        <w:pStyle w:val="4"/>
        <w:bidi w:val="0"/>
        <w:rPr>
          <w:rFonts w:hint="eastAsia"/>
        </w:rPr>
      </w:pPr>
      <w:r>
        <w:rPr>
          <w:rFonts w:hint="eastAsia"/>
        </w:rPr>
        <w:t>【社会宣传】</w:t>
      </w:r>
    </w:p>
    <w:p w14:paraId="213D0A20">
      <w:pPr>
        <w:rPr>
          <w:rFonts w:hint="eastAsia"/>
          <w:lang w:eastAsia="zh-CN"/>
        </w:rPr>
      </w:pPr>
      <w:r>
        <w:rPr>
          <w:rFonts w:hint="eastAsia"/>
        </w:rPr>
        <w:t>全年在省市媒体刊登报道</w:t>
      </w:r>
      <w:r>
        <w:t>264篇，</w:t>
      </w:r>
      <w:r>
        <w:rPr>
          <w:rFonts w:hint="eastAsia"/>
        </w:rPr>
        <w:t>其中《南方日报》</w:t>
      </w:r>
      <w:r>
        <w:t>15篇，《广州日报》18篇，《羊</w:t>
      </w:r>
      <w:r>
        <w:rPr>
          <w:rFonts w:hint="eastAsia"/>
        </w:rPr>
        <w:t>城晚报》</w:t>
      </w:r>
      <w:r>
        <w:t>13篇，《南方》杂志8篇，《韶关日报》210篇。在南雄广播电台、电视台分别播出稿件2830篇和2470篇，上送韶关广播电台、电视台播</w:t>
      </w:r>
      <w:r>
        <w:rPr>
          <w:rFonts w:hint="eastAsia"/>
        </w:rPr>
        <w:t>出稿件播出数分别为</w:t>
      </w:r>
      <w:r>
        <w:t>540篇和450篇</w:t>
      </w:r>
      <w:r>
        <w:rPr>
          <w:rFonts w:hint="eastAsia"/>
          <w:lang w:eastAsia="zh-CN"/>
        </w:rPr>
        <w:t>。</w:t>
      </w:r>
    </w:p>
    <w:p w14:paraId="4E1EACEB">
      <w:pPr>
        <w:pStyle w:val="4"/>
        <w:bidi w:val="0"/>
        <w:rPr>
          <w:rFonts w:hint="eastAsia"/>
        </w:rPr>
      </w:pPr>
      <w:r>
        <w:rPr>
          <w:rFonts w:hint="eastAsia"/>
        </w:rPr>
        <w:t>【精神文明建设】</w:t>
      </w:r>
    </w:p>
    <w:p w14:paraId="4E6979E0">
      <w:pPr>
        <w:rPr>
          <w:rFonts w:hint="eastAsia"/>
        </w:rPr>
      </w:pPr>
      <w:r>
        <w:t>1.开展群众性精神文明创建活</w:t>
      </w:r>
      <w:r>
        <w:rPr>
          <w:rFonts w:hint="eastAsia"/>
        </w:rPr>
        <w:t>动。表彰</w:t>
      </w:r>
      <w:r>
        <w:t>201</w:t>
      </w:r>
      <w:r>
        <w:rPr>
          <w:rFonts w:hint="eastAsia"/>
          <w:lang w:val="en-US" w:eastAsia="zh-CN"/>
        </w:rPr>
        <w:t>1</w:t>
      </w:r>
      <w:r>
        <w:t>-2012年度文明单位18个、文明村17个、十星文明户100户；授予5家药品零售企业</w:t>
      </w:r>
      <w:r>
        <w:rPr>
          <w:rFonts w:hint="eastAsia"/>
        </w:rPr>
        <w:t>“文明诚信示范药店”荣誉称号；珠玑镇被推荐为省文明镇，工商局、工业园管委会、总工会被推荐为韶关市文明单位，检察院控告申诉检察科、就业服务管理局被推荐为韶关市文明窗口，水口镇下楼村青水塘村、湖口镇承平村上洋汾禾场地被推荐为韶关市文明村。</w:t>
      </w:r>
    </w:p>
    <w:p w14:paraId="3397DFCA">
      <w:pPr>
        <w:rPr>
          <w:rFonts w:hint="eastAsia"/>
        </w:rPr>
      </w:pPr>
      <w:r>
        <w:t>2.组织“我推荐、我评议身边好人”活动。</w:t>
      </w:r>
      <w:r>
        <w:rPr>
          <w:rFonts w:hint="eastAsia"/>
        </w:rPr>
        <w:t>组织各镇（街道）及市直单位开展“韶关好人”暨“感动韶关十佳道德模范”推荐评选活动，全市有</w:t>
      </w:r>
      <w:r>
        <w:t>6人确定为正式候选人，江头中学吴火生老师被</w:t>
      </w:r>
      <w:r>
        <w:rPr>
          <w:rFonts w:hint="eastAsia"/>
        </w:rPr>
        <w:t>评为“感动韶关十佳道德模范”；吴火生、叶石凤入选“中国好人榜”的“孝老爱亲好人”候选人。</w:t>
      </w:r>
    </w:p>
    <w:p w14:paraId="42640C96">
      <w:pPr>
        <w:rPr>
          <w:rFonts w:hint="eastAsia"/>
        </w:rPr>
      </w:pPr>
      <w:r>
        <w:t>3.完成城区惠民阅报栏建设。在市区浈江河</w:t>
      </w:r>
      <w:r>
        <w:rPr>
          <w:rFonts w:hint="eastAsia"/>
          <w:lang w:val="en-US" w:eastAsia="zh-CN"/>
        </w:rPr>
        <w:t>畔</w:t>
      </w:r>
      <w:r>
        <w:rPr>
          <w:rFonts w:hint="eastAsia"/>
        </w:rPr>
        <w:t>、三影塔文化广场、学校等重要公共场所建成</w:t>
      </w:r>
      <w:r>
        <w:t>15</w:t>
      </w:r>
      <w:r>
        <w:rPr>
          <w:rFonts w:hint="eastAsia"/>
        </w:rPr>
        <w:t>个惠民阅报栏。</w:t>
      </w:r>
    </w:p>
    <w:p w14:paraId="36F126D5">
      <w:pPr>
        <w:rPr>
          <w:rFonts w:hint="eastAsia"/>
        </w:rPr>
      </w:pPr>
      <w:r>
        <w:t>4.完善城区公共场所亮化美化建设。由市财政</w:t>
      </w:r>
      <w:r>
        <w:rPr>
          <w:rFonts w:hint="eastAsia"/>
        </w:rPr>
        <w:t>出资近</w:t>
      </w:r>
      <w:r>
        <w:t>100万元，各相关单位筹资近300万元，在</w:t>
      </w:r>
      <w:r>
        <w:rPr>
          <w:rFonts w:hint="eastAsia"/>
        </w:rPr>
        <w:t>城区“一河两岸及城区主干道”公共建筑物、公共场地，完善亮化美化工程建设。</w:t>
      </w:r>
    </w:p>
    <w:p w14:paraId="58BDE812">
      <w:pPr>
        <w:rPr>
          <w:rFonts w:hint="eastAsia"/>
          <w:lang w:eastAsia="zh-CN"/>
        </w:rPr>
      </w:pPr>
      <w:r>
        <w:t>5.加大“讲文明、树新风”公益广告宣传。</w:t>
      </w:r>
      <w:r>
        <w:rPr>
          <w:rFonts w:hint="eastAsia"/>
        </w:rPr>
        <w:t>在全市</w:t>
      </w:r>
      <w:r>
        <w:t>80辆出租车、67辆公交车上张贴廉政及公</w:t>
      </w:r>
      <w:r>
        <w:rPr>
          <w:rFonts w:hint="eastAsia"/>
        </w:rPr>
        <w:t>民思想道德建设、共筑“中国梦”、“廉洁南雄”等方面的公益广告宣传标语</w:t>
      </w:r>
      <w:r>
        <w:rPr>
          <w:rFonts w:hint="eastAsia"/>
          <w:lang w:eastAsia="zh-CN"/>
        </w:rPr>
        <w:t>。</w:t>
      </w:r>
    </w:p>
    <w:p w14:paraId="657E660E">
      <w:pPr>
        <w:rPr>
          <w:rFonts w:hint="eastAsia"/>
        </w:rPr>
      </w:pPr>
      <w:r>
        <w:t>6.开展公民思想道德建设。全市创建35个道</w:t>
      </w:r>
      <w:r>
        <w:rPr>
          <w:rFonts w:hint="eastAsia"/>
        </w:rPr>
        <w:t>德讲堂，建立一支</w:t>
      </w:r>
      <w:r>
        <w:t>8000多人的学雷锋志愿服务队，</w:t>
      </w:r>
      <w:r>
        <w:rPr>
          <w:rFonts w:hint="eastAsia"/>
        </w:rPr>
        <w:t>设立</w:t>
      </w:r>
      <w:r>
        <w:t>600多块遵德守礼牌，成立4支网络文明传播</w:t>
      </w:r>
      <w:r>
        <w:rPr>
          <w:rFonts w:hint="eastAsia"/>
        </w:rPr>
        <w:t>志愿者队伍；维新路被打造为文明餐桌示范街；组织开展道德模范巡讲、“做一个有道德的人”主题活动。</w:t>
      </w:r>
    </w:p>
    <w:p w14:paraId="5D3F67E8">
      <w:pPr>
        <w:pStyle w:val="4"/>
        <w:bidi w:val="0"/>
        <w:rPr>
          <w:rFonts w:hint="eastAsia"/>
        </w:rPr>
      </w:pPr>
      <w:r>
        <w:rPr>
          <w:rFonts w:hint="eastAsia"/>
        </w:rPr>
        <w:t>【文化广电工作】</w:t>
      </w:r>
    </w:p>
    <w:p w14:paraId="168EBC33">
      <w:pPr>
        <w:rPr>
          <w:rFonts w:hint="eastAsia"/>
        </w:rPr>
      </w:pPr>
      <w:r>
        <w:t>1.公共文化基础设施建设工</w:t>
      </w:r>
      <w:r>
        <w:rPr>
          <w:rFonts w:hint="eastAsia"/>
        </w:rPr>
        <w:t>作。</w:t>
      </w:r>
      <w:r>
        <w:t>2月，珠影文化中心建成开业；图书馆、文化</w:t>
      </w:r>
      <w:r>
        <w:rPr>
          <w:rFonts w:hint="eastAsia"/>
        </w:rPr>
        <w:t>馆的异地重建选址及规划工作按计划推进；各镇（街道）文化站全部实行免费开放，帽子峰、百顺镇文化站晋升为省二级文化站，油山、全安、澜河、古市文化站晋升为省三级文化站；城区数字电视整转和新发展用户</w:t>
      </w:r>
      <w:r>
        <w:t>2130多户，农村数字电视整</w:t>
      </w:r>
      <w:r>
        <w:rPr>
          <w:rFonts w:hint="eastAsia"/>
        </w:rPr>
        <w:t>转</w:t>
      </w:r>
      <w:r>
        <w:t>4250多户；油山镇“油山会师”旧址、湖口镇</w:t>
      </w:r>
      <w:r>
        <w:rPr>
          <w:rFonts w:hint="eastAsia"/>
          <w:lang w:val="en-US" w:eastAsia="zh-CN"/>
        </w:rPr>
        <w:t>古</w:t>
      </w:r>
      <w:r>
        <w:rPr>
          <w:rFonts w:hint="eastAsia"/>
        </w:rPr>
        <w:t>坑中共南雄（中心）县委旧址被列为南雄市爱国主义教育基地。</w:t>
      </w:r>
    </w:p>
    <w:p w14:paraId="1B37B929">
      <w:pPr>
        <w:rPr>
          <w:rFonts w:hint="eastAsia"/>
        </w:rPr>
      </w:pPr>
      <w:r>
        <w:t>2.开展群众性文化活动。先后组织开展迎春文</w:t>
      </w:r>
      <w:r>
        <w:rPr>
          <w:rFonts w:hint="eastAsia"/>
        </w:rPr>
        <w:t>艺晚会、春节广场文艺演出、元宵巡游、“生态南雄”摄影大赛、“唱响中国梦·颂歌</w:t>
      </w:r>
      <w:r>
        <w:rPr>
          <w:rFonts w:hint="eastAsia"/>
          <w:lang w:val="en-US" w:eastAsia="zh-CN"/>
        </w:rPr>
        <w:t>献</w:t>
      </w:r>
      <w:r>
        <w:rPr>
          <w:rFonts w:hint="eastAsia"/>
        </w:rPr>
        <w:t>给党”群众文艺表演、“我的中国梦”群众歌咏大赛、“中国梦”书画大赛、廉政电影放映月、红色电影展播、廉政知识读书、“书法协会成立</w:t>
      </w:r>
      <w:r>
        <w:t>30周年、美术协会</w:t>
      </w:r>
      <w:r>
        <w:rPr>
          <w:rFonts w:hint="eastAsia"/>
        </w:rPr>
        <w:t>成立</w:t>
      </w:r>
      <w:r>
        <w:t>25周年纪念活动”暨元旦书法美术作品展</w:t>
      </w:r>
      <w:r>
        <w:rPr>
          <w:rFonts w:hint="eastAsia"/>
          <w:lang w:eastAsia="zh-CN"/>
        </w:rPr>
        <w:t>、</w:t>
      </w:r>
      <w:r>
        <w:rPr>
          <w:rFonts w:hint="eastAsia"/>
        </w:rPr>
        <w:t>饶又铭美术作品展、“中国梦”画册展、周宏忠摄影作品展、黄创坤油画展等活动。</w:t>
      </w:r>
    </w:p>
    <w:p w14:paraId="09DA7A28">
      <w:r>
        <w:t>3.做好文化惠民服务工作。文化馆免费组织文</w:t>
      </w:r>
      <w:r>
        <w:rPr>
          <w:rFonts w:hint="eastAsia"/>
        </w:rPr>
        <w:t>艺演出</w:t>
      </w:r>
      <w:r>
        <w:t>13场（次），开办音乐、钢琴、舞蹈免费培</w:t>
      </w:r>
      <w:r>
        <w:rPr>
          <w:rFonts w:hint="eastAsia"/>
        </w:rPr>
        <w:t>训</w:t>
      </w:r>
      <w:r>
        <w:t>350次；开展广场电影周公映和“2131”电影放</w:t>
      </w:r>
      <w:r>
        <w:rPr>
          <w:rFonts w:hint="eastAsia"/>
        </w:rPr>
        <w:t>映活动，累计播放电影近</w:t>
      </w:r>
      <w:r>
        <w:t>2496场次；图书馆全年</w:t>
      </w:r>
      <w:r>
        <w:rPr>
          <w:rFonts w:hint="eastAsia"/>
        </w:rPr>
        <w:t>共接待读者</w:t>
      </w:r>
      <w:r>
        <w:t>10万人次。</w:t>
      </w:r>
    </w:p>
    <w:p w14:paraId="7EFF9074">
      <w:r>
        <w:t>4.文化遗产保护工作。民俗“姓氏节”、民间</w:t>
      </w:r>
      <w:r>
        <w:rPr>
          <w:rFonts w:hint="eastAsia"/>
        </w:rPr>
        <w:t>文学《珠玑巷人南迁》申报第五批省级非物质文化遗产项目；三影塔修缮工程、博物馆恐龙展厅和珠玑巷博物馆布展工作按计划开展；南</w:t>
      </w:r>
      <w:r>
        <w:rPr>
          <w:rFonts w:hint="eastAsia"/>
          <w:lang w:eastAsia="zh-CN"/>
        </w:rPr>
        <w:t>粤</w:t>
      </w:r>
      <w:r>
        <w:rPr>
          <w:rFonts w:hint="eastAsia"/>
        </w:rPr>
        <w:t>雄关与古道被正式列为全国重点文物保护单位；全年完成全市</w:t>
      </w:r>
      <w:r>
        <w:t>320处不可移动文物名录的编辑印刷工作。</w:t>
      </w:r>
    </w:p>
    <w:p w14:paraId="7C4A4AF6">
      <w:r>
        <w:t>5.整治和规范文化市场经营秩序。开展为期4</w:t>
      </w:r>
      <w:r>
        <w:rPr>
          <w:rFonts w:hint="eastAsia"/>
        </w:rPr>
        <w:t>个月的文化市场安全生产大检</w:t>
      </w:r>
      <w:r>
        <w:rPr>
          <w:rFonts w:hint="eastAsia"/>
          <w:lang w:eastAsia="zh-CN"/>
        </w:rPr>
        <w:t>查</w:t>
      </w:r>
      <w:r>
        <w:rPr>
          <w:rFonts w:hint="eastAsia"/>
        </w:rPr>
        <w:t>专项行动，出动文化执法人员</w:t>
      </w:r>
      <w:r>
        <w:t>720人次，检</w:t>
      </w:r>
      <w:r>
        <w:rPr>
          <w:rFonts w:hint="eastAsia"/>
          <w:lang w:eastAsia="zh-CN"/>
        </w:rPr>
        <w:t>查</w:t>
      </w:r>
      <w:r>
        <w:t>网吧130家次，娱乐场</w:t>
      </w:r>
      <w:r>
        <w:rPr>
          <w:rFonts w:hint="eastAsia"/>
        </w:rPr>
        <w:t>所</w:t>
      </w:r>
      <w:r>
        <w:t>75家次，出版物市场151家次，印刷厂53家次，</w:t>
      </w:r>
      <w:r>
        <w:rPr>
          <w:rFonts w:hint="eastAsia"/>
        </w:rPr>
        <w:t>销毁违</w:t>
      </w:r>
      <w:r>
        <w:rPr>
          <w:rFonts w:hint="eastAsia"/>
          <w:lang w:val="en-US" w:eastAsia="zh-CN"/>
        </w:rPr>
        <w:t>禁</w:t>
      </w:r>
      <w:r>
        <w:rPr>
          <w:rFonts w:hint="eastAsia"/>
        </w:rPr>
        <w:t>赌博机</w:t>
      </w:r>
      <w:r>
        <w:t>26台，电子游戏机主板32块，</w:t>
      </w:r>
      <w:r>
        <w:rPr>
          <w:rFonts w:hint="eastAsia"/>
          <w:lang w:val="en-US" w:eastAsia="zh-CN"/>
        </w:rPr>
        <w:t>盗</w:t>
      </w:r>
      <w:r>
        <w:rPr>
          <w:rFonts w:hint="eastAsia"/>
        </w:rPr>
        <w:t>版、淫秽出版物</w:t>
      </w:r>
      <w:r>
        <w:t>2835册，盗版、淫秽音像制品7356张（盒），非法报刊353份，电脑主机28套。</w:t>
      </w:r>
    </w:p>
    <w:p w14:paraId="74F897CA">
      <w:pPr>
        <w:rPr>
          <w:rFonts w:hint="eastAsia"/>
        </w:rPr>
      </w:pPr>
      <w:r>
        <w:t>6.做好广播电视工作。3月开办《品味南雄》</w:t>
      </w:r>
      <w:r>
        <w:rPr>
          <w:rFonts w:hint="eastAsia"/>
        </w:rPr>
        <w:t>专栏；</w:t>
      </w:r>
      <w:r>
        <w:t>9月开办《“廉洁南雄”电视系列专题报道》</w:t>
      </w:r>
      <w:r>
        <w:rPr>
          <w:rFonts w:hint="eastAsia"/>
        </w:rPr>
        <w:t>节目；拍摄制作大型专题片《广府珠玑圆新梦》和旅游投资推介片《美丽南雄》。</w:t>
      </w:r>
    </w:p>
    <w:p w14:paraId="3A0AA2CB">
      <w:pPr>
        <w:pStyle w:val="4"/>
        <w:bidi w:val="0"/>
        <w:rPr>
          <w:rFonts w:hint="eastAsia"/>
        </w:rPr>
      </w:pPr>
      <w:r>
        <w:rPr>
          <w:rFonts w:hint="eastAsia"/>
          <w:lang w:eastAsia="zh-CN"/>
        </w:rPr>
        <w:t>【</w:t>
      </w:r>
      <w:r>
        <w:rPr>
          <w:rFonts w:hint="eastAsia"/>
        </w:rPr>
        <w:t>宣传文化队伍建设】</w:t>
      </w:r>
    </w:p>
    <w:p w14:paraId="6D7ED4C2">
      <w:pPr>
        <w:rPr>
          <w:rFonts w:hint="eastAsia"/>
          <w:lang w:eastAsia="zh-CN"/>
        </w:rPr>
      </w:pPr>
      <w:r>
        <w:t>1.开展作风建设。组织开</w:t>
      </w:r>
      <w:r>
        <w:rPr>
          <w:rFonts w:hint="eastAsia"/>
        </w:rPr>
        <w:t>展“面向基层、整顿作风、服务群众”活动，包括成立领导小组，制定活动方案，完善制度，组织学习</w:t>
      </w:r>
      <w:r>
        <w:rPr>
          <w:rFonts w:hint="eastAsia"/>
          <w:lang w:eastAsia="zh-CN"/>
        </w:rPr>
        <w:t>。</w:t>
      </w:r>
    </w:p>
    <w:p w14:paraId="4AEF6566">
      <w:pPr>
        <w:rPr>
          <w:rFonts w:hint="eastAsia"/>
        </w:rPr>
      </w:pPr>
      <w:r>
        <w:t>2.举办一期新闻采编播人员培训班。对全市200名新闻采编播人员进行马克思主义新闻观、新</w:t>
      </w:r>
      <w:r>
        <w:rPr>
          <w:rFonts w:hint="eastAsia"/>
        </w:rPr>
        <w:t>闻写作技巧和舆情应对技巧等内容的培训。</w:t>
      </w:r>
    </w:p>
    <w:p w14:paraId="4F9BBE6D">
      <w:pPr>
        <w:jc w:val="right"/>
        <w:rPr>
          <w:rFonts w:hint="eastAsia"/>
          <w:b/>
          <w:bCs/>
        </w:rPr>
      </w:pPr>
      <w:r>
        <w:rPr>
          <w:rFonts w:hint="eastAsia"/>
          <w:b/>
          <w:bCs/>
        </w:rPr>
        <w:t>（张</w:t>
      </w:r>
      <w:r>
        <w:rPr>
          <w:rFonts w:hint="eastAsia"/>
          <w:b/>
          <w:bCs/>
          <w:lang w:val="en-US" w:eastAsia="zh-CN"/>
        </w:rPr>
        <w:t xml:space="preserve">  </w:t>
      </w:r>
      <w:r>
        <w:rPr>
          <w:rFonts w:hint="eastAsia"/>
          <w:b/>
          <w:bCs/>
        </w:rPr>
        <w:t>丽）</w:t>
      </w:r>
    </w:p>
    <w:p w14:paraId="180C298D">
      <w:pPr>
        <w:pStyle w:val="10"/>
        <w:bidi w:val="0"/>
        <w:rPr>
          <w:b/>
          <w:bCs/>
        </w:rPr>
      </w:pPr>
      <w:r>
        <w:rPr>
          <w:rFonts w:hint="eastAsia"/>
          <w:b/>
          <w:bCs/>
        </w:rPr>
        <w:t>附：</w:t>
      </w:r>
      <w:r>
        <w:rPr>
          <w:b/>
          <w:bCs/>
        </w:rPr>
        <w:t>2013年市委宣传部领导班子成员名单</w:t>
      </w:r>
    </w:p>
    <w:p w14:paraId="5F5FFCF6">
      <w:pPr>
        <w:pStyle w:val="10"/>
        <w:bidi w:val="0"/>
        <w:rPr>
          <w:rFonts w:hint="eastAsia"/>
        </w:rPr>
      </w:pPr>
      <w:r>
        <w:rPr>
          <w:rFonts w:hint="eastAsia"/>
          <w:b/>
          <w:bCs/>
        </w:rPr>
        <w:t>部</w:t>
      </w:r>
      <w:r>
        <w:rPr>
          <w:rFonts w:hint="eastAsia"/>
          <w:b/>
          <w:bCs/>
          <w:lang w:val="en-US" w:eastAsia="zh-CN"/>
        </w:rPr>
        <w:t xml:space="preserve">    </w:t>
      </w:r>
      <w:r>
        <w:rPr>
          <w:rFonts w:hint="eastAsia"/>
          <w:b/>
          <w:bCs/>
        </w:rPr>
        <w:t>长：</w:t>
      </w:r>
      <w:r>
        <w:rPr>
          <w:rFonts w:hint="eastAsia"/>
        </w:rPr>
        <w:t>卜小燕（兼）</w:t>
      </w:r>
    </w:p>
    <w:p w14:paraId="69204823">
      <w:pPr>
        <w:pStyle w:val="10"/>
        <w:bidi w:val="0"/>
        <w:rPr>
          <w:rFonts w:hint="eastAsia"/>
          <w:b/>
          <w:bCs/>
        </w:rPr>
      </w:pPr>
      <w:r>
        <w:rPr>
          <w:rFonts w:hint="eastAsia"/>
          <w:b/>
          <w:bCs/>
        </w:rPr>
        <w:t>副</w:t>
      </w:r>
      <w:r>
        <w:rPr>
          <w:rFonts w:hint="eastAsia"/>
          <w:b/>
          <w:bCs/>
          <w:lang w:val="en-US" w:eastAsia="zh-CN"/>
        </w:rPr>
        <w:t xml:space="preserve"> </w:t>
      </w:r>
      <w:r>
        <w:rPr>
          <w:rFonts w:hint="eastAsia"/>
          <w:b/>
          <w:bCs/>
        </w:rPr>
        <w:t>部</w:t>
      </w:r>
      <w:r>
        <w:rPr>
          <w:rFonts w:hint="eastAsia"/>
          <w:b/>
          <w:bCs/>
          <w:lang w:val="en-US" w:eastAsia="zh-CN"/>
        </w:rPr>
        <w:t xml:space="preserve"> </w:t>
      </w:r>
      <w:r>
        <w:rPr>
          <w:rFonts w:hint="eastAsia"/>
          <w:b/>
          <w:bCs/>
        </w:rPr>
        <w:t>长：</w:t>
      </w:r>
      <w:r>
        <w:rPr>
          <w:rFonts w:hint="eastAsia"/>
        </w:rPr>
        <w:t>朱兆财</w:t>
      </w:r>
      <w:r>
        <w:rPr>
          <w:rFonts w:hint="eastAsia"/>
          <w:lang w:val="en-US" w:eastAsia="zh-CN"/>
        </w:rPr>
        <w:t xml:space="preserve">   </w:t>
      </w:r>
      <w:r>
        <w:rPr>
          <w:rFonts w:hint="eastAsia"/>
        </w:rPr>
        <w:t>孔令平</w:t>
      </w:r>
      <w:r>
        <w:rPr>
          <w:rFonts w:hint="eastAsia"/>
          <w:lang w:val="en-US" w:eastAsia="zh-CN"/>
        </w:rPr>
        <w:t xml:space="preserve">   </w:t>
      </w:r>
      <w:r>
        <w:rPr>
          <w:rFonts w:hint="eastAsia"/>
        </w:rPr>
        <w:t>肖兴麟</w:t>
      </w:r>
      <w:r>
        <w:rPr>
          <w:rFonts w:hint="eastAsia"/>
          <w:lang w:val="en-US" w:eastAsia="zh-CN"/>
        </w:rPr>
        <w:t xml:space="preserve">   </w:t>
      </w:r>
      <w:r>
        <w:rPr>
          <w:rFonts w:hint="eastAsia"/>
        </w:rPr>
        <w:t>肖丽琼</w:t>
      </w:r>
      <w:r>
        <w:rPr>
          <w:rFonts w:hint="eastAsia"/>
          <w:lang w:val="en-US" w:eastAsia="zh-CN"/>
        </w:rPr>
        <w:t xml:space="preserve">   </w:t>
      </w:r>
      <w:r>
        <w:rPr>
          <w:rFonts w:hint="eastAsia"/>
        </w:rPr>
        <w:t>卢德</w:t>
      </w:r>
      <w:r>
        <w:rPr>
          <w:rFonts w:hint="eastAsia"/>
          <w:b w:val="0"/>
          <w:bCs w:val="0"/>
        </w:rPr>
        <w:t>政</w:t>
      </w:r>
    </w:p>
    <w:p w14:paraId="282F299B">
      <w:pPr>
        <w:pStyle w:val="10"/>
        <w:bidi w:val="0"/>
        <w:rPr>
          <w:rFonts w:hint="eastAsia"/>
        </w:rPr>
      </w:pPr>
      <w:r>
        <w:rPr>
          <w:rFonts w:hint="eastAsia"/>
          <w:b/>
          <w:bCs/>
        </w:rPr>
        <w:t>纪检组长：</w:t>
      </w:r>
      <w:r>
        <w:rPr>
          <w:rFonts w:hint="eastAsia"/>
        </w:rPr>
        <w:t>陈昌发</w:t>
      </w:r>
    </w:p>
    <w:p w14:paraId="780CCF45">
      <w:pPr>
        <w:pStyle w:val="10"/>
        <w:bidi w:val="0"/>
        <w:rPr>
          <w:rFonts w:hint="eastAsia"/>
        </w:rPr>
      </w:pPr>
      <w:r>
        <w:rPr>
          <w:rFonts w:hint="eastAsia"/>
          <w:b/>
          <w:bCs/>
        </w:rPr>
        <w:t>文明办副主任：</w:t>
      </w:r>
      <w:r>
        <w:rPr>
          <w:rFonts w:hint="eastAsia"/>
        </w:rPr>
        <w:t>石德辉</w:t>
      </w:r>
    </w:p>
    <w:p w14:paraId="1E6AC000">
      <w:pPr>
        <w:pStyle w:val="3"/>
        <w:bidi w:val="0"/>
        <w:rPr>
          <w:rFonts w:hint="default"/>
          <w:lang w:val="en-US" w:eastAsia="zh-CN"/>
        </w:rPr>
      </w:pPr>
      <w:r>
        <w:rPr>
          <w:rFonts w:hint="eastAsia"/>
          <w:lang w:val="en-US" w:eastAsia="zh-CN"/>
        </w:rPr>
        <w:t>统战工作</w:t>
      </w:r>
    </w:p>
    <w:p w14:paraId="3EF0BCED">
      <w:pPr>
        <w:pStyle w:val="4"/>
        <w:bidi w:val="0"/>
        <w:rPr>
          <w:rFonts w:hint="eastAsia"/>
        </w:rPr>
      </w:pPr>
      <w:r>
        <w:rPr>
          <w:rFonts w:hint="eastAsia"/>
        </w:rPr>
        <w:t>【概况】</w:t>
      </w:r>
    </w:p>
    <w:p w14:paraId="1A2729E4">
      <w:pPr>
        <w:rPr>
          <w:rFonts w:hint="eastAsia"/>
        </w:rPr>
      </w:pPr>
      <w:r>
        <w:rPr>
          <w:rFonts w:hint="eastAsia"/>
        </w:rPr>
        <w:t>中共南雄市委统战部是主管统一战线工作的职能部门。机构改革后，统战部下设办公室</w:t>
      </w:r>
      <w:r>
        <w:rPr>
          <w:rFonts w:hint="eastAsia"/>
          <w:lang w:eastAsia="zh-CN"/>
        </w:rPr>
        <w:t>、</w:t>
      </w:r>
      <w:r>
        <w:rPr>
          <w:rFonts w:hint="eastAsia"/>
        </w:rPr>
        <w:t>对台工作办公室</w:t>
      </w:r>
      <w:r>
        <w:t>2个股室，设部长1人，副部长4</w:t>
      </w:r>
      <w:r>
        <w:rPr>
          <w:rFonts w:hint="eastAsia"/>
        </w:rPr>
        <w:t>人。民族宗教事务局、工商联、侨联与统战部合署办公。</w:t>
      </w:r>
    </w:p>
    <w:p w14:paraId="52211CD7">
      <w:pPr>
        <w:pStyle w:val="4"/>
        <w:bidi w:val="0"/>
        <w:rPr>
          <w:rFonts w:hint="eastAsia"/>
        </w:rPr>
      </w:pPr>
      <w:r>
        <w:rPr>
          <w:rFonts w:hint="eastAsia"/>
        </w:rPr>
        <w:t>【实施“同心思想工程”】</w:t>
      </w:r>
    </w:p>
    <w:p w14:paraId="442ACA66">
      <w:r>
        <w:t>1.贯彻落实韶发[2012]33号文件，加强新形势下党外代表人士队</w:t>
      </w:r>
      <w:r>
        <w:rPr>
          <w:rFonts w:hint="eastAsia"/>
        </w:rPr>
        <w:t>伍建设。宣传贯彻落实中央、省、韶关市统战工作会议精神，宣传贯彻落实韶发</w:t>
      </w:r>
      <w:r>
        <w:rPr>
          <w:rFonts w:hint="eastAsia"/>
          <w:lang w:val="en-US" w:eastAsia="zh-CN"/>
        </w:rPr>
        <w:t>[</w:t>
      </w:r>
      <w:r>
        <w:t>2012]33号文件</w:t>
      </w:r>
      <w:r>
        <w:rPr>
          <w:rFonts w:hint="eastAsia"/>
        </w:rPr>
        <w:t>《中共韶关市委关于进一步加强新形势下党外代表人士队伍建设的意见》，加大党外代表人士的发现、培养、选拔任用力度。会商组织部门研究党外代表人士队伍建设工作，印发雄统字</w:t>
      </w:r>
      <w:r>
        <w:t>[2013]01号文</w:t>
      </w:r>
      <w:r>
        <w:rPr>
          <w:rFonts w:hint="eastAsia"/>
        </w:rPr>
        <w:t>件《中共南雄市委统战部、中共南雄市委组织部关于做好</w:t>
      </w:r>
      <w:r>
        <w:t>2013年乡科级党外后备干部推荐工作的通</w:t>
      </w:r>
      <w:r>
        <w:rPr>
          <w:rFonts w:hint="eastAsia"/>
        </w:rPr>
        <w:t>知》，雄统字</w:t>
      </w:r>
      <w:r>
        <w:rPr>
          <w:rFonts w:hint="eastAsia"/>
          <w:lang w:val="en-US" w:eastAsia="zh-CN"/>
        </w:rPr>
        <w:t>{</w:t>
      </w:r>
      <w:r>
        <w:t>2013]02号文件《关于开展南雄市</w:t>
      </w:r>
      <w:r>
        <w:rPr>
          <w:rFonts w:hint="eastAsia"/>
        </w:rPr>
        <w:t>民主党派领导班子后备干部推荐工作的通知》，进行党外后备干部推荐工作。推荐党外干部参加韶关市委组织部、统战部举办的党外中青年干部培训班，推荐统战部成员参加省委统战部举办的全省统战干部培训班，组织民主党派成员学习中共十八大文件精神等。落实党外人士政治安排，党外副处级以上领导干部</w:t>
      </w:r>
      <w:r>
        <w:t>5名，其中市人大常委会1名，市政</w:t>
      </w:r>
      <w:r>
        <w:rPr>
          <w:rFonts w:hint="eastAsia"/>
        </w:rPr>
        <w:t>府</w:t>
      </w:r>
      <w:r>
        <w:t>1名，市政协3名。市政府职能部门党外科级干</w:t>
      </w:r>
      <w:r>
        <w:rPr>
          <w:rFonts w:hint="eastAsia"/>
        </w:rPr>
        <w:t>部副职安排</w:t>
      </w:r>
      <w:r>
        <w:t>5名，其中市教育局、市科技局、市监</w:t>
      </w:r>
      <w:r>
        <w:rPr>
          <w:rFonts w:hint="eastAsia"/>
        </w:rPr>
        <w:t>察局、市环保局、市卫生局各</w:t>
      </w:r>
      <w:r>
        <w:t>1名。乡镇（街道）</w:t>
      </w:r>
      <w:r>
        <w:rPr>
          <w:rFonts w:hint="eastAsia"/>
        </w:rPr>
        <w:t>党外科级副职安排</w:t>
      </w:r>
      <w:r>
        <w:t>4名。事业单位党外科级干部安</w:t>
      </w:r>
      <w:r>
        <w:rPr>
          <w:rFonts w:hint="eastAsia"/>
        </w:rPr>
        <w:t>排</w:t>
      </w:r>
      <w:r>
        <w:t>7名，其中正职1名，副职6名，团体安排党外</w:t>
      </w:r>
      <w:r>
        <w:rPr>
          <w:rFonts w:hint="eastAsia"/>
        </w:rPr>
        <w:t>科级班干部副职</w:t>
      </w:r>
      <w:r>
        <w:t>1名。市人大党外代表73名，市</w:t>
      </w:r>
      <w:r>
        <w:rPr>
          <w:rFonts w:hint="eastAsia"/>
        </w:rPr>
        <w:t>政协党外委员</w:t>
      </w:r>
      <w:r>
        <w:t>130名。</w:t>
      </w:r>
    </w:p>
    <w:p w14:paraId="1E1DE14C">
      <w:r>
        <w:t>2.融</w:t>
      </w:r>
      <w:r>
        <w:rPr>
          <w:rFonts w:hint="eastAsia"/>
          <w:lang w:eastAsia="zh-CN"/>
        </w:rPr>
        <w:t>洽</w:t>
      </w:r>
      <w:r>
        <w:t>政党关系，加强多党合作。加强和完善</w:t>
      </w:r>
      <w:r>
        <w:rPr>
          <w:rFonts w:hint="eastAsia"/>
        </w:rPr>
        <w:t>中国共产党领导的多党合作政治制度，拓宽渠道，使党外人士发挥政</w:t>
      </w:r>
      <w:r>
        <w:rPr>
          <w:rFonts w:hint="eastAsia"/>
          <w:lang w:val="en-US" w:eastAsia="zh-CN"/>
        </w:rPr>
        <w:t>治</w:t>
      </w:r>
      <w:r>
        <w:rPr>
          <w:rFonts w:hint="eastAsia"/>
        </w:rPr>
        <w:t>协商、民主监督、参政议政作用。召开党外人士协商会、座谈会</w:t>
      </w:r>
      <w:r>
        <w:t>3次，以“重温</w:t>
      </w:r>
      <w:r>
        <w:rPr>
          <w:rFonts w:hint="eastAsia"/>
        </w:rPr>
        <w:t>历史、同心同行”为主题，突出“与党和人民同心”的主题学习教育活动，深入推进和践行社会主义核心价值体系活动，把广大统战成员紧密团结在党的周围。加强对民主党派成员领导和指导，加强民主党派自身建设，协助市九三学社南雄小组成立九三学社南雄市支社。指导各民主党派抓好班子后备队伍建设，开展推荐民主党派班子后备干部工作。引导民主党派成员、党外人士抓好思想建设，围绕南雄市开展“面向基层、整顿作风、服务群众”活动，引导统一战线成员坚定信心，立足本职，争当科学发展观排头兵，为保持经济平稳发展作出贡献。引导民主党派成员开展助学、送医送药义诊活动等社会服务工作。如：民革南雄市支部做好“奇星博爱中风康复基金”在该市开展贫困脑中风患者的关爱，免费为患者送医送药。民盟南雄市总支部组织盟员教师到乌迳小学、新城中学指导教学，派出医疗卫生届盟员送医送药。九三学社南雄支社组织社员到水口镇开展国际科学与和平周义诊活动，送医送药。组织召开各民主党派、工商联等团体领导班子思想政治建设座谈会，以及专门听取市各民主党派、工商联和无党派人士代表重要调研成果汇报，引导统一战线广大成员坚持理想信念，夯实团结奋斗共同思想政治基础，为构建幸福南雄出谋献策。</w:t>
      </w:r>
      <w:r>
        <w:t>1月在该市人大政协会议上，各民主党</w:t>
      </w:r>
      <w:r>
        <w:rPr>
          <w:rFonts w:hint="eastAsia"/>
        </w:rPr>
        <w:t>派、工商联及无党派人士撰写政协提案</w:t>
      </w:r>
      <w:r>
        <w:t>25件，人</w:t>
      </w:r>
      <w:r>
        <w:rPr>
          <w:rFonts w:hint="eastAsia"/>
        </w:rPr>
        <w:t>大建议</w:t>
      </w:r>
      <w:r>
        <w:t>3件。</w:t>
      </w:r>
    </w:p>
    <w:p w14:paraId="3A941073">
      <w:pPr>
        <w:pStyle w:val="4"/>
        <w:bidi w:val="0"/>
        <w:rPr>
          <w:rFonts w:hint="eastAsia"/>
        </w:rPr>
      </w:pPr>
      <w:r>
        <w:rPr>
          <w:rFonts w:hint="eastAsia"/>
        </w:rPr>
        <w:t>【促进非公经济稳步发展】</w:t>
      </w:r>
    </w:p>
    <w:p w14:paraId="7902659F">
      <w:r>
        <w:t>1.参政议政是工商联</w:t>
      </w:r>
      <w:r>
        <w:rPr>
          <w:rFonts w:hint="eastAsia"/>
        </w:rPr>
        <w:t>的重点工作之一，是党和政府联系非公经济人士的</w:t>
      </w:r>
      <w:r>
        <w:rPr>
          <w:rFonts w:hint="eastAsia"/>
          <w:lang w:val="en-US" w:eastAsia="zh-CN"/>
        </w:rPr>
        <w:t>一</w:t>
      </w:r>
      <w:r>
        <w:rPr>
          <w:rFonts w:hint="eastAsia"/>
        </w:rPr>
        <w:t>个很重要渠道，是加强政企沟通的一条重要途径。</w:t>
      </w:r>
      <w:r>
        <w:t>2013年，以参政议政为切入点，按照“经济上</w:t>
      </w:r>
      <w:r>
        <w:rPr>
          <w:rFonts w:hint="eastAsia"/>
        </w:rPr>
        <w:t>有发展、政治上有地位、社会上有形象”的目标，围绕构建和谐南雄、幸福南雄，全面提升工商联以及非公有制经济代表人士的政治地位，突出体现工商联在促进非公有制经济健康发展过程中的引导作用。多次组织工商联界别的部分人大代表、政协委员和工商联会员，深入了解民情，反映社情民意，广泛集中民智。组织经济代表人士</w:t>
      </w:r>
      <w:r>
        <w:t>180人次参观视</w:t>
      </w:r>
      <w:r>
        <w:rPr>
          <w:rFonts w:hint="eastAsia"/>
        </w:rPr>
        <w:t>察市工业园；撰写议案和提案</w:t>
      </w:r>
      <w:r>
        <w:t>10宗，其中获得优</w:t>
      </w:r>
      <w:r>
        <w:rPr>
          <w:rFonts w:hint="eastAsia"/>
        </w:rPr>
        <w:t>秀提案有</w:t>
      </w:r>
      <w:r>
        <w:t>2宗。</w:t>
      </w:r>
    </w:p>
    <w:p w14:paraId="63926B01">
      <w:pPr>
        <w:rPr>
          <w:rFonts w:hint="eastAsia"/>
        </w:rPr>
      </w:pPr>
      <w:r>
        <w:t>2.促进和发展非公有制经济是工商联的第一要</w:t>
      </w:r>
      <w:r>
        <w:rPr>
          <w:rFonts w:hint="eastAsia"/>
        </w:rPr>
        <w:t>务。引导非公经济人士增强创新意识，引导民营企业朝着自主品牌发展之路，引导和帮助民营企业实施技术创新和技术进步，大胆创新，开拓进取，提高企业的竞争力，努力把企业做大做强，促进民营经济大发展、快发展。广东金友集团有限公司，以现代农业综合开发为主，依托本地的优越的农业资源，在绿色农业、有机农业等方面扩大农业产业基地来提</w:t>
      </w:r>
      <w:r>
        <w:rPr>
          <w:rFonts w:hint="eastAsia"/>
          <w:lang w:val="en-US" w:eastAsia="zh-CN"/>
        </w:rPr>
        <w:t>高</w:t>
      </w:r>
      <w:r>
        <w:rPr>
          <w:rFonts w:hint="eastAsia"/>
        </w:rPr>
        <w:t>企业的竞争力和树立央视上榜品牌。有机农业基地已有</w:t>
      </w:r>
      <w:r>
        <w:t>6000多亩，并逐步向万亩基地发展，</w:t>
      </w:r>
      <w:r>
        <w:rPr>
          <w:rFonts w:hint="eastAsia"/>
        </w:rPr>
        <w:t>同时，扩展到邻县、邻省，为实现国内中小企业板快上市迈上坚实的步伐。</w:t>
      </w:r>
    </w:p>
    <w:p w14:paraId="4BB6C717">
      <w:pPr>
        <w:rPr>
          <w:rFonts w:hint="eastAsia"/>
        </w:rPr>
      </w:pPr>
      <w:r>
        <w:t>3.教育引导，切实做好非公有制经济人</w:t>
      </w:r>
      <w:r>
        <w:rPr>
          <w:rFonts w:hint="eastAsia"/>
          <w:lang w:val="en-US" w:eastAsia="zh-CN"/>
        </w:rPr>
        <w:t>士</w:t>
      </w:r>
      <w:r>
        <w:t>政治</w:t>
      </w:r>
      <w:r>
        <w:rPr>
          <w:rFonts w:hint="eastAsia"/>
        </w:rPr>
        <w:t>安排。根据中央统战部、全国工商联的指示精神，加强领导，精心组织，做好非公有制经济人士的教育引导工作，结合“三打两建”工作教育他们要诚信，守法，争做社会主义建设的合格建设者，不做有损诚信形象和违法经营的事。对一些社会影响好的企业（公司），给予大力表扬鼓励，并将这些企业（公司）的负责人推荐到人大、政协、工商联担任人大代表、政协委员、工商联执委等政治职务。</w:t>
      </w:r>
    </w:p>
    <w:p w14:paraId="40AEEB53">
      <w:pPr>
        <w:rPr>
          <w:rFonts w:hint="eastAsia"/>
        </w:rPr>
      </w:pPr>
      <w:r>
        <w:t>4.抓好组织建设，壮大工商联会员队伍。深入</w:t>
      </w:r>
      <w:r>
        <w:rPr>
          <w:rFonts w:hint="eastAsia"/>
        </w:rPr>
        <w:t>企业调研，开展工作，把热心于服务社会、有社会责任感、有一定实力的企业员工和个体工商户发展为会员。</w:t>
      </w:r>
      <w:r>
        <w:t>2013年，发展66名会员，成立南雄市化</w:t>
      </w:r>
      <w:r>
        <w:rPr>
          <w:rFonts w:hint="eastAsia"/>
        </w:rPr>
        <w:t>工协会，在全市形成一支非公有制经济代表人士队伍。为抓好组织建设，多次到福建（南雄）商会与会长张周商讨了解协会发展的情况，指导他们发挥协会优势，搞好会务活动，扩大协会影响，发展壮大协会。市工商联</w:t>
      </w:r>
      <w:r>
        <w:t>2013年3月成立关心下一代工</w:t>
      </w:r>
      <w:r>
        <w:rPr>
          <w:rFonts w:hint="eastAsia"/>
        </w:rPr>
        <w:t>作委员会，是韶关市首个工商联关工委。</w:t>
      </w:r>
    </w:p>
    <w:p w14:paraId="73D98C38">
      <w:pPr>
        <w:rPr>
          <w:rFonts w:hint="eastAsia"/>
        </w:rPr>
      </w:pPr>
      <w:r>
        <w:t>5.开展理想信念教育实践活动。在广大非公有</w:t>
      </w:r>
      <w:r>
        <w:rPr>
          <w:rFonts w:hint="eastAsia"/>
        </w:rPr>
        <w:t>制经济人士中广泛深入开展理想信念教育实践活动，把非公有制经济人士思想统一到党的十八大精神上来，发挥非公有制经济人士的主体作用和各类商会作用，引导参加就业、扶贫、爱心三大光彩工程，在敬老、助困、助学、助残活动中多作贡献，为社会造福、为政府分忧、为群众解难，树立商会良好形象。</w:t>
      </w:r>
      <w:r>
        <w:t>7月1日，组织统战社团和工商企业的</w:t>
      </w:r>
      <w:r>
        <w:rPr>
          <w:rFonts w:hint="eastAsia"/>
        </w:rPr>
        <w:t>爱心代表来到</w:t>
      </w:r>
      <w:r>
        <w:rPr>
          <w:rFonts w:hint="eastAsia"/>
          <w:lang w:eastAsia="zh-CN"/>
        </w:rPr>
        <w:t>粤</w:t>
      </w:r>
      <w:r>
        <w:rPr>
          <w:rFonts w:hint="eastAsia"/>
        </w:rPr>
        <w:t>北名校南雄中学举行奖教助学活动，奖励该校优秀教师和</w:t>
      </w:r>
      <w:r>
        <w:t>22名贫困优秀学子，捐</w:t>
      </w:r>
      <w:r>
        <w:rPr>
          <w:rFonts w:hint="eastAsia"/>
        </w:rPr>
        <w:t>款金额达</w:t>
      </w:r>
      <w:r>
        <w:t>58万元，用爱心与善举为贫困学子求学</w:t>
      </w:r>
      <w:r>
        <w:rPr>
          <w:rFonts w:hint="eastAsia"/>
        </w:rPr>
        <w:t>之路洒满阳光，帮助贫困学生完成大学学业。</w:t>
      </w:r>
      <w:r>
        <w:t>8月22日，召开2013年慈善文化座谈会，50名非公制</w:t>
      </w:r>
      <w:r>
        <w:rPr>
          <w:rFonts w:hint="eastAsia"/>
        </w:rPr>
        <w:t>经济人士代表参与，</w:t>
      </w:r>
      <w:r>
        <w:t>11名企业家与11名贫困学生</w:t>
      </w:r>
      <w:r>
        <w:rPr>
          <w:rFonts w:hint="eastAsia"/>
        </w:rPr>
        <w:t>现场结对帮扶，现场给每位学生各</w:t>
      </w:r>
      <w:r>
        <w:t>1000元助学金。</w:t>
      </w:r>
      <w:r>
        <w:rPr>
          <w:rFonts w:hint="eastAsia"/>
        </w:rPr>
        <w:t>在市工商联副主席、富源特色养殖公司董事长卢隆全带动下，企业家们现场捐款</w:t>
      </w:r>
      <w:r>
        <w:t>5.55万元支持南雄</w:t>
      </w:r>
      <w:r>
        <w:rPr>
          <w:rFonts w:hint="eastAsia"/>
        </w:rPr>
        <w:t>市关心下一代工作，并纷纷表示企业回报社会最</w:t>
      </w:r>
      <w:r>
        <w:rPr>
          <w:rFonts w:hint="eastAsia"/>
          <w:lang w:val="en-US" w:eastAsia="zh-CN"/>
        </w:rPr>
        <w:t>好</w:t>
      </w:r>
      <w:r>
        <w:rPr>
          <w:rFonts w:hint="eastAsia"/>
        </w:rPr>
        <w:t>方法，就是关爱下一代健康成长，并以此行动激励更多的有识之士投身关心下一代工作中，为广大青少年营造良好学习成长氛围。座谈会上为</w:t>
      </w:r>
      <w:r>
        <w:t>7个“慈</w:t>
      </w:r>
      <w:r>
        <w:rPr>
          <w:rFonts w:hint="eastAsia"/>
        </w:rPr>
        <w:t>善之家”和</w:t>
      </w:r>
      <w:r>
        <w:t>2个“教育基地”的非公企业颁发牌匾</w:t>
      </w:r>
      <w:r>
        <w:rPr>
          <w:rFonts w:hint="eastAsia"/>
        </w:rPr>
        <w:t>和证书。</w:t>
      </w:r>
      <w:r>
        <w:t>2013年起在《珠玑风采》期刊上开设</w:t>
      </w:r>
      <w:r>
        <w:rPr>
          <w:rFonts w:hint="eastAsia"/>
        </w:rPr>
        <w:t>“光彩事业”栏目，展示南雄市工商联和企业界的建设新成果。</w:t>
      </w:r>
    </w:p>
    <w:p w14:paraId="17EB7583">
      <w:pPr>
        <w:pStyle w:val="4"/>
        <w:bidi w:val="0"/>
        <w:rPr>
          <w:rFonts w:hint="eastAsia"/>
        </w:rPr>
      </w:pPr>
      <w:r>
        <w:rPr>
          <w:rFonts w:hint="eastAsia"/>
        </w:rPr>
        <w:t>【做好民族宗教工作维护社会和谐稳定】</w:t>
      </w:r>
    </w:p>
    <w:p w14:paraId="556E372D">
      <w:pPr>
        <w:rPr>
          <w:rFonts w:hint="eastAsia"/>
        </w:rPr>
      </w:pPr>
      <w:r>
        <w:t>1.依法</w:t>
      </w:r>
      <w:r>
        <w:rPr>
          <w:rFonts w:hint="eastAsia"/>
        </w:rPr>
        <w:t>管理落实民族优惠政策，促进民族和谐发展。加强协调服务，帮助基层解决实际问题。开展走访慰问工作。在元旦、春节、中秋、国庆、重阳节开展走访慰问工作。帮助开据少数民族身份证证明</w:t>
      </w:r>
      <w:r>
        <w:t>8份及</w:t>
      </w:r>
      <w:r>
        <w:rPr>
          <w:rFonts w:hint="eastAsia"/>
        </w:rPr>
        <w:t>少数民族民族身份更改审核证明</w:t>
      </w:r>
      <w:r>
        <w:t>6份；做好少数民</w:t>
      </w:r>
      <w:r>
        <w:rPr>
          <w:rFonts w:hint="eastAsia"/>
        </w:rPr>
        <w:t>族散杂居村的“五通”项目上报工作，上报“五通”项目</w:t>
      </w:r>
      <w:r>
        <w:t>2项，向省市争取补助资金，为少数民族</w:t>
      </w:r>
      <w:r>
        <w:rPr>
          <w:rFonts w:hint="eastAsia"/>
        </w:rPr>
        <w:t>地区改善生产和生活环境，创造条件，使少数民族地区群众共享改革成果；为宗教界教职人员及工作人员办理医保和社保工作，对符合社保条件及愿意办理的，给予办理。完成全市少数民族基本情况摸底调</w:t>
      </w:r>
      <w:r>
        <w:rPr>
          <w:rFonts w:hint="eastAsia"/>
          <w:lang w:eastAsia="zh-CN"/>
        </w:rPr>
        <w:t>查</w:t>
      </w:r>
      <w:r>
        <w:rPr>
          <w:rFonts w:hint="eastAsia"/>
        </w:rPr>
        <w:t>。确认南雄市少数民族分布在</w:t>
      </w:r>
      <w:r>
        <w:t>16个镇1个</w:t>
      </w:r>
      <w:r>
        <w:rPr>
          <w:rFonts w:hint="eastAsia"/>
        </w:rPr>
        <w:t>街道的</w:t>
      </w:r>
      <w:r>
        <w:t>47个行政村内，有1240户5286人，主要姓</w:t>
      </w:r>
      <w:r>
        <w:rPr>
          <w:rFonts w:hint="eastAsia"/>
        </w:rPr>
        <w:t>氏是畲族的雷蓝两姓。全面掌握全市少数民族村民迫切需要解决的通水、通电、通路和子女入学困难，健全少数民族村民生问题信息资料库。争取支持、扶持发展民族事业，加大扶持力度，争取上级支持，促进民族村经济社会事业发展。</w:t>
      </w:r>
      <w:r>
        <w:t>3月，深入</w:t>
      </w:r>
      <w:r>
        <w:rPr>
          <w:rFonts w:hint="eastAsia"/>
        </w:rPr>
        <w:t>到各少数民族聚居村进行调研，通过调研了解情况，确定南雄市</w:t>
      </w:r>
      <w:r>
        <w:t>2013年帮扶的少数民族发展资金</w:t>
      </w:r>
      <w:r>
        <w:rPr>
          <w:rFonts w:hint="eastAsia"/>
        </w:rPr>
        <w:t>项目</w:t>
      </w:r>
      <w:r>
        <w:t>3个，为少数民族群众脱贫奔康创造条件。落</w:t>
      </w:r>
      <w:r>
        <w:rPr>
          <w:rFonts w:hint="eastAsia"/>
        </w:rPr>
        <w:t>实民族优惠政策，深</w:t>
      </w:r>
      <w:r>
        <w:rPr>
          <w:rFonts w:hint="eastAsia"/>
          <w:lang w:val="en-US" w:eastAsia="zh-CN"/>
        </w:rPr>
        <w:t>入</w:t>
      </w:r>
      <w:r>
        <w:rPr>
          <w:rFonts w:hint="eastAsia"/>
        </w:rPr>
        <w:t>贯彻落实党和国家的民族政策，做好该市少数民族聚居区畲族和汉族考生的报考工作，使更多的畲族和汉族考生充分享受到“</w:t>
      </w:r>
      <w:r>
        <w:rPr>
          <w:rFonts w:hint="eastAsia"/>
          <w:lang w:eastAsia="zh-CN"/>
        </w:rPr>
        <w:t>粤</w:t>
      </w:r>
      <w:r>
        <w:rPr>
          <w:rFonts w:hint="eastAsia"/>
        </w:rPr>
        <w:t>民族生高考优惠政策”。帮助</w:t>
      </w:r>
      <w:r>
        <w:t>274名少数民族聚居</w:t>
      </w:r>
      <w:r>
        <w:rPr>
          <w:rFonts w:hint="eastAsia"/>
        </w:rPr>
        <w:t>区考生（其中民族生</w:t>
      </w:r>
      <w:r>
        <w:t>44名，汉族生230名）办理</w:t>
      </w:r>
      <w:r>
        <w:rPr>
          <w:rFonts w:hint="eastAsia"/>
        </w:rPr>
        <w:t>普通高校报考手续。帮助</w:t>
      </w:r>
      <w:r>
        <w:t>69名少数民族聚居区中</w:t>
      </w:r>
      <w:r>
        <w:rPr>
          <w:rFonts w:hint="eastAsia"/>
        </w:rPr>
        <w:t>考生办理升中报考手续。</w:t>
      </w:r>
    </w:p>
    <w:p w14:paraId="71B1D704">
      <w:pPr>
        <w:rPr>
          <w:rFonts w:hint="eastAsia"/>
        </w:rPr>
      </w:pPr>
      <w:r>
        <w:t>2.依法规范管理宗教事务。加强对宗教场所安</w:t>
      </w:r>
      <w:r>
        <w:rPr>
          <w:rFonts w:hint="eastAsia"/>
        </w:rPr>
        <w:t>全生产管理。元月</w:t>
      </w:r>
      <w:r>
        <w:t>14日至16日，先后深入大雄禅</w:t>
      </w:r>
      <w:r>
        <w:rPr>
          <w:rFonts w:hint="eastAsia"/>
        </w:rPr>
        <w:t>寺、莲开净寺、万善庵、洞真古观、天主教堂和基督教堂，开展春节走访慰问活动。并对春节活动安排和活动场所的消防设施配置与使用等安全生产的检</w:t>
      </w:r>
      <w:r>
        <w:rPr>
          <w:rFonts w:hint="eastAsia"/>
          <w:lang w:eastAsia="zh-CN"/>
        </w:rPr>
        <w:t>查</w:t>
      </w:r>
      <w:r>
        <w:rPr>
          <w:rFonts w:hint="eastAsia"/>
        </w:rPr>
        <w:t>，强化消防安全意识，加强消防安全教育，明确具体责任人员，全面落实各项安全防范措施。开展创建“和谐寺观教堂”活动。深入实践科学发展观，紧密结合实际，通过制定和明确创建活动的目标、标准、措施和要求，强化宗教活动场所的规范化管理，宗教界爱国爱教、服务社会的意识得到明显的加强。加强《宗教事务条例》的贯彻落实和加大对宗教活动场所的管理力度，抵制境外宗教势力渗透。完成各宗教教职人员的备案工作，提高依法管理宗教事务的能力，依法加强对宗教活动场所的管理。使各宗教活动场所正常、有序地运作。维护了宗教活动场所与社会和谐的新局面。加大招商引资力度，推进南雄宗教旅游的发展。一是帮助大雄禅寺基本完善第二工程建设，推进第三工程建设，协调做好相关工作。二是做好洞真古观（道教）开发利用工作，并做好规划，搞好钟鼓岩景区的宗教旅游开发。三是协助莲开净寺做好牌坊建设，丰富宗教旅游内涵。四是协助万善庵做好规划修建工作，完善寺院布局。</w:t>
      </w:r>
    </w:p>
    <w:p w14:paraId="49D182C9">
      <w:pPr>
        <w:pStyle w:val="4"/>
        <w:bidi w:val="0"/>
        <w:rPr>
          <w:rFonts w:hint="eastAsia"/>
        </w:rPr>
      </w:pPr>
      <w:r>
        <w:rPr>
          <w:rFonts w:hint="eastAsia"/>
          <w:lang w:eastAsia="zh-CN"/>
        </w:rPr>
        <w:t>【</w:t>
      </w:r>
      <w:r>
        <w:rPr>
          <w:rFonts w:hint="eastAsia"/>
        </w:rPr>
        <w:t>做好对台工作为台商台胞台属服务】</w:t>
      </w:r>
    </w:p>
    <w:p w14:paraId="2C2E1700">
      <w:pPr>
        <w:rPr>
          <w:rFonts w:hint="eastAsia"/>
        </w:rPr>
      </w:pPr>
      <w:r>
        <w:t>1.对台宣</w:t>
      </w:r>
      <w:r>
        <w:rPr>
          <w:rFonts w:hint="eastAsia"/>
        </w:rPr>
        <w:t>传工作。宣传贯彻落实党的十八大会议精神以及中央作出的反独促统十六字方针。建立互信，各置争议，求同存异，共创双赢。在宣传内容上，主要是以“和平统</w:t>
      </w:r>
      <w:r>
        <w:rPr>
          <w:rFonts w:hint="eastAsia"/>
          <w:lang w:val="en-US" w:eastAsia="zh-CN"/>
        </w:rPr>
        <w:t>一、一</w:t>
      </w:r>
      <w:r>
        <w:rPr>
          <w:rFonts w:hint="eastAsia"/>
        </w:rPr>
        <w:t>国两制”和党的十八大会议精神等一系列对台方针、政策等为重要内容。使台胞更好地认识台湾，了解两岸关系发展的新形势，体会到台湾问题的严竣性和实现祖国完全统</w:t>
      </w:r>
      <w:r>
        <w:rPr>
          <w:rFonts w:hint="eastAsia"/>
          <w:lang w:val="en-US" w:eastAsia="zh-CN"/>
        </w:rPr>
        <w:t>一</w:t>
      </w:r>
      <w:r>
        <w:rPr>
          <w:rFonts w:hint="eastAsia"/>
        </w:rPr>
        <w:t>的长期性、复杂性和艰巨性。使台胞增加对“和平统</w:t>
      </w:r>
      <w:r>
        <w:rPr>
          <w:rFonts w:hint="eastAsia"/>
          <w:lang w:val="en-US" w:eastAsia="zh-CN"/>
        </w:rPr>
        <w:t>一、一</w:t>
      </w:r>
      <w:r>
        <w:rPr>
          <w:rFonts w:hint="eastAsia"/>
        </w:rPr>
        <w:t>国两制”基本方针和有关政策的了解和认同，激发他们回报乡梓的爱心，增强他们与大陆同胞共同完成祖国统一大业的决心和信心。</w:t>
      </w:r>
    </w:p>
    <w:p w14:paraId="17399160">
      <w:pPr>
        <w:rPr>
          <w:rFonts w:hint="eastAsia"/>
          <w:lang w:eastAsia="zh-CN"/>
        </w:rPr>
      </w:pPr>
      <w:r>
        <w:t>2.为台商台胞台属服务。做好台资企业的管</w:t>
      </w:r>
      <w:r>
        <w:rPr>
          <w:rFonts w:hint="eastAsia"/>
        </w:rPr>
        <w:t>理、指导和服务工作。服务好南雄市唯一的一家台资企业正勤手袋厂。</w:t>
      </w:r>
      <w:r>
        <w:t>2013年，主动地走访台资企</w:t>
      </w:r>
      <w:r>
        <w:rPr>
          <w:rFonts w:hint="eastAsia"/>
          <w:lang w:val="en-US" w:eastAsia="zh-CN"/>
        </w:rPr>
        <w:t>产</w:t>
      </w:r>
      <w:r>
        <w:rPr>
          <w:rFonts w:hint="eastAsia"/>
        </w:rPr>
        <w:t>业，深入台资企业调</w:t>
      </w:r>
      <w:r>
        <w:rPr>
          <w:rFonts w:hint="eastAsia"/>
          <w:lang w:eastAsia="zh-CN"/>
        </w:rPr>
        <w:t>查</w:t>
      </w:r>
      <w:r>
        <w:rPr>
          <w:rFonts w:hint="eastAsia"/>
        </w:rPr>
        <w:t>了解台资企业生产和员工生</w:t>
      </w:r>
      <w:r>
        <w:rPr>
          <w:rFonts w:hint="eastAsia"/>
          <w:lang w:eastAsia="zh-CN"/>
        </w:rPr>
        <w:t>产</w:t>
      </w:r>
      <w:r>
        <w:rPr>
          <w:rFonts w:hint="eastAsia"/>
        </w:rPr>
        <w:t>生活情况。加强感情联络，为台企服务。对于他们在生产经营和生活过程中遇到的困难和问题，主动为他们提出意见和建议，帮助其与有关部门协调关系，并尽力向市领导和有关部门反映、协商，尽量为他们排忧解难。由于受国外市场等诸因素的影响，正勤手袋厂总公司于</w:t>
      </w:r>
      <w:r>
        <w:t>2013年4月决定南雄市</w:t>
      </w:r>
      <w:r>
        <w:rPr>
          <w:rFonts w:hint="eastAsia"/>
        </w:rPr>
        <w:t>正勤手提袋厂关闭停产，从</w:t>
      </w:r>
      <w:r>
        <w:t>2013年5月份后，该</w:t>
      </w:r>
      <w:r>
        <w:rPr>
          <w:rFonts w:hint="eastAsia"/>
          <w:lang w:val="en-US" w:eastAsia="zh-CN"/>
        </w:rPr>
        <w:t>厂</w:t>
      </w:r>
      <w:r>
        <w:rPr>
          <w:rFonts w:hint="eastAsia"/>
        </w:rPr>
        <w:t>已经关闭停止生产。为来雄台商台胞做好推介工作，服务好台办服务的对象，参与接待台商、台胞到该市的参观、考察、交流工作。如做好台湾华中法务报、华中杂志社社长、曲江同乡会副会长许国泰先生等来雄的接待推介工作，使他们高兴而来，满意而去。服务基层，密切联系台属，切实为服务对象服务。其一是深入台属中了解台属生产生活情况，帮助解决有关问题。其二是接待来台办咨询情况的台属和其他来访人员，做好对台政策的宣传，做耐心细致的服务工作。如热情服务台属赖光南来台办咨询去台湾探亲办证事宜等</w:t>
      </w:r>
      <w:r>
        <w:rPr>
          <w:rFonts w:hint="eastAsia"/>
          <w:lang w:eastAsia="zh-CN"/>
        </w:rPr>
        <w:t>。</w:t>
      </w:r>
    </w:p>
    <w:p w14:paraId="38A1D7ED">
      <w:pPr>
        <w:pStyle w:val="4"/>
        <w:bidi w:val="0"/>
        <w:rPr>
          <w:rFonts w:hint="eastAsia"/>
        </w:rPr>
      </w:pPr>
      <w:r>
        <w:rPr>
          <w:rFonts w:hint="eastAsia"/>
        </w:rPr>
        <w:t>【开展海外联谊活动推动南雄经济快速发展】</w:t>
      </w:r>
    </w:p>
    <w:p w14:paraId="115984CD">
      <w:pPr>
        <w:rPr>
          <w:rFonts w:hint="eastAsia"/>
        </w:rPr>
      </w:pPr>
      <w:r>
        <w:t>1</w:t>
      </w:r>
      <w:r>
        <w:rPr>
          <w:rFonts w:hint="eastAsia"/>
          <w:lang w:val="en-US" w:eastAsia="zh-CN"/>
        </w:rPr>
        <w:t>.</w:t>
      </w:r>
      <w:r>
        <w:rPr>
          <w:rFonts w:hint="eastAsia"/>
        </w:rPr>
        <w:t>做好联谊工作。</w:t>
      </w:r>
      <w:r>
        <w:t>11月，将在广州举办首届世界广府</w:t>
      </w:r>
      <w:r>
        <w:rPr>
          <w:rFonts w:hint="eastAsia"/>
        </w:rPr>
        <w:t>人恳亲大会，为确保这次大会顺利召开，根据广东广府人珠玑巷后裔海外联谊会分配给韶关市侨联的名额，协助好韶关市侨联，按照有关条件和要求，做好</w:t>
      </w:r>
      <w:r>
        <w:t>20名出任广东广府人珠玑巷后裔海外联谊会</w:t>
      </w:r>
      <w:r>
        <w:rPr>
          <w:rFonts w:hint="eastAsia"/>
        </w:rPr>
        <w:t>理事人选的推荐工作。协助编辑发行《珠玑风采》期刊，发表“统一战线”和“光彩事业”栏目共</w:t>
      </w:r>
      <w:r>
        <w:t>11篇2万字18幅照片，展示南雄市统一战线的各</w:t>
      </w:r>
      <w:r>
        <w:rPr>
          <w:rFonts w:hint="eastAsia"/>
        </w:rPr>
        <w:t>界人</w:t>
      </w:r>
      <w:r>
        <w:rPr>
          <w:rFonts w:hint="eastAsia"/>
          <w:lang w:val="en-US" w:eastAsia="zh-CN"/>
        </w:rPr>
        <w:t>士</w:t>
      </w:r>
      <w:r>
        <w:rPr>
          <w:rFonts w:hint="eastAsia"/>
        </w:rPr>
        <w:t>的新风采。协助</w:t>
      </w:r>
      <w:r>
        <w:t>9月13日广东省广府人珠</w:t>
      </w:r>
      <w:r>
        <w:rPr>
          <w:rFonts w:hint="eastAsia"/>
        </w:rPr>
        <w:t>玑巷后裔海外联谊会做好五年一届会议有关会务和接待工作。</w:t>
      </w:r>
    </w:p>
    <w:p w14:paraId="0A841E45">
      <w:pPr>
        <w:rPr>
          <w:rFonts w:hint="eastAsia"/>
        </w:rPr>
      </w:pPr>
      <w:r>
        <w:t>2.配合韶关市侨联做好康绿宝（南雄）科技</w:t>
      </w:r>
      <w:r>
        <w:rPr>
          <w:rFonts w:hint="eastAsia"/>
        </w:rPr>
        <w:t>园落户南雄的引进、跟踪服务工作。经常深入康绿宝（南雄）科技园调研，协助解决工程筹建过程中所碰到的困难和问题，确保康绿宝（南雄）科技园的顺利试投产。</w:t>
      </w:r>
      <w:r>
        <w:t>1月19日，康绿宝（南雄）科技</w:t>
      </w:r>
      <w:r>
        <w:rPr>
          <w:rFonts w:hint="eastAsia"/>
        </w:rPr>
        <w:t>园隆重举行宏门落成暨五条生产线投产庆典仪式，为南雄经济发展做出贡献。</w:t>
      </w:r>
    </w:p>
    <w:p w14:paraId="4173B250">
      <w:r>
        <w:t>3.利用侨联平台，引进外力为社会献爱心。4</w:t>
      </w:r>
      <w:r>
        <w:rPr>
          <w:rFonts w:hint="eastAsia"/>
        </w:rPr>
        <w:t>月，市侨联促成香港合力集团董事长、广东省侨联常委、韶关市侨联荣誉主席麦可君女士赠送</w:t>
      </w:r>
      <w:r>
        <w:t>30张</w:t>
      </w:r>
      <w:r>
        <w:rPr>
          <w:rFonts w:hint="eastAsia"/>
        </w:rPr>
        <w:t>棉被，促成广东省侨界仁爱基金会赠送的两袋儿童衣服</w:t>
      </w:r>
      <w:r>
        <w:t>620件。并把棉被分发给本市界址镇敬老院和</w:t>
      </w:r>
      <w:r>
        <w:rPr>
          <w:rFonts w:hint="eastAsia"/>
        </w:rPr>
        <w:t>困难家庭儿童，惠及当地五保老人和困难儿童</w:t>
      </w:r>
      <w:r>
        <w:t>650人。</w:t>
      </w:r>
    </w:p>
    <w:p w14:paraId="6074B9CC">
      <w:pPr>
        <w:pStyle w:val="4"/>
        <w:bidi w:val="0"/>
        <w:rPr>
          <w:rFonts w:hint="eastAsia"/>
        </w:rPr>
      </w:pPr>
      <w:r>
        <w:rPr>
          <w:rFonts w:hint="eastAsia"/>
        </w:rPr>
        <w:t>【加强统战队伍自身建设】</w:t>
      </w:r>
    </w:p>
    <w:p w14:paraId="03311237">
      <w:pPr>
        <w:rPr>
          <w:rFonts w:hint="eastAsia"/>
        </w:rPr>
      </w:pPr>
      <w:r>
        <w:t>1.加强学习。每月坚</w:t>
      </w:r>
      <w:r>
        <w:rPr>
          <w:rFonts w:hint="eastAsia"/>
        </w:rPr>
        <w:t>持组织全体干部职工</w:t>
      </w:r>
      <w:r>
        <w:t>2次以上集体学习，准确把握</w:t>
      </w:r>
      <w:r>
        <w:rPr>
          <w:rFonts w:hint="eastAsia"/>
        </w:rPr>
        <w:t>中央和省、市关于新时期统战工作的新要求，建立健全统战工作领导体制和工作机制，及时研究解决重大问题，为统一战线工作上新台阶创造良好条件。</w:t>
      </w:r>
    </w:p>
    <w:p w14:paraId="06C2C4B0">
      <w:pPr>
        <w:rPr>
          <w:rFonts w:hint="eastAsia"/>
        </w:rPr>
      </w:pPr>
      <w:r>
        <w:t>2.转变作风。以创“五型”（学习型、服务</w:t>
      </w:r>
      <w:r>
        <w:rPr>
          <w:rFonts w:hint="eastAsia"/>
        </w:rPr>
        <w:t>型、创新型、创效能，创和谐型）机关为目标：建设出一支具有全局观念、法制观念、服务意识、创新精神以及严谨工作作风的统战干部队伍，提高履职尽责的能力。</w:t>
      </w:r>
    </w:p>
    <w:p w14:paraId="22E36979">
      <w:pPr>
        <w:rPr>
          <w:rFonts w:hint="eastAsia"/>
        </w:rPr>
      </w:pPr>
      <w:r>
        <w:t>3.抓好扶贫和挂点工作。</w:t>
      </w:r>
      <w:r>
        <w:rPr>
          <w:rFonts w:hint="eastAsia"/>
          <w:lang w:eastAsia="zh-CN"/>
        </w:rPr>
        <w:t>（</w:t>
      </w:r>
      <w:r>
        <w:t>1）做好本部挂点</w:t>
      </w:r>
      <w:r>
        <w:rPr>
          <w:rFonts w:hint="eastAsia"/>
        </w:rPr>
        <w:t>联系企业的跟踪服务工作，全力帮助南雄市天成化工有限公司和韶关长悦高分子材料有限公司遇到的各种问题，做好南雄康绿宝科技园跟踪服务工作。</w:t>
      </w:r>
      <w:r>
        <w:rPr>
          <w:rFonts w:hint="eastAsia"/>
          <w:lang w:eastAsia="zh-CN"/>
        </w:rPr>
        <w:t>（</w:t>
      </w:r>
      <w:r>
        <w:t>2）推进南雄市新一轮扶贫开发“规划到户、责任</w:t>
      </w:r>
      <w:r>
        <w:rPr>
          <w:rFonts w:hint="eastAsia"/>
        </w:rPr>
        <w:t>到人”扶贫工作的落实。加大扶贫开发力度，帮助困难群众改善生产生活条件。统战部班子成员</w:t>
      </w:r>
      <w:r>
        <w:t>2次</w:t>
      </w:r>
      <w:r>
        <w:rPr>
          <w:rFonts w:hint="eastAsia"/>
        </w:rPr>
        <w:t>以上到百顺镇百顺村委会开展扶贫慰问活动，支助村委会</w:t>
      </w:r>
      <w:r>
        <w:t>2000元慰问金和扶持每户贫困户200元的</w:t>
      </w:r>
      <w:r>
        <w:rPr>
          <w:rFonts w:hint="eastAsia"/>
        </w:rPr>
        <w:t>物资，并帮助</w:t>
      </w:r>
      <w:r>
        <w:t>12户贫困户落实全年的生产规划，</w:t>
      </w:r>
      <w:r>
        <w:rPr>
          <w:rFonts w:hint="eastAsia"/>
        </w:rPr>
        <w:t>发展生产项目，调动贫困户生产积极性，鼓励贫困户树立脱贫致富信心。</w:t>
      </w:r>
    </w:p>
    <w:p w14:paraId="5BCAF19B">
      <w:r>
        <w:t>4.做好宣传报到工作。把握正确的舆论导向，</w:t>
      </w:r>
      <w:r>
        <w:rPr>
          <w:rFonts w:hint="eastAsia"/>
        </w:rPr>
        <w:t>创新宣传模式，加大宣传力度，增进对南雄统战工作的认识和了解。</w:t>
      </w:r>
      <w:r>
        <w:t>11月，该部报送稿件到省委统战</w:t>
      </w:r>
      <w:r>
        <w:rPr>
          <w:rFonts w:hint="eastAsia"/>
        </w:rPr>
        <w:t>部和韶关市委统战部</w:t>
      </w:r>
      <w:r>
        <w:t>19编，被省委统战部的“</w:t>
      </w:r>
      <w:r>
        <w:rPr>
          <w:rFonts w:hint="eastAsia"/>
          <w:lang w:val="en-US" w:eastAsia="zh-CN"/>
        </w:rPr>
        <w:t>广</w:t>
      </w:r>
      <w:r>
        <w:rPr>
          <w:rFonts w:hint="eastAsia"/>
        </w:rPr>
        <w:t>东统战工作”期刊采用稿件</w:t>
      </w:r>
      <w:r>
        <w:t>1篇，被韶关市委统战</w:t>
      </w:r>
      <w:r>
        <w:rPr>
          <w:rFonts w:hint="eastAsia"/>
        </w:rPr>
        <w:t>部的“韶关统战信息”期刊采用稿件</w:t>
      </w:r>
      <w:r>
        <w:t>2篇。该市侨</w:t>
      </w:r>
      <w:r>
        <w:rPr>
          <w:rFonts w:hint="eastAsia"/>
        </w:rPr>
        <w:t>联撰写的稿件被有关侨报侨刊和新闻媒体共采用稿件</w:t>
      </w:r>
      <w:r>
        <w:t>119篇，其中：被广东侨联网站用稿51篇：被</w:t>
      </w:r>
      <w:r>
        <w:rPr>
          <w:rFonts w:hint="eastAsia"/>
        </w:rPr>
        <w:t>韶关侨联网站用稿</w:t>
      </w:r>
      <w:r>
        <w:t>59篇；被南雄信息中心用稿5</w:t>
      </w:r>
      <w:r>
        <w:rPr>
          <w:rFonts w:hint="eastAsia"/>
          <w:lang w:val="en-US" w:eastAsia="zh-CN"/>
        </w:rPr>
        <w:t>篇</w:t>
      </w:r>
      <w:r>
        <w:rPr>
          <w:rFonts w:hint="eastAsia"/>
        </w:rPr>
        <w:t>；被《珠玑》杂志用稿</w:t>
      </w:r>
      <w:r>
        <w:t>4篇。</w:t>
      </w:r>
    </w:p>
    <w:p w14:paraId="61B42854">
      <w:pPr>
        <w:pStyle w:val="10"/>
        <w:bidi w:val="0"/>
        <w:rPr>
          <w:b/>
          <w:bCs/>
        </w:rPr>
      </w:pPr>
      <w:r>
        <w:rPr>
          <w:rFonts w:hint="eastAsia"/>
          <w:b/>
          <w:bCs/>
        </w:rPr>
        <w:t>附：</w:t>
      </w:r>
      <w:r>
        <w:rPr>
          <w:b/>
          <w:bCs/>
        </w:rPr>
        <w:t>2013年市委统战部领导班子成员名单</w:t>
      </w:r>
    </w:p>
    <w:p w14:paraId="5FCD9EED">
      <w:pPr>
        <w:pStyle w:val="10"/>
        <w:bidi w:val="0"/>
        <w:rPr>
          <w:rFonts w:hint="eastAsia"/>
          <w:lang w:eastAsia="zh-CN"/>
        </w:rPr>
      </w:pPr>
      <w:r>
        <w:rPr>
          <w:rFonts w:hint="eastAsia"/>
          <w:b/>
          <w:bCs/>
        </w:rPr>
        <w:t>部</w:t>
      </w:r>
      <w:r>
        <w:rPr>
          <w:rFonts w:hint="eastAsia"/>
          <w:b/>
          <w:bCs/>
          <w:lang w:val="en-US" w:eastAsia="zh-CN"/>
        </w:rPr>
        <w:t xml:space="preserve">  </w:t>
      </w:r>
      <w:r>
        <w:rPr>
          <w:rFonts w:hint="eastAsia"/>
          <w:b/>
          <w:bCs/>
        </w:rPr>
        <w:t>长：</w:t>
      </w:r>
      <w:r>
        <w:rPr>
          <w:rFonts w:hint="eastAsia"/>
        </w:rPr>
        <w:t>朱海兵（兼</w:t>
      </w:r>
      <w:r>
        <w:rPr>
          <w:rFonts w:hint="eastAsia"/>
          <w:lang w:eastAsia="zh-CN"/>
        </w:rPr>
        <w:t>）</w:t>
      </w:r>
    </w:p>
    <w:p w14:paraId="2FB0C93F">
      <w:pPr>
        <w:pStyle w:val="10"/>
        <w:bidi w:val="0"/>
        <w:rPr>
          <w:rFonts w:hint="eastAsia"/>
        </w:rPr>
      </w:pPr>
      <w:r>
        <w:rPr>
          <w:rFonts w:hint="eastAsia"/>
          <w:b/>
          <w:bCs/>
        </w:rPr>
        <w:t>副部长：</w:t>
      </w:r>
      <w:r>
        <w:rPr>
          <w:rFonts w:hint="eastAsia"/>
        </w:rPr>
        <w:t>张英军</w:t>
      </w:r>
      <w:r>
        <w:rPr>
          <w:rFonts w:hint="eastAsia"/>
          <w:lang w:val="en-US" w:eastAsia="zh-CN"/>
        </w:rPr>
        <w:t xml:space="preserve">   </w:t>
      </w:r>
      <w:r>
        <w:rPr>
          <w:rFonts w:hint="eastAsia"/>
        </w:rPr>
        <w:t>董祖明</w:t>
      </w:r>
      <w:r>
        <w:rPr>
          <w:rFonts w:hint="eastAsia"/>
          <w:lang w:val="en-US" w:eastAsia="zh-CN"/>
        </w:rPr>
        <w:t xml:space="preserve">   </w:t>
      </w:r>
      <w:r>
        <w:rPr>
          <w:rFonts w:hint="eastAsia"/>
        </w:rPr>
        <w:t>陈</w:t>
      </w:r>
      <w:r>
        <w:rPr>
          <w:rFonts w:hint="eastAsia"/>
          <w:lang w:val="en-US" w:eastAsia="zh-CN"/>
        </w:rPr>
        <w:t xml:space="preserve">  </w:t>
      </w:r>
      <w:r>
        <w:rPr>
          <w:rFonts w:hint="eastAsia"/>
        </w:rPr>
        <w:t>烈</w:t>
      </w:r>
      <w:r>
        <w:rPr>
          <w:rFonts w:hint="eastAsia"/>
          <w:lang w:val="en-US" w:eastAsia="zh-CN"/>
        </w:rPr>
        <w:t xml:space="preserve">   </w:t>
      </w:r>
      <w:r>
        <w:rPr>
          <w:rFonts w:hint="eastAsia"/>
        </w:rPr>
        <w:t>罗青洋</w:t>
      </w:r>
    </w:p>
    <w:p w14:paraId="52C73E1B">
      <w:pPr>
        <w:pStyle w:val="10"/>
        <w:bidi w:val="0"/>
        <w:rPr>
          <w:rFonts w:hint="eastAsia"/>
        </w:rPr>
      </w:pPr>
      <w:r>
        <w:rPr>
          <w:rFonts w:hint="eastAsia"/>
          <w:b/>
          <w:bCs/>
        </w:rPr>
        <w:t>侨联副主席：</w:t>
      </w:r>
      <w:r>
        <w:rPr>
          <w:rFonts w:hint="eastAsia"/>
        </w:rPr>
        <w:t>刘志梅</w:t>
      </w:r>
    </w:p>
    <w:p w14:paraId="41D7B85B">
      <w:pPr>
        <w:pStyle w:val="3"/>
        <w:bidi w:val="0"/>
        <w:rPr>
          <w:rFonts w:hint="default"/>
          <w:lang w:val="en-US" w:eastAsia="zh-CN"/>
        </w:rPr>
      </w:pPr>
      <w:r>
        <w:rPr>
          <w:rFonts w:hint="eastAsia"/>
          <w:lang w:val="en-US" w:eastAsia="zh-CN"/>
        </w:rPr>
        <w:t>老干部工作</w:t>
      </w:r>
    </w:p>
    <w:p w14:paraId="753B2745">
      <w:pPr>
        <w:pStyle w:val="4"/>
        <w:bidi w:val="0"/>
        <w:rPr>
          <w:rFonts w:hint="eastAsia"/>
        </w:rPr>
      </w:pPr>
      <w:r>
        <w:rPr>
          <w:rFonts w:hint="eastAsia"/>
        </w:rPr>
        <w:t>【概况】</w:t>
      </w:r>
    </w:p>
    <w:p w14:paraId="51621B33">
      <w:pPr>
        <w:rPr>
          <w:rFonts w:hint="eastAsia"/>
        </w:rPr>
      </w:pPr>
      <w:r>
        <w:rPr>
          <w:rFonts w:hint="eastAsia"/>
        </w:rPr>
        <w:t>中共南雄市委老干部局是市委主管全市离退休干部工作机构，成立于</w:t>
      </w:r>
      <w:r>
        <w:t>1983年11月。2001</w:t>
      </w:r>
      <w:r>
        <w:rPr>
          <w:rFonts w:hint="eastAsia"/>
        </w:rPr>
        <w:t>年，机构改革将中共南雄市委离休退休干部工作局改为现名，设有办公室、离休股、退休股</w:t>
      </w:r>
      <w:r>
        <w:t>3个职能</w:t>
      </w:r>
      <w:r>
        <w:rPr>
          <w:rFonts w:hint="eastAsia"/>
        </w:rPr>
        <w:t>股（室），核实编制</w:t>
      </w:r>
      <w:r>
        <w:t>6名，其中领导职数3名（1</w:t>
      </w:r>
      <w:r>
        <w:rPr>
          <w:rFonts w:hint="eastAsia"/>
        </w:rPr>
        <w:t>正</w:t>
      </w:r>
      <w:r>
        <w:t>2副），其他干部3名（全部为股长职数），后勤</w:t>
      </w:r>
      <w:r>
        <w:rPr>
          <w:rFonts w:hint="eastAsia"/>
        </w:rPr>
        <w:t>编制</w:t>
      </w:r>
      <w:r>
        <w:t>1名，总编制7名。局下设1个公益一类事业</w:t>
      </w:r>
      <w:r>
        <w:rPr>
          <w:rFonts w:hint="eastAsia"/>
        </w:rPr>
        <w:t>单位——南雄市老干部活动中心，定编</w:t>
      </w:r>
      <w:r>
        <w:t>5名。老干</w:t>
      </w:r>
      <w:r>
        <w:rPr>
          <w:rFonts w:hint="eastAsia"/>
        </w:rPr>
        <w:t>部活动中心总建筑面积</w:t>
      </w:r>
      <w:r>
        <w:t>1400多平方米，集学习</w:t>
      </w:r>
      <w:r>
        <w:rPr>
          <w:rFonts w:hint="eastAsia"/>
          <w:lang w:eastAsia="zh-CN"/>
        </w:rPr>
        <w:t>、</w:t>
      </w:r>
      <w:r>
        <w:rPr>
          <w:rFonts w:hint="eastAsia"/>
        </w:rPr>
        <w:t>娱乐、健身、休闲为一体，内设天九、麻将、象棋、乒乓球、健身、阅览等多个娱乐活动室，是全市唯一功能齐全，服务优质的老干部活动场所。现有干部职工</w:t>
      </w:r>
      <w:r>
        <w:t>5人，其中正副主任各1人，一般职工3人。另外市区还设有门球场2个，每个季度都组</w:t>
      </w:r>
      <w:r>
        <w:rPr>
          <w:rFonts w:hint="eastAsia"/>
        </w:rPr>
        <w:t>织老干部开展门球赛。</w:t>
      </w:r>
    </w:p>
    <w:p w14:paraId="53324118">
      <w:pPr>
        <w:pStyle w:val="4"/>
        <w:bidi w:val="0"/>
        <w:rPr>
          <w:rFonts w:hint="eastAsia"/>
          <w:lang w:eastAsia="zh-CN"/>
        </w:rPr>
      </w:pPr>
      <w:r>
        <w:rPr>
          <w:rFonts w:hint="eastAsia"/>
          <w:lang w:eastAsia="zh-CN"/>
        </w:rPr>
        <w:t>【</w:t>
      </w:r>
      <w:r>
        <w:rPr>
          <w:rFonts w:hint="eastAsia"/>
        </w:rPr>
        <w:t>老干部政治待遇</w:t>
      </w:r>
      <w:r>
        <w:rPr>
          <w:rFonts w:hint="eastAsia"/>
          <w:lang w:eastAsia="zh-CN"/>
        </w:rPr>
        <w:t>】</w:t>
      </w:r>
    </w:p>
    <w:p w14:paraId="5A855672">
      <w:pPr>
        <w:rPr>
          <w:rFonts w:hint="eastAsia"/>
        </w:rPr>
      </w:pPr>
      <w:r>
        <w:rPr>
          <w:rFonts w:hint="eastAsia"/>
        </w:rPr>
        <w:t>是坚持通报工作制度，</w:t>
      </w:r>
      <w:r>
        <w:t>2013年2月1日，该市在迎宾馆1号会议室召开全</w:t>
      </w:r>
      <w:r>
        <w:rPr>
          <w:rFonts w:hint="eastAsia"/>
        </w:rPr>
        <w:t>市离休干部和副处级以上退休干部迎春茶话会，参会离退休老干部与在家市四套班子领导欢聚一堂、共叙情谊、共商发展大计。二是坚持学习制度。</w:t>
      </w:r>
      <w:r>
        <w:t>2013年为全市离休干部个人征订《广东省老干部政</w:t>
      </w:r>
      <w:r>
        <w:rPr>
          <w:rFonts w:hint="eastAsia"/>
          <w:lang w:val="en-US" w:eastAsia="zh-CN"/>
        </w:rPr>
        <w:t>治</w:t>
      </w:r>
      <w:r>
        <w:rPr>
          <w:rFonts w:hint="eastAsia"/>
        </w:rPr>
        <w:t>理论读本》、《秋光》、《老人报》等学习资料</w:t>
      </w:r>
      <w:r>
        <w:t>500</w:t>
      </w:r>
      <w:r>
        <w:rPr>
          <w:rFonts w:hint="eastAsia"/>
        </w:rPr>
        <w:t>多份，同时，市老干部活动中心还征订《人民日报》、《家庭医生》、《老年报》等</w:t>
      </w:r>
      <w:r>
        <w:t>12种报刊杂志，</w:t>
      </w:r>
      <w:r>
        <w:rPr>
          <w:rFonts w:hint="eastAsia"/>
        </w:rPr>
        <w:t>供老同志阅读，丰富老同志的精神文化生活。三是坚持邀请老干部参加重要会议和重大活动制度。市里召开的人大会、政协会、民主推荐干部大会等重要会议和重大活动都邀请老干部参加，并安排他们在主席台或会场前排就坐，让老干部参政议政。</w:t>
      </w:r>
    </w:p>
    <w:p w14:paraId="46F0CC03">
      <w:pPr>
        <w:pStyle w:val="4"/>
        <w:bidi w:val="0"/>
        <w:rPr>
          <w:rFonts w:hint="eastAsia"/>
        </w:rPr>
      </w:pPr>
      <w:r>
        <w:rPr>
          <w:rFonts w:hint="eastAsia"/>
        </w:rPr>
        <w:t>【老</w:t>
      </w:r>
      <w:r>
        <w:rPr>
          <w:rFonts w:hint="eastAsia"/>
          <w:lang w:val="en-US" w:eastAsia="zh-CN"/>
        </w:rPr>
        <w:t>干</w:t>
      </w:r>
      <w:r>
        <w:rPr>
          <w:rFonts w:hint="eastAsia"/>
        </w:rPr>
        <w:t>部生活待遇】</w:t>
      </w:r>
    </w:p>
    <w:p w14:paraId="0C988592">
      <w:r>
        <w:rPr>
          <w:rFonts w:hint="eastAsia"/>
        </w:rPr>
        <w:t>一是督促各单位落实好离休干部生活待遇，确保各单位及时把本单位离休干部“七一”增发</w:t>
      </w:r>
      <w:r>
        <w:t>1个月基本离休费足额发放给离休干</w:t>
      </w:r>
      <w:r>
        <w:rPr>
          <w:rFonts w:hint="eastAsia"/>
        </w:rPr>
        <w:t>部。二是及时调整增加离退休干部生活福利待遇，为</w:t>
      </w:r>
      <w:r>
        <w:t>5名生活不能自理的离休干部提高了护理费，由</w:t>
      </w:r>
      <w:r>
        <w:rPr>
          <w:rFonts w:hint="eastAsia"/>
        </w:rPr>
        <w:t>每月</w:t>
      </w:r>
      <w:r>
        <w:t>250元提高到800元。截止2013年底，全市有22名离休干部护理费标准提高到800元。</w:t>
      </w:r>
    </w:p>
    <w:p w14:paraId="6A376F66">
      <w:pPr>
        <w:pStyle w:val="4"/>
        <w:bidi w:val="0"/>
        <w:rPr>
          <w:rFonts w:hint="eastAsia"/>
        </w:rPr>
      </w:pPr>
      <w:r>
        <w:rPr>
          <w:rFonts w:hint="eastAsia"/>
        </w:rPr>
        <w:t>【离休干部医药费管理】</w:t>
      </w:r>
    </w:p>
    <w:p w14:paraId="1525F608">
      <w:pPr>
        <w:rPr>
          <w:rFonts w:hint="eastAsia"/>
          <w:lang w:eastAsia="zh-CN"/>
        </w:rPr>
      </w:pPr>
      <w:r>
        <w:rPr>
          <w:rFonts w:hint="eastAsia"/>
        </w:rPr>
        <w:t>落实离休干部医药费管理机制。一是在对离休干部医药费采取分段结账报帐方法基础上，对医药费金额较大且老干部家庭经济较困难的，采取老</w:t>
      </w:r>
      <w:r>
        <w:rPr>
          <w:rFonts w:hint="eastAsia"/>
          <w:lang w:val="en-US" w:eastAsia="zh-CN"/>
        </w:rPr>
        <w:t>干</w:t>
      </w:r>
      <w:r>
        <w:rPr>
          <w:rFonts w:hint="eastAsia"/>
        </w:rPr>
        <w:t>局经费先行垫付，分段报账时再补上的特事特办方式，解决老干部燃眉之急。</w:t>
      </w:r>
      <w:r>
        <w:rPr>
          <w:rFonts w:hint="eastAsia"/>
          <w:lang w:val="en-US" w:eastAsia="zh-CN"/>
        </w:rPr>
        <w:t>二</w:t>
      </w:r>
      <w:r>
        <w:rPr>
          <w:rFonts w:hint="eastAsia"/>
        </w:rPr>
        <w:t>是实行离休干部医药费节约奖励办法（对有病看病、小病节约、健康奖励的办法），规定“凡离休干部全年不报医药费的奖励</w:t>
      </w:r>
      <w:r>
        <w:t>2000元，一年内报销</w:t>
      </w:r>
      <w:r>
        <w:rPr>
          <w:rFonts w:hint="eastAsia"/>
        </w:rPr>
        <w:t>医药费在</w:t>
      </w:r>
      <w:r>
        <w:t>1000元以下（含1000元）的奖励1000</w:t>
      </w:r>
      <w:r>
        <w:rPr>
          <w:rFonts w:hint="eastAsia"/>
        </w:rPr>
        <w:t>元，一年内报销医药费在</w:t>
      </w:r>
      <w:r>
        <w:t>1000元以上、2000元以</w:t>
      </w:r>
      <w:r>
        <w:rPr>
          <w:rFonts w:hint="eastAsia"/>
        </w:rPr>
        <w:t>下的奖励</w:t>
      </w:r>
      <w:r>
        <w:t>500元”。既确保医药费不拖欠，又较好</w:t>
      </w:r>
      <w:r>
        <w:rPr>
          <w:rFonts w:hint="eastAsia"/>
        </w:rPr>
        <w:t>地堵住漏洞，减轻财政负担</w:t>
      </w:r>
      <w:r>
        <w:rPr>
          <w:rFonts w:hint="eastAsia"/>
          <w:lang w:eastAsia="zh-CN"/>
        </w:rPr>
        <w:t>。</w:t>
      </w:r>
    </w:p>
    <w:p w14:paraId="319A4C6B">
      <w:pPr>
        <w:pStyle w:val="4"/>
        <w:bidi w:val="0"/>
        <w:rPr>
          <w:rFonts w:hint="eastAsia"/>
        </w:rPr>
      </w:pPr>
      <w:r>
        <w:rPr>
          <w:rFonts w:hint="eastAsia"/>
        </w:rPr>
        <w:t>【走访慰问老干部】</w:t>
      </w:r>
    </w:p>
    <w:p w14:paraId="2F0A8EE8">
      <w:pPr>
        <w:rPr>
          <w:rFonts w:hint="eastAsia"/>
        </w:rPr>
      </w:pPr>
      <w:r>
        <w:rPr>
          <w:rFonts w:hint="eastAsia"/>
        </w:rPr>
        <w:t>一是</w:t>
      </w:r>
      <w:r>
        <w:t>2013年春节前夕，组织</w:t>
      </w:r>
      <w:r>
        <w:rPr>
          <w:rFonts w:hint="eastAsia"/>
        </w:rPr>
        <w:t>各镇（街道）、市直副科以上单位，对全市离休干部和副科级以上退休干部、</w:t>
      </w:r>
      <w:r>
        <w:t>2012年已故离休干部和</w:t>
      </w:r>
      <w:r>
        <w:rPr>
          <w:rFonts w:hint="eastAsia"/>
        </w:rPr>
        <w:t>副科级以上退休干部遗属进行慰问，代表市委、市政府送去慰问金和慰问信。二是</w:t>
      </w:r>
      <w:r>
        <w:t>2月4日，市委常</w:t>
      </w:r>
      <w:r>
        <w:rPr>
          <w:rFonts w:hint="eastAsia"/>
        </w:rPr>
        <w:t>委、组织部长带领市委老干部局、市人民医院、市中医院的领导到医院看望正在接受住院治疗的离退休干部。三是</w:t>
      </w:r>
      <w:r>
        <w:t>2013年中秋节前夕，为离休干部和</w:t>
      </w:r>
      <w:r>
        <w:rPr>
          <w:rFonts w:hint="eastAsia"/>
        </w:rPr>
        <w:t>副处以上退休干部送上月饼，重阳节期间对部分离休干部进行走访慰问。四是为离休干部过</w:t>
      </w:r>
      <w:r>
        <w:t>80岁生</w:t>
      </w:r>
      <w:r>
        <w:rPr>
          <w:rFonts w:hint="eastAsia"/>
        </w:rPr>
        <w:t>日。</w:t>
      </w:r>
      <w:r>
        <w:t>10月11日，市委常委、组织部长与局领导提</w:t>
      </w:r>
      <w:r>
        <w:rPr>
          <w:rFonts w:hint="eastAsia"/>
        </w:rPr>
        <w:t>着蛋糕和带上慰问金，分别到</w:t>
      </w:r>
      <w:r>
        <w:t>4位80岁的离休干</w:t>
      </w:r>
      <w:r>
        <w:rPr>
          <w:rFonts w:hint="eastAsia"/>
        </w:rPr>
        <w:t>部家中，为离休干部过</w:t>
      </w:r>
      <w:r>
        <w:t>80岁生日，祝愿离休干部</w:t>
      </w:r>
      <w:r>
        <w:rPr>
          <w:rFonts w:hint="eastAsia"/>
        </w:rPr>
        <w:t>健康长寿、阖家幸福。</w:t>
      </w:r>
    </w:p>
    <w:p w14:paraId="772B0A36">
      <w:pPr>
        <w:pStyle w:val="4"/>
        <w:bidi w:val="0"/>
        <w:rPr>
          <w:rFonts w:hint="eastAsia"/>
        </w:rPr>
      </w:pPr>
      <w:r>
        <w:rPr>
          <w:rFonts w:hint="eastAsia"/>
        </w:rPr>
        <w:t>【加强老干部活动管理】</w:t>
      </w:r>
    </w:p>
    <w:p w14:paraId="48C9532F">
      <w:pPr>
        <w:rPr>
          <w:rFonts w:hint="eastAsia"/>
        </w:rPr>
      </w:pPr>
      <w:r>
        <w:rPr>
          <w:rFonts w:hint="eastAsia"/>
        </w:rPr>
        <w:t>加强老干部学习活动场所建设和管理，为老干部学习活动提供一个安全放心的场所，以活动中心为阵地，除节假日外，每天都安排老干部参加跳舞、乒乓球、棋牌以及其他健身、书画指导等有益心身健康的文体活动。</w:t>
      </w:r>
    </w:p>
    <w:p w14:paraId="28BF20FF">
      <w:pPr>
        <w:pStyle w:val="4"/>
        <w:bidi w:val="0"/>
        <w:rPr>
          <w:rFonts w:hint="eastAsia"/>
        </w:rPr>
      </w:pPr>
      <w:r>
        <w:rPr>
          <w:rFonts w:hint="eastAsia"/>
        </w:rPr>
        <w:t>【组织老干部开展各项文体活动】</w:t>
      </w:r>
    </w:p>
    <w:p w14:paraId="70F84EA0">
      <w:pPr>
        <w:rPr>
          <w:rFonts w:hint="eastAsia"/>
        </w:rPr>
      </w:pPr>
      <w:r>
        <w:rPr>
          <w:rFonts w:hint="eastAsia"/>
        </w:rPr>
        <w:t>组织老干部开展丰富多彩、有益身心健康文体活动，丰富老干部晚年生活。一是</w:t>
      </w:r>
      <w:r>
        <w:t>2013年4个季度定期开展季度门</w:t>
      </w:r>
      <w:r>
        <w:rPr>
          <w:rFonts w:hint="eastAsia"/>
        </w:rPr>
        <w:t>球赛，共组织</w:t>
      </w:r>
      <w:r>
        <w:t>4期400多人次参加；二是10月8日</w:t>
      </w:r>
      <w:r>
        <w:rPr>
          <w:rFonts w:hint="eastAsia"/>
        </w:rPr>
        <w:t>至</w:t>
      </w:r>
      <w:r>
        <w:t>10月9日举办“老人节”综合文体比赛活动，</w:t>
      </w:r>
      <w:r>
        <w:rPr>
          <w:rFonts w:hint="eastAsia"/>
        </w:rPr>
        <w:t>来自全市各镇、市直机关、企事业单位</w:t>
      </w:r>
      <w:r>
        <w:t>200多名离</w:t>
      </w:r>
      <w:r>
        <w:rPr>
          <w:rFonts w:hint="eastAsia"/>
        </w:rPr>
        <w:t>退休干部参加门球、麻将、天九、乒乓球、扑克等多个项目文体比赛活动。</w:t>
      </w:r>
      <w:r>
        <w:t>10月11日上午，在市老</w:t>
      </w:r>
      <w:r>
        <w:rPr>
          <w:rFonts w:hint="eastAsia"/>
        </w:rPr>
        <w:t>干部活动中心召开比赛颁奖大会。三是组织老干部开展各种节日纪念活动。</w:t>
      </w:r>
    </w:p>
    <w:p w14:paraId="649BA11A">
      <w:pPr>
        <w:pStyle w:val="4"/>
        <w:bidi w:val="0"/>
        <w:rPr>
          <w:rFonts w:hint="eastAsia"/>
        </w:rPr>
      </w:pPr>
      <w:r>
        <w:rPr>
          <w:rFonts w:hint="eastAsia"/>
        </w:rPr>
        <w:t>【引导老干部发挥作用】</w:t>
      </w:r>
    </w:p>
    <w:p w14:paraId="716E0D3A">
      <w:pPr>
        <w:rPr>
          <w:rFonts w:hint="eastAsia"/>
        </w:rPr>
      </w:pPr>
      <w:r>
        <w:rPr>
          <w:rFonts w:hint="eastAsia"/>
        </w:rPr>
        <w:t>依托老促会、关工委、老游击战士联谊会</w:t>
      </w:r>
      <w:r>
        <w:t>3个平台，引导老干部为南雄经</w:t>
      </w:r>
      <w:r>
        <w:rPr>
          <w:rFonts w:hint="eastAsia"/>
        </w:rPr>
        <w:t>济社会发展贡献力量。老促会领导多次深入三年游击战会师旧址和珠江纵队休整地油山镇大兰村委会廖地村调研，先后筹资</w:t>
      </w:r>
      <w:r>
        <w:t>20多万元，其中14万元用</w:t>
      </w:r>
      <w:r>
        <w:rPr>
          <w:rFonts w:hint="eastAsia"/>
        </w:rPr>
        <w:t>于修路、</w:t>
      </w:r>
      <w:r>
        <w:t>6万元用于修复此处革命遗址，把其建成</w:t>
      </w:r>
      <w:r>
        <w:rPr>
          <w:rFonts w:hint="eastAsia"/>
        </w:rPr>
        <w:t>爱国主义教育基地和红色旅游景点。关工委继续做好扶贫助学，资助贫困学生和农村中小学建设，加强未成年人思想品德教育，组织农村创业青年培训，对农村创业青年进行培训。老游击战士联谊会发挥自身优势，在爱国主义教育基地或者各中小学校中，为中小学生生动地讲述革命战争史，在为青少年进行革命传统教育方面成效显著。</w:t>
      </w:r>
    </w:p>
    <w:p w14:paraId="43E6DB35">
      <w:pPr>
        <w:pStyle w:val="4"/>
        <w:bidi w:val="0"/>
        <w:rPr>
          <w:rFonts w:hint="eastAsia"/>
        </w:rPr>
      </w:pPr>
      <w:r>
        <w:rPr>
          <w:rFonts w:hint="eastAsia"/>
        </w:rPr>
        <w:t>【加强自身建设】</w:t>
      </w:r>
    </w:p>
    <w:p w14:paraId="06185ACA">
      <w:pPr>
        <w:rPr>
          <w:rFonts w:hint="eastAsia"/>
        </w:rPr>
      </w:pPr>
      <w:r>
        <w:rPr>
          <w:rFonts w:hint="eastAsia"/>
          <w:lang w:val="en-US" w:eastAsia="zh-CN"/>
        </w:rPr>
        <w:t>一</w:t>
      </w:r>
      <w:r>
        <w:rPr>
          <w:rFonts w:hint="eastAsia"/>
        </w:rPr>
        <w:t>是坚持集中学习制度，落实好每周五干部职工集中学习日制度，提高干部职工理论素养和业务水平；二是扎实开展“面向基层</w:t>
      </w:r>
      <w:r>
        <w:rPr>
          <w:rFonts w:hint="eastAsia"/>
          <w:lang w:eastAsia="zh-CN"/>
        </w:rPr>
        <w:t>、</w:t>
      </w:r>
      <w:r>
        <w:rPr>
          <w:rFonts w:hint="eastAsia"/>
        </w:rPr>
        <w:t>整顿作风、服务群众”活动、纪律教育学习月等</w:t>
      </w:r>
      <w:r>
        <w:rPr>
          <w:rFonts w:hint="eastAsia"/>
          <w:lang w:val="en-US" w:eastAsia="zh-CN"/>
        </w:rPr>
        <w:t>一</w:t>
      </w:r>
      <w:r>
        <w:rPr>
          <w:rFonts w:hint="eastAsia"/>
        </w:rPr>
        <w:t>系列教育活动，增强为老干部服务的责任感和荣誉感；三是继续健全和完善一系列老干部工作制度，有效地保障老干部工作规范、高效、有序开展。</w:t>
      </w:r>
    </w:p>
    <w:p w14:paraId="639389E4">
      <w:pPr>
        <w:jc w:val="right"/>
        <w:rPr>
          <w:rFonts w:hint="eastAsia"/>
          <w:b/>
          <w:bCs/>
        </w:rPr>
      </w:pPr>
      <w:r>
        <w:rPr>
          <w:rFonts w:hint="eastAsia"/>
          <w:b/>
          <w:bCs/>
        </w:rPr>
        <w:t>（赖毅鹏）</w:t>
      </w:r>
    </w:p>
    <w:p w14:paraId="64D49869">
      <w:pPr>
        <w:pStyle w:val="10"/>
        <w:bidi w:val="0"/>
        <w:rPr>
          <w:b/>
          <w:bCs/>
        </w:rPr>
      </w:pPr>
      <w:r>
        <w:rPr>
          <w:rFonts w:hint="eastAsia"/>
          <w:b/>
          <w:bCs/>
        </w:rPr>
        <w:t>附：</w:t>
      </w:r>
      <w:r>
        <w:rPr>
          <w:b/>
          <w:bCs/>
        </w:rPr>
        <w:t>2013年市老干部局领导班子成员名单</w:t>
      </w:r>
    </w:p>
    <w:p w14:paraId="1076B056">
      <w:pPr>
        <w:pStyle w:val="10"/>
        <w:bidi w:val="0"/>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陈章分（兼）</w:t>
      </w:r>
    </w:p>
    <w:p w14:paraId="2E05E5CB">
      <w:pPr>
        <w:pStyle w:val="10"/>
        <w:bidi w:val="0"/>
        <w:rPr>
          <w:rFonts w:hint="eastAsia"/>
        </w:rPr>
      </w:pPr>
      <w:r>
        <w:rPr>
          <w:rFonts w:hint="eastAsia"/>
          <w:b/>
          <w:bCs/>
        </w:rPr>
        <w:t>副局长：</w:t>
      </w:r>
      <w:r>
        <w:rPr>
          <w:rFonts w:hint="eastAsia"/>
        </w:rPr>
        <w:t>曾冠雄</w:t>
      </w:r>
      <w:r>
        <w:rPr>
          <w:rFonts w:hint="eastAsia"/>
          <w:lang w:val="en-US" w:eastAsia="zh-CN"/>
        </w:rPr>
        <w:t xml:space="preserve">   </w:t>
      </w:r>
      <w:r>
        <w:rPr>
          <w:rFonts w:hint="eastAsia"/>
        </w:rPr>
        <w:t>饶纪有</w:t>
      </w:r>
    </w:p>
    <w:p w14:paraId="49145D8E">
      <w:pPr>
        <w:pStyle w:val="3"/>
        <w:bidi w:val="0"/>
        <w:rPr>
          <w:rFonts w:hint="default"/>
          <w:lang w:val="en-US" w:eastAsia="zh-CN"/>
        </w:rPr>
      </w:pPr>
      <w:r>
        <w:rPr>
          <w:rFonts w:hint="eastAsia"/>
          <w:lang w:val="en-US" w:eastAsia="zh-CN"/>
        </w:rPr>
        <w:t>机构编制</w:t>
      </w:r>
    </w:p>
    <w:p w14:paraId="799D84AC">
      <w:pPr>
        <w:pStyle w:val="4"/>
        <w:bidi w:val="0"/>
        <w:rPr>
          <w:rFonts w:hint="eastAsia"/>
        </w:rPr>
      </w:pPr>
      <w:r>
        <w:rPr>
          <w:rFonts w:hint="eastAsia"/>
        </w:rPr>
        <w:t>【概况】</w:t>
      </w:r>
    </w:p>
    <w:p w14:paraId="15CE7CA7">
      <w:pPr>
        <w:rPr>
          <w:rFonts w:hint="eastAsia"/>
        </w:rPr>
      </w:pPr>
      <w:r>
        <w:rPr>
          <w:rFonts w:hint="eastAsia"/>
        </w:rPr>
        <w:t>南雄市机构编制委员会办公室是市机构编制委员会常设办事机构，负责全市行政管理体制改革和机构改革、事业单位管理体制改革及机构编制日常管理工作。</w:t>
      </w:r>
      <w:r>
        <w:t>1994年4月，南雄县编制委员会</w:t>
      </w:r>
      <w:r>
        <w:rPr>
          <w:rFonts w:hint="eastAsia"/>
        </w:rPr>
        <w:t>办公室更名为南雄县机构编制委员会办公室，名称沿用至今。</w:t>
      </w:r>
      <w:r>
        <w:t>1997年4月，南雄市机构编制委员会办</w:t>
      </w:r>
      <w:r>
        <w:rPr>
          <w:rFonts w:hint="eastAsia"/>
        </w:rPr>
        <w:t>公室调整为正科级，挂靠在市人事局。</w:t>
      </w:r>
      <w:r>
        <w:t>2002年2</w:t>
      </w:r>
      <w:r>
        <w:rPr>
          <w:rFonts w:hint="eastAsia"/>
        </w:rPr>
        <w:t>月，南雄市机构编制委员会办公室调整为与市人事局合署办公。</w:t>
      </w:r>
      <w:r>
        <w:t>2010年8月，南雄市机构编制委员会</w:t>
      </w:r>
      <w:r>
        <w:rPr>
          <w:rFonts w:hint="eastAsia"/>
        </w:rPr>
        <w:t>办公室调整为单独设置，既是市委的工作部门，又是市政府的工作部门，列市委机构序列。内设</w:t>
      </w:r>
      <w:r>
        <w:t>3个</w:t>
      </w:r>
      <w:r>
        <w:rPr>
          <w:rFonts w:hint="eastAsia"/>
        </w:rPr>
        <w:t>股室：综合股、机构编制股、监督检</w:t>
      </w:r>
      <w:r>
        <w:rPr>
          <w:rFonts w:hint="eastAsia"/>
          <w:lang w:eastAsia="zh-CN"/>
        </w:rPr>
        <w:t>查</w:t>
      </w:r>
      <w:r>
        <w:rPr>
          <w:rFonts w:hint="eastAsia"/>
        </w:rPr>
        <w:t>股，</w:t>
      </w:r>
      <w:r>
        <w:t>1个直</w:t>
      </w:r>
      <w:r>
        <w:rPr>
          <w:rFonts w:hint="eastAsia"/>
        </w:rPr>
        <w:t>属副科级行政单位：南雄市事业单位登记管理局。</w:t>
      </w:r>
    </w:p>
    <w:p w14:paraId="6F30DEE8">
      <w:pPr>
        <w:pStyle w:val="4"/>
        <w:bidi w:val="0"/>
        <w:rPr>
          <w:rFonts w:hint="eastAsia"/>
        </w:rPr>
      </w:pPr>
      <w:r>
        <w:rPr>
          <w:rFonts w:hint="eastAsia"/>
        </w:rPr>
        <w:t>【行政审批制度改革】</w:t>
      </w:r>
    </w:p>
    <w:p w14:paraId="437C3BC4">
      <w:pPr>
        <w:rPr>
          <w:rFonts w:hint="eastAsia"/>
        </w:rPr>
      </w:pPr>
      <w:r>
        <w:rPr>
          <w:rFonts w:hint="eastAsia"/>
        </w:rPr>
        <w:t>全面部署行政审批制度改革工作并成立南雄市转变政府职能决策咨询委员会。由市长任主任，分管副市长任副主任，邀请市人大代表、政协委员为成员，加强对行政审批制度改革工作的领导，提高转变政府职能决策的科学化、民主化水平。</w:t>
      </w:r>
      <w:r>
        <w:t>2013年，通过南雄市人民政府1</w:t>
      </w:r>
      <w:r>
        <w:rPr>
          <w:rFonts w:hint="eastAsia"/>
        </w:rPr>
        <w:t>号令公布《南雄市人民政府</w:t>
      </w:r>
      <w:r>
        <w:t>2013年行政审批制度</w:t>
      </w:r>
      <w:r>
        <w:rPr>
          <w:rFonts w:hint="eastAsia"/>
        </w:rPr>
        <w:t>改革事项目录》，其中取消行政审批事项</w:t>
      </w:r>
      <w:r>
        <w:t>60项、转</w:t>
      </w:r>
      <w:r>
        <w:rPr>
          <w:rFonts w:hint="eastAsia"/>
        </w:rPr>
        <w:t>移</w:t>
      </w:r>
      <w:r>
        <w:t>16项、下放6项，行政审批制度改革取得阶段</w:t>
      </w:r>
      <w:r>
        <w:rPr>
          <w:rFonts w:hint="eastAsia"/>
        </w:rPr>
        <w:t>性成果。</w:t>
      </w:r>
    </w:p>
    <w:p w14:paraId="7B1FA4F1">
      <w:pPr>
        <w:pStyle w:val="4"/>
        <w:bidi w:val="0"/>
        <w:rPr>
          <w:rFonts w:hint="eastAsia"/>
        </w:rPr>
      </w:pPr>
      <w:r>
        <w:rPr>
          <w:rFonts w:hint="eastAsia"/>
        </w:rPr>
        <w:t>【行政执法体系改革】</w:t>
      </w:r>
    </w:p>
    <w:p w14:paraId="29BF63E4">
      <w:r>
        <w:rPr>
          <w:rFonts w:hint="eastAsia"/>
        </w:rPr>
        <w:t>以被列为广东省和韶关市行政执法体系改革试点为契机，开展行政执法体系改革。通过组建机构来理顺体制，在市一级组建市场监管和综合行政执法局，挂靠市城市综合管理局，主要负责各执法队伍人员招聘、培训、考核以及下设</w:t>
      </w:r>
      <w:r>
        <w:t>9个执法大队工作人员调动、提拔、任用审</w:t>
      </w:r>
      <w:r>
        <w:rPr>
          <w:rFonts w:hint="eastAsia"/>
        </w:rPr>
        <w:t>核；在</w:t>
      </w:r>
      <w:r>
        <w:t>18个镇（街道）分别设立市场监管和综合</w:t>
      </w:r>
      <w:r>
        <w:rPr>
          <w:rFonts w:hint="eastAsia"/>
        </w:rPr>
        <w:t>行政执法分局，为市市场监管和综合行政执法局</w:t>
      </w:r>
      <w:r>
        <w:rPr>
          <w:rFonts w:hint="eastAsia"/>
          <w:lang w:val="en-US" w:eastAsia="zh-CN"/>
        </w:rPr>
        <w:t>的</w:t>
      </w:r>
      <w:r>
        <w:rPr>
          <w:rFonts w:hint="eastAsia"/>
        </w:rPr>
        <w:t>派出机构，主要负责各镇（街道）辖区范围内行政执法工作，日常工作由原主管局、镇（街道）指挥、调度和考核。通过整合队伍来规范执法，整合市城市综合管理执法大队、市食品药品监督管理局稽</w:t>
      </w:r>
      <w:r>
        <w:rPr>
          <w:rFonts w:hint="eastAsia"/>
          <w:lang w:eastAsia="zh-CN"/>
        </w:rPr>
        <w:t>查</w:t>
      </w:r>
      <w:r>
        <w:rPr>
          <w:rFonts w:hint="eastAsia"/>
        </w:rPr>
        <w:t>分局、市文化市场综合执法队，市环境保护局环境监察分局、市安全生产监督管理局执法监察大队、市国土资源执法监察大队、市交通运输局综合行政执法局、市农业局综合执法大队、市卫生监督所等</w:t>
      </w:r>
      <w:r>
        <w:t>9支队伍，镇（街道）一级整合司法所、农业</w:t>
      </w:r>
      <w:r>
        <w:rPr>
          <w:rFonts w:hint="eastAsia"/>
        </w:rPr>
        <w:t>技术推广站、林业站、国土所、计划生育工作队</w:t>
      </w:r>
      <w:r>
        <w:rPr>
          <w:rFonts w:hint="eastAsia"/>
          <w:lang w:eastAsia="zh-CN"/>
        </w:rPr>
        <w:t>、</w:t>
      </w:r>
      <w:r>
        <w:rPr>
          <w:rFonts w:hint="eastAsia"/>
        </w:rPr>
        <w:t>安全生产监督管理站、文化站等机构力量，在清理交通违法、农村小产权房、违规建设用地等大型执法活动中开展综合执法行动，充分发挥了综合执法的统筹协调作用。</w:t>
      </w:r>
      <w:r>
        <w:t>2013年度，已组织8次大型专项</w:t>
      </w:r>
      <w:r>
        <w:rPr>
          <w:rFonts w:hint="eastAsia"/>
        </w:rPr>
        <w:t>行动，共有</w:t>
      </w:r>
      <w:r>
        <w:t>260多人次参与综合执法活动。</w:t>
      </w:r>
    </w:p>
    <w:p w14:paraId="1879C0C8">
      <w:pPr>
        <w:pStyle w:val="4"/>
        <w:bidi w:val="0"/>
        <w:rPr>
          <w:rFonts w:hint="eastAsia"/>
        </w:rPr>
      </w:pPr>
      <w:r>
        <w:rPr>
          <w:rFonts w:hint="eastAsia"/>
        </w:rPr>
        <w:t>【食药监管体系和卫计机构改革】</w:t>
      </w:r>
    </w:p>
    <w:p w14:paraId="0A2367B0">
      <w:pPr>
        <w:rPr>
          <w:rFonts w:hint="eastAsia"/>
        </w:rPr>
      </w:pPr>
      <w:r>
        <w:rPr>
          <w:rFonts w:hint="eastAsia"/>
        </w:rPr>
        <w:t>对市食药监局、卫生局和计生局等单位的管理体制、机构规格、隶属关系、职责任务、人员编制、领导职数、经费来源等事项进行全面了解，</w:t>
      </w:r>
      <w:r>
        <w:rPr>
          <w:rFonts w:hint="eastAsia"/>
          <w:lang w:eastAsia="zh-CN"/>
        </w:rPr>
        <w:t>查</w:t>
      </w:r>
      <w:r>
        <w:rPr>
          <w:rFonts w:hint="eastAsia"/>
        </w:rPr>
        <w:t>找上述单位在机构、职能、人员编制等方面存在问题和不足，虚心听取相关部门对机构改革意见和建议，为改革出台部门“三定”规定做好充足准备。在调研摸底基础上通过反复论证，厘清并划分涉及食药体制改革中食药监局、工商局、农业局、质监局等单位，涉及卫计机构改革中卫生局、计生局、发改局等单位的职责范围，科学合理设置食药监管基层派出机构和卫生、计生基层机构，并初步拟订《南雄市人民政府关于改革完善食品药品监督管理体制的实施方案（草案）》和《南雄市人民政府关于市卫生和计生部门职能转变及机构改革的实施方案（草案）》</w:t>
      </w:r>
    </w:p>
    <w:p w14:paraId="7F776E4E">
      <w:pPr>
        <w:pStyle w:val="4"/>
        <w:bidi w:val="0"/>
        <w:rPr>
          <w:rFonts w:hint="eastAsia"/>
        </w:rPr>
      </w:pPr>
      <w:r>
        <w:rPr>
          <w:rFonts w:hint="eastAsia"/>
          <w:lang w:eastAsia="zh-CN"/>
        </w:rPr>
        <w:t>【</w:t>
      </w:r>
      <w:r>
        <w:rPr>
          <w:rFonts w:hint="eastAsia"/>
        </w:rPr>
        <w:t>网上办事大厅建设】</w:t>
      </w:r>
    </w:p>
    <w:p w14:paraId="536D9D19">
      <w:pPr>
        <w:rPr>
          <w:rFonts w:hint="eastAsia"/>
          <w:lang w:eastAsia="zh-CN"/>
        </w:rPr>
      </w:pPr>
      <w:r>
        <w:rPr>
          <w:rFonts w:hint="eastAsia"/>
        </w:rPr>
        <w:t>推进网上办事大厅建设工作。成立以市编办正副主任分任组长的</w:t>
      </w:r>
      <w:r>
        <w:t>3个网上办</w:t>
      </w:r>
      <w:r>
        <w:rPr>
          <w:rFonts w:hint="eastAsia"/>
        </w:rPr>
        <w:t>事大厅工作组，由编办工作人员为小组成员，负责对全市</w:t>
      </w:r>
      <w:r>
        <w:t>61个市直及镇（街道）单位提交网上办事</w:t>
      </w:r>
      <w:r>
        <w:rPr>
          <w:rFonts w:hint="eastAsia"/>
        </w:rPr>
        <w:t>大厅事项的相关表格和材料进行审核。南雄市网上办事大厅已入驻</w:t>
      </w:r>
      <w:r>
        <w:t>59个部门单位，共有670项服务</w:t>
      </w:r>
      <w:r>
        <w:rPr>
          <w:rFonts w:hint="eastAsia"/>
        </w:rPr>
        <w:t>事项，其中</w:t>
      </w:r>
      <w:r>
        <w:t>667项可实现在线申办</w:t>
      </w:r>
      <w:r>
        <w:rPr>
          <w:rFonts w:hint="eastAsia"/>
          <w:lang w:eastAsia="zh-CN"/>
        </w:rPr>
        <w:t>。</w:t>
      </w:r>
    </w:p>
    <w:p w14:paraId="390AC4FE">
      <w:pPr>
        <w:pStyle w:val="4"/>
        <w:bidi w:val="0"/>
        <w:rPr>
          <w:rFonts w:hint="eastAsia"/>
        </w:rPr>
      </w:pPr>
      <w:r>
        <w:rPr>
          <w:rFonts w:hint="eastAsia"/>
        </w:rPr>
        <w:t>【政务和公益域名注册管理工作】</w:t>
      </w:r>
    </w:p>
    <w:p w14:paraId="1DC67D32">
      <w:pPr>
        <w:rPr>
          <w:rFonts w:hint="eastAsia"/>
        </w:rPr>
      </w:pPr>
      <w:r>
        <w:rPr>
          <w:rFonts w:hint="eastAsia"/>
        </w:rPr>
        <w:t>落实中央编办《关于进一步加强党政群机关和事业单位网上名称管理的通知》（中央编办发〔</w:t>
      </w:r>
      <w:r>
        <w:t>20094号〕文件精</w:t>
      </w:r>
      <w:r>
        <w:rPr>
          <w:rFonts w:hint="eastAsia"/>
        </w:rPr>
        <w:t>神，建立党政群机关和事业单位、社会团体等集中办理政务和公益专用中文域名注册开通手续的服务“快车道”。目前，全市办理中文域名入网手续单位达</w:t>
      </w:r>
      <w:r>
        <w:t>176个，域名注册管理工作成效凸显，并得到上</w:t>
      </w:r>
      <w:r>
        <w:rPr>
          <w:rFonts w:hint="eastAsia"/>
        </w:rPr>
        <w:t>级编办的好评。</w:t>
      </w:r>
    </w:p>
    <w:p w14:paraId="77E6ACEC">
      <w:pPr>
        <w:pStyle w:val="4"/>
        <w:bidi w:val="0"/>
        <w:rPr>
          <w:rFonts w:hint="eastAsia"/>
        </w:rPr>
      </w:pPr>
      <w:r>
        <w:rPr>
          <w:rFonts w:hint="eastAsia"/>
        </w:rPr>
        <w:t>【机构编制核</w:t>
      </w:r>
      <w:r>
        <w:rPr>
          <w:rFonts w:hint="eastAsia"/>
          <w:lang w:eastAsia="zh-CN"/>
        </w:rPr>
        <w:t>查</w:t>
      </w:r>
      <w:r>
        <w:rPr>
          <w:rFonts w:hint="eastAsia"/>
        </w:rPr>
        <w:t>工作】</w:t>
      </w:r>
    </w:p>
    <w:p w14:paraId="2FB0AA80">
      <w:pPr>
        <w:rPr>
          <w:rFonts w:hint="eastAsia"/>
        </w:rPr>
      </w:pPr>
      <w:r>
        <w:t>2013年6月份会同有关部</w:t>
      </w:r>
      <w:r>
        <w:rPr>
          <w:rFonts w:hint="eastAsia"/>
        </w:rPr>
        <w:t>门对</w:t>
      </w:r>
      <w:r>
        <w:rPr>
          <w:rFonts w:hint="eastAsia"/>
          <w:lang w:val="en-US" w:eastAsia="zh-CN"/>
        </w:rPr>
        <w:t>全</w:t>
      </w:r>
      <w:r>
        <w:rPr>
          <w:rFonts w:hint="eastAsia"/>
        </w:rPr>
        <w:t>市党政群机关、事业单位的机构编制和实有人员情况、领导职数和非领导职数配备情况、编外用人情况、事业单位清理规范、机构编制违纪违规情况等</w:t>
      </w:r>
      <w:r>
        <w:t>5个方面进行全面核</w:t>
      </w:r>
      <w:r>
        <w:rPr>
          <w:rFonts w:hint="eastAsia"/>
          <w:lang w:eastAsia="zh-CN"/>
        </w:rPr>
        <w:t>查</w:t>
      </w:r>
      <w:r>
        <w:t>。成立机构编制核</w:t>
      </w:r>
      <w:r>
        <w:rPr>
          <w:rFonts w:hint="eastAsia"/>
          <w:lang w:eastAsia="zh-CN"/>
        </w:rPr>
        <w:t>查</w:t>
      </w:r>
      <w:r>
        <w:rPr>
          <w:rFonts w:hint="eastAsia"/>
        </w:rPr>
        <w:t>工作领导小组，成员由纪检监察、组织、机构编制、财政、人社、教育、卫生等部门分管编制工作的领导担任，领导小组下设办公室在市编办，负责机构编制核</w:t>
      </w:r>
      <w:r>
        <w:rPr>
          <w:rFonts w:hint="eastAsia"/>
          <w:lang w:eastAsia="zh-CN"/>
        </w:rPr>
        <w:t>查</w:t>
      </w:r>
      <w:r>
        <w:rPr>
          <w:rFonts w:hint="eastAsia"/>
        </w:rPr>
        <w:t>工作的日常指导工作。结合实际，制定南雄市《机构编制核</w:t>
      </w:r>
      <w:r>
        <w:rPr>
          <w:rFonts w:hint="eastAsia"/>
          <w:lang w:eastAsia="zh-CN"/>
        </w:rPr>
        <w:t>查</w:t>
      </w:r>
      <w:r>
        <w:rPr>
          <w:rFonts w:hint="eastAsia"/>
        </w:rPr>
        <w:t>工作实施方案》，明确核</w:t>
      </w:r>
      <w:r>
        <w:rPr>
          <w:rFonts w:hint="eastAsia"/>
          <w:lang w:eastAsia="zh-CN"/>
        </w:rPr>
        <w:t>查</w:t>
      </w:r>
      <w:r>
        <w:rPr>
          <w:rFonts w:hint="eastAsia"/>
        </w:rPr>
        <w:t>的目的、主要任务、核</w:t>
      </w:r>
      <w:r>
        <w:rPr>
          <w:rFonts w:hint="eastAsia"/>
          <w:lang w:eastAsia="zh-CN"/>
        </w:rPr>
        <w:t>查</w:t>
      </w:r>
      <w:r>
        <w:rPr>
          <w:rFonts w:hint="eastAsia"/>
        </w:rPr>
        <w:t>内容、实施步骤和工作要求。通过密切与各相关部门的联系，及时跟进核</w:t>
      </w:r>
      <w:r>
        <w:rPr>
          <w:rFonts w:hint="eastAsia"/>
          <w:lang w:eastAsia="zh-CN"/>
        </w:rPr>
        <w:t>查</w:t>
      </w:r>
      <w:r>
        <w:rPr>
          <w:rFonts w:hint="eastAsia"/>
        </w:rPr>
        <w:t>工作进度，并要求各部门按时上报核</w:t>
      </w:r>
      <w:r>
        <w:rPr>
          <w:rFonts w:hint="eastAsia"/>
          <w:lang w:eastAsia="zh-CN"/>
        </w:rPr>
        <w:t>查</w:t>
      </w:r>
      <w:r>
        <w:rPr>
          <w:rFonts w:hint="eastAsia"/>
        </w:rPr>
        <w:t>进度，做好各单位机关编制核</w:t>
      </w:r>
      <w:r>
        <w:rPr>
          <w:rFonts w:hint="eastAsia"/>
          <w:lang w:eastAsia="zh-CN"/>
        </w:rPr>
        <w:t>查</w:t>
      </w:r>
      <w:r>
        <w:rPr>
          <w:rFonts w:hint="eastAsia"/>
        </w:rPr>
        <w:t>上报情况统计，全面掌握核</w:t>
      </w:r>
      <w:r>
        <w:rPr>
          <w:rFonts w:hint="eastAsia"/>
          <w:lang w:eastAsia="zh-CN"/>
        </w:rPr>
        <w:t>查</w:t>
      </w:r>
      <w:r>
        <w:rPr>
          <w:rFonts w:hint="eastAsia"/>
        </w:rPr>
        <w:t>工作进度，确保机构编制核</w:t>
      </w:r>
      <w:r>
        <w:rPr>
          <w:rFonts w:hint="eastAsia"/>
          <w:lang w:eastAsia="zh-CN"/>
        </w:rPr>
        <w:t>查</w:t>
      </w:r>
      <w:r>
        <w:rPr>
          <w:rFonts w:hint="eastAsia"/>
        </w:rPr>
        <w:t>工作顺利如期完成。此次机构编制核</w:t>
      </w:r>
      <w:r>
        <w:rPr>
          <w:rFonts w:hint="eastAsia"/>
          <w:lang w:eastAsia="zh-CN"/>
        </w:rPr>
        <w:t>查</w:t>
      </w:r>
      <w:r>
        <w:rPr>
          <w:rFonts w:hint="eastAsia"/>
        </w:rPr>
        <w:t>范围涉及全市党政群机关</w:t>
      </w:r>
      <w:r>
        <w:rPr>
          <w:rFonts w:hint="eastAsia"/>
          <w:lang w:eastAsia="zh-CN"/>
        </w:rPr>
        <w:t>、</w:t>
      </w:r>
      <w:r>
        <w:rPr>
          <w:rFonts w:hint="eastAsia"/>
        </w:rPr>
        <w:t>事业单位</w:t>
      </w:r>
      <w:r>
        <w:t>395个机构，核</w:t>
      </w:r>
      <w:r>
        <w:rPr>
          <w:rFonts w:hint="eastAsia"/>
          <w:lang w:eastAsia="zh-CN"/>
        </w:rPr>
        <w:t>查</w:t>
      </w:r>
      <w:r>
        <w:t>总人数约为8662人，</w:t>
      </w:r>
      <w:r>
        <w:rPr>
          <w:rFonts w:hint="eastAsia"/>
        </w:rPr>
        <w:t>核</w:t>
      </w:r>
      <w:r>
        <w:rPr>
          <w:rFonts w:hint="eastAsia"/>
          <w:lang w:eastAsia="zh-CN"/>
        </w:rPr>
        <w:t>查</w:t>
      </w:r>
      <w:r>
        <w:rPr>
          <w:rFonts w:hint="eastAsia"/>
        </w:rPr>
        <w:t>工作取得显著成效。</w:t>
      </w:r>
    </w:p>
    <w:p w14:paraId="483DAB6D">
      <w:pPr>
        <w:pStyle w:val="4"/>
        <w:bidi w:val="0"/>
        <w:rPr>
          <w:rFonts w:hint="eastAsia"/>
        </w:rPr>
      </w:pPr>
      <w:r>
        <w:rPr>
          <w:rFonts w:hint="eastAsia"/>
        </w:rPr>
        <w:t>【机构编制实名制管理】</w:t>
      </w:r>
    </w:p>
    <w:p w14:paraId="2A198318">
      <w:pPr>
        <w:rPr>
          <w:rFonts w:hint="eastAsia"/>
        </w:rPr>
      </w:pPr>
      <w:r>
        <w:rPr>
          <w:rFonts w:hint="eastAsia"/>
        </w:rPr>
        <w:t>自南雄市实名制系统建设工作启动以来，在全面完成党政群机关单位实名制管理工作的基础上，在全市事业单位中推行事业单位实名制管理，加强系统信息库建设，力求在监控和掌握编制变动情况上实现全覆盖。同时，做到机构编制“每月一核实，每季一汇总”，实行</w:t>
      </w:r>
      <w:r>
        <w:rPr>
          <w:rFonts w:hint="eastAsia"/>
          <w:lang w:eastAsia="zh-CN"/>
        </w:rPr>
        <w:t>“</w:t>
      </w:r>
      <w:r>
        <w:rPr>
          <w:rFonts w:hint="eastAsia"/>
          <w:lang w:val="en-US" w:eastAsia="zh-CN"/>
        </w:rPr>
        <w:t>一</w:t>
      </w:r>
      <w:r>
        <w:rPr>
          <w:rFonts w:hint="eastAsia"/>
        </w:rPr>
        <w:t>人一编”的具体管理措施，并结合机构发文、编制台账等资料、数据信息，及时掌握机构编制变化情况；对出现机构编制和在职人员变动情况的单位，及时在实名制系统中更新信息库内容，并提交人员变动相关登记表格，保证随时登记、适时更新、动态管理，以准确、全面和翔实的数据为机构编制管理工作顺利开展提供支撑和保障。</w:t>
      </w:r>
    </w:p>
    <w:p w14:paraId="133CFB5F">
      <w:pPr>
        <w:pStyle w:val="4"/>
        <w:bidi w:val="0"/>
        <w:rPr>
          <w:rFonts w:hint="eastAsia"/>
        </w:rPr>
      </w:pPr>
      <w:r>
        <w:rPr>
          <w:rFonts w:hint="eastAsia"/>
        </w:rPr>
        <w:t>【机构编制规范化管理】</w:t>
      </w:r>
    </w:p>
    <w:p w14:paraId="659073D7">
      <w:pPr>
        <w:rPr>
          <w:rFonts w:hint="eastAsia"/>
        </w:rPr>
      </w:pPr>
      <w:r>
        <w:rPr>
          <w:rFonts w:hint="eastAsia"/>
        </w:rPr>
        <w:t>严格落实机构编制“</w:t>
      </w:r>
      <w:r>
        <w:rPr>
          <w:rFonts w:hint="eastAsia"/>
          <w:lang w:val="en-US" w:eastAsia="zh-CN"/>
        </w:rPr>
        <w:t>一</w:t>
      </w:r>
      <w:r>
        <w:rPr>
          <w:rFonts w:hint="eastAsia"/>
        </w:rPr>
        <w:t>支笔”审批制度和编委会议事规则，切实发挥好机构编制部门管理编制资源的龙头地位。重点抓好人员入编登记管理工作，按照机构编制管理规定要求凡考试录用、招聘人员和调配人员，先要进行核编，无空余编制不得“超编进人”，编办不办理列编手续，在机构管制“进人”关口上实行铁腕式管理，有效遏制财政供养人员编制膨胀。发挥机构编制部门的龙头作用，注重加强与市人社局、市财政局等相关部门联系和协调，编制管理中要求凡未经市编办开具入编手续证明，市人社局不能审核其工资，市财政局不能核发工资。通过各相关部门密切配合，确保机构编制工作在法制化、规范化轨道上运行。按照省、市机构编制管理的有关要求，结合部门实际，建立健全市编委会审批程序、事业单位登记管理办法、部门岗位责任制等机构编制管理工作制度，规范办事程序，严格制度管理，推进编制管理业务流程的常态化、制度化建设。</w:t>
      </w:r>
    </w:p>
    <w:p w14:paraId="6F985604">
      <w:pPr>
        <w:jc w:val="right"/>
        <w:rPr>
          <w:rFonts w:hint="eastAsia"/>
          <w:b/>
          <w:bCs/>
        </w:rPr>
      </w:pPr>
      <w:r>
        <w:rPr>
          <w:rFonts w:hint="eastAsia"/>
          <w:b/>
          <w:bCs/>
        </w:rPr>
        <w:t>（肖清文）</w:t>
      </w:r>
    </w:p>
    <w:p w14:paraId="66187B55">
      <w:pPr>
        <w:pStyle w:val="10"/>
        <w:bidi w:val="0"/>
        <w:rPr>
          <w:b/>
          <w:bCs/>
        </w:rPr>
      </w:pPr>
      <w:r>
        <w:rPr>
          <w:rFonts w:hint="eastAsia"/>
          <w:b/>
          <w:bCs/>
        </w:rPr>
        <w:t>附：</w:t>
      </w:r>
      <w:r>
        <w:rPr>
          <w:b/>
          <w:bCs/>
        </w:rPr>
        <w:t>2013年市机构编制办领导班子成员名单</w:t>
      </w:r>
    </w:p>
    <w:p w14:paraId="7BAB12BC">
      <w:pPr>
        <w:pStyle w:val="10"/>
        <w:bidi w:val="0"/>
        <w:rPr>
          <w:rFonts w:hint="eastAsia"/>
        </w:rPr>
      </w:pPr>
      <w:r>
        <w:rPr>
          <w:rFonts w:hint="eastAsia"/>
          <w:b/>
          <w:bCs/>
        </w:rPr>
        <w:t>主</w:t>
      </w:r>
      <w:r>
        <w:rPr>
          <w:rFonts w:hint="eastAsia"/>
          <w:b/>
          <w:bCs/>
          <w:lang w:val="en-US" w:eastAsia="zh-CN"/>
        </w:rPr>
        <w:t xml:space="preserve">  </w:t>
      </w:r>
      <w:r>
        <w:rPr>
          <w:rFonts w:hint="eastAsia"/>
          <w:b/>
          <w:bCs/>
        </w:rPr>
        <w:t>任：</w:t>
      </w:r>
      <w:r>
        <w:rPr>
          <w:rFonts w:hint="eastAsia"/>
        </w:rPr>
        <w:t>黄</w:t>
      </w:r>
      <w:r>
        <w:rPr>
          <w:rFonts w:hint="eastAsia"/>
          <w:lang w:val="en-US" w:eastAsia="zh-CN"/>
        </w:rPr>
        <w:t xml:space="preserve">  </w:t>
      </w:r>
      <w:r>
        <w:rPr>
          <w:rFonts w:hint="eastAsia"/>
        </w:rPr>
        <w:t>云</w:t>
      </w:r>
    </w:p>
    <w:p w14:paraId="6665EDC9">
      <w:pPr>
        <w:pStyle w:val="10"/>
        <w:bidi w:val="0"/>
        <w:rPr>
          <w:rFonts w:hint="eastAsia"/>
        </w:rPr>
      </w:pPr>
      <w:r>
        <w:rPr>
          <w:rFonts w:hint="eastAsia"/>
          <w:b/>
          <w:bCs/>
        </w:rPr>
        <w:t>副主任：</w:t>
      </w:r>
      <w:r>
        <w:rPr>
          <w:rFonts w:hint="eastAsia"/>
        </w:rPr>
        <w:t>陈蔚桑</w:t>
      </w:r>
      <w:r>
        <w:rPr>
          <w:rFonts w:hint="eastAsia"/>
          <w:lang w:val="en-US" w:eastAsia="zh-CN"/>
        </w:rPr>
        <w:t xml:space="preserve">   </w:t>
      </w:r>
      <w:r>
        <w:rPr>
          <w:rFonts w:hint="eastAsia"/>
        </w:rPr>
        <w:t>高春花</w:t>
      </w:r>
    </w:p>
    <w:p w14:paraId="150CECB2">
      <w:pPr>
        <w:pStyle w:val="3"/>
        <w:bidi w:val="0"/>
        <w:rPr>
          <w:rFonts w:hint="default"/>
          <w:lang w:val="en-US" w:eastAsia="zh-CN"/>
        </w:rPr>
      </w:pPr>
      <w:r>
        <w:rPr>
          <w:rFonts w:hint="eastAsia"/>
          <w:lang w:val="en-US" w:eastAsia="zh-CN"/>
        </w:rPr>
        <w:t>信访工作</w:t>
      </w:r>
    </w:p>
    <w:p w14:paraId="724E63A7">
      <w:pPr>
        <w:pStyle w:val="4"/>
        <w:bidi w:val="0"/>
        <w:rPr>
          <w:rFonts w:hint="eastAsia"/>
        </w:rPr>
      </w:pPr>
      <w:r>
        <w:rPr>
          <w:rFonts w:hint="eastAsia"/>
        </w:rPr>
        <w:t>【概况】</w:t>
      </w:r>
    </w:p>
    <w:p w14:paraId="366CABC5">
      <w:r>
        <w:rPr>
          <w:rFonts w:hint="eastAsia"/>
        </w:rPr>
        <w:t>南雄市信访局系南雄市委办公室内设机构，主要负责处理群众来信来访，及时、准确地向市委、市政府领导反映来信来访中提出的重要建议、意见和问题；综合分析信访信息，开展调</w:t>
      </w:r>
      <w:r>
        <w:rPr>
          <w:rFonts w:hint="eastAsia"/>
          <w:lang w:eastAsia="zh-CN"/>
        </w:rPr>
        <w:t>查</w:t>
      </w:r>
      <w:r>
        <w:rPr>
          <w:rFonts w:hint="eastAsia"/>
        </w:rPr>
        <w:t>研究，提出制定有关方针、政策建议的行政部门。设有办信接访室、督</w:t>
      </w:r>
      <w:r>
        <w:rPr>
          <w:rFonts w:hint="eastAsia"/>
          <w:lang w:eastAsia="zh-CN"/>
        </w:rPr>
        <w:t>查</w:t>
      </w:r>
      <w:r>
        <w:rPr>
          <w:rFonts w:hint="eastAsia"/>
        </w:rPr>
        <w:t>室、综合办公室。行政编制</w:t>
      </w:r>
      <w:r>
        <w:t>6</w:t>
      </w:r>
      <w:r>
        <w:rPr>
          <w:rFonts w:hint="eastAsia"/>
        </w:rPr>
        <w:t>名，工勤人员</w:t>
      </w:r>
      <w:r>
        <w:t>2名。2013年，全市接待群众来信来</w:t>
      </w:r>
      <w:r>
        <w:rPr>
          <w:rFonts w:hint="eastAsia"/>
        </w:rPr>
        <w:t>访</w:t>
      </w:r>
      <w:r>
        <w:t>551宗1569人次，受理群众来信来访377宗1056人次，比上年下降12.3%和17.8%。其中办</w:t>
      </w:r>
      <w:r>
        <w:rPr>
          <w:rFonts w:hint="eastAsia"/>
        </w:rPr>
        <w:t>理群众来信</w:t>
      </w:r>
      <w:r>
        <w:t>163件，比上年下降0.6%；接待群众</w:t>
      </w:r>
      <w:r>
        <w:rPr>
          <w:rFonts w:hint="eastAsia"/>
        </w:rPr>
        <w:t>来访</w:t>
      </w:r>
      <w:r>
        <w:t>214批1056人次（领导接访114批515人</w:t>
      </w:r>
      <w:r>
        <w:rPr>
          <w:rFonts w:hint="eastAsia"/>
        </w:rPr>
        <w:t>次），分别比上年下降</w:t>
      </w:r>
      <w:r>
        <w:t>20.1%和17.8%。重复访34</w:t>
      </w:r>
      <w:r>
        <w:rPr>
          <w:rFonts w:hint="eastAsia"/>
        </w:rPr>
        <w:t>批</w:t>
      </w:r>
      <w:r>
        <w:t>103人次，同比批次上升6%、人次下降1.5%；</w:t>
      </w:r>
      <w:r>
        <w:rPr>
          <w:rFonts w:hint="eastAsia"/>
        </w:rPr>
        <w:t>越级访</w:t>
      </w:r>
      <w:r>
        <w:t>79批192人次，同比上升31.7%和84.6%；</w:t>
      </w:r>
      <w:r>
        <w:rPr>
          <w:rFonts w:hint="eastAsia"/>
        </w:rPr>
        <w:t>集体访</w:t>
      </w:r>
      <w:r>
        <w:t>43批651人次，同比上升19.4%和38.8%。</w:t>
      </w:r>
      <w:r>
        <w:rPr>
          <w:rFonts w:hint="eastAsia"/>
        </w:rPr>
        <w:t>上级交办转送</w:t>
      </w:r>
      <w:r>
        <w:t>89件，全部按期办结。</w:t>
      </w:r>
    </w:p>
    <w:p w14:paraId="63D7727C">
      <w:pPr>
        <w:pStyle w:val="4"/>
        <w:bidi w:val="0"/>
        <w:rPr>
          <w:rFonts w:hint="eastAsia"/>
        </w:rPr>
      </w:pPr>
      <w:r>
        <w:rPr>
          <w:rFonts w:hint="eastAsia"/>
        </w:rPr>
        <w:t>【畅通信访渠道】</w:t>
      </w:r>
    </w:p>
    <w:p w14:paraId="22ACDEDE">
      <w:pPr>
        <w:rPr>
          <w:rFonts w:hint="eastAsia"/>
        </w:rPr>
      </w:pPr>
      <w:r>
        <w:rPr>
          <w:rFonts w:hint="eastAsia"/>
        </w:rPr>
        <w:t>是利用综治信访维稳中心这平台，强化首接首办责任制，明确工作程序、标准、责任和要求，负责办理每一封来信，热情接待每一起来访，畅通群众利益诉求渠道，为群众反映诉求提供方便，受理好、答复好、解决好群众反映的诉求。二是推进领导</w:t>
      </w:r>
      <w:r>
        <w:rPr>
          <w:rFonts w:hint="eastAsia"/>
          <w:lang w:val="en-US" w:eastAsia="zh-CN"/>
        </w:rPr>
        <w:t>干</w:t>
      </w:r>
      <w:r>
        <w:rPr>
          <w:rFonts w:hint="eastAsia"/>
        </w:rPr>
        <w:t>部接访、下访和约访活动，切实解决群众信访问题，维护群众合法权益。该市党政市领导坚持每月至少一次到信访局坐班接待群众来访，市主要领导率先垂范，带头接待群众来访，较好地发挥示范引领作用。同时采取定点接访、重点约访、带案下访以及专题接访等灵活方式，深入信访重点地区，与信访人面对面交流沟通，加深感情，了解实情，真正使群众反映的问题件件有着落、事事有回音，推动问题在基层解决，把群众吸附在当地。</w:t>
      </w:r>
    </w:p>
    <w:p w14:paraId="3EB8BBCF">
      <w:pPr>
        <w:pStyle w:val="4"/>
        <w:bidi w:val="0"/>
        <w:rPr>
          <w:rFonts w:hint="eastAsia"/>
        </w:rPr>
      </w:pPr>
      <w:r>
        <w:rPr>
          <w:rFonts w:hint="eastAsia"/>
        </w:rPr>
        <w:t>【化解信访积案】</w:t>
      </w:r>
    </w:p>
    <w:p w14:paraId="37D491E3">
      <w:pPr>
        <w:rPr>
          <w:rFonts w:hint="eastAsia"/>
        </w:rPr>
      </w:pPr>
      <w:r>
        <w:rPr>
          <w:rFonts w:hint="eastAsia"/>
        </w:rPr>
        <w:t>为做好信访积案化解工作，南雄市信访局将上级交办的</w:t>
      </w:r>
      <w:r>
        <w:t>8件信访积案和全市排</w:t>
      </w:r>
      <w:r>
        <w:rPr>
          <w:rFonts w:hint="eastAsia"/>
          <w:lang w:eastAsia="zh-CN"/>
        </w:rPr>
        <w:t>查</w:t>
      </w:r>
      <w:r>
        <w:rPr>
          <w:rFonts w:hint="eastAsia"/>
        </w:rPr>
        <w:t>出</w:t>
      </w:r>
      <w:r>
        <w:t>23宗信访突出问题进行分类梳理，严格按照</w:t>
      </w:r>
      <w:r>
        <w:rPr>
          <w:rFonts w:hint="eastAsia"/>
        </w:rPr>
        <w:t>“属地管理、分级负责、谁主管、谁负责”原则和“九个一”要求，明确包案领导、责任单位、承办人员、化解措施和办结时限，解决一大批应当解决而又能够解决的问题。截至</w:t>
      </w:r>
      <w:r>
        <w:t>7月份，省交办的信访</w:t>
      </w:r>
      <w:r>
        <w:rPr>
          <w:rFonts w:hint="eastAsia"/>
        </w:rPr>
        <w:t>积案和市排</w:t>
      </w:r>
      <w:r>
        <w:rPr>
          <w:rFonts w:hint="eastAsia"/>
          <w:lang w:eastAsia="zh-CN"/>
        </w:rPr>
        <w:t>查</w:t>
      </w:r>
      <w:r>
        <w:rPr>
          <w:rFonts w:hint="eastAsia"/>
        </w:rPr>
        <w:t>的信访突出问题都已按要求办理，信访积案化解工作取得明显成效。</w:t>
      </w:r>
    </w:p>
    <w:p w14:paraId="14507B68">
      <w:pPr>
        <w:pStyle w:val="4"/>
        <w:bidi w:val="0"/>
        <w:rPr>
          <w:rFonts w:hint="eastAsia"/>
        </w:rPr>
      </w:pPr>
      <w:r>
        <w:rPr>
          <w:rFonts w:hint="eastAsia"/>
        </w:rPr>
        <w:t>【加强督</w:t>
      </w:r>
      <w:r>
        <w:rPr>
          <w:rFonts w:hint="eastAsia"/>
          <w:lang w:eastAsia="zh-CN"/>
        </w:rPr>
        <w:t>查</w:t>
      </w:r>
      <w:r>
        <w:rPr>
          <w:rFonts w:hint="eastAsia"/>
        </w:rPr>
        <w:t>督办】</w:t>
      </w:r>
    </w:p>
    <w:p w14:paraId="7933CDD1">
      <w:pPr>
        <w:rPr>
          <w:rFonts w:hint="eastAsia"/>
        </w:rPr>
      </w:pPr>
      <w:r>
        <w:rPr>
          <w:rFonts w:hint="eastAsia"/>
        </w:rPr>
        <w:t>加大重要信访事项的督</w:t>
      </w:r>
      <w:r>
        <w:rPr>
          <w:rFonts w:hint="eastAsia"/>
          <w:lang w:eastAsia="zh-CN"/>
        </w:rPr>
        <w:t>查</w:t>
      </w:r>
      <w:r>
        <w:rPr>
          <w:rFonts w:hint="eastAsia"/>
        </w:rPr>
        <w:t>督办力度，落实“多督”、“实</w:t>
      </w:r>
      <w:r>
        <w:rPr>
          <w:rFonts w:hint="eastAsia"/>
          <w:lang w:eastAsia="zh-CN"/>
        </w:rPr>
        <w:t>查</w:t>
      </w:r>
      <w:r>
        <w:rPr>
          <w:rFonts w:hint="eastAsia"/>
        </w:rPr>
        <w:t>”、“真办”要求，推动落实“事要解决”。</w:t>
      </w:r>
      <w:r>
        <w:t>2013年，由市纪委、市委组</w:t>
      </w:r>
      <w:r>
        <w:rPr>
          <w:rFonts w:hint="eastAsia"/>
        </w:rPr>
        <w:t>织部、市委政法委、信访局组成督导检</w:t>
      </w:r>
      <w:r>
        <w:rPr>
          <w:rFonts w:hint="eastAsia"/>
          <w:lang w:eastAsia="zh-CN"/>
        </w:rPr>
        <w:t>查</w:t>
      </w:r>
      <w:r>
        <w:rPr>
          <w:rFonts w:hint="eastAsia"/>
        </w:rPr>
        <w:t>组先后</w:t>
      </w:r>
      <w:r>
        <w:t>2</w:t>
      </w:r>
      <w:r>
        <w:rPr>
          <w:rFonts w:hint="eastAsia"/>
        </w:rPr>
        <w:t>次不定期到各镇（街道）、市直有关单位进行信访维稳工作督导检</w:t>
      </w:r>
      <w:r>
        <w:rPr>
          <w:rFonts w:hint="eastAsia"/>
          <w:lang w:eastAsia="zh-CN"/>
        </w:rPr>
        <w:t>查</w:t>
      </w:r>
      <w:r>
        <w:rPr>
          <w:rFonts w:hint="eastAsia"/>
        </w:rPr>
        <w:t>，主要督</w:t>
      </w:r>
      <w:r>
        <w:rPr>
          <w:rFonts w:hint="eastAsia"/>
          <w:lang w:eastAsia="zh-CN"/>
        </w:rPr>
        <w:t>查</w:t>
      </w:r>
      <w:r>
        <w:rPr>
          <w:rFonts w:hint="eastAsia"/>
        </w:rPr>
        <w:t>各镇、市直重点单位对做好重要敏感时期信访维稳工作部署、矛盾纠纷排</w:t>
      </w:r>
      <w:r>
        <w:rPr>
          <w:rFonts w:hint="eastAsia"/>
          <w:lang w:eastAsia="zh-CN"/>
        </w:rPr>
        <w:t>查</w:t>
      </w:r>
      <w:r>
        <w:rPr>
          <w:rFonts w:hint="eastAsia"/>
        </w:rPr>
        <w:t>化解、领导干部定期接访下访约访情况、党政领导包案调处重点信访问题等方面工作落实情况</w:t>
      </w:r>
      <w:r>
        <w:rPr>
          <w:rFonts w:hint="eastAsia"/>
          <w:lang w:eastAsia="zh-CN"/>
        </w:rPr>
        <w:t>。</w:t>
      </w:r>
      <w:r>
        <w:rPr>
          <w:rFonts w:hint="eastAsia"/>
        </w:rPr>
        <w:t>通过督</w:t>
      </w:r>
      <w:r>
        <w:rPr>
          <w:rFonts w:hint="eastAsia"/>
          <w:lang w:eastAsia="zh-CN"/>
        </w:rPr>
        <w:t>查</w:t>
      </w:r>
      <w:r>
        <w:rPr>
          <w:rFonts w:hint="eastAsia"/>
        </w:rPr>
        <w:t>，有力带动全市各镇、单位党政一把手亲自部署、全力推动、主动参与信访工作，为推动“事要解决”打下基础。</w:t>
      </w:r>
    </w:p>
    <w:p w14:paraId="1F8E7E6F">
      <w:pPr>
        <w:pStyle w:val="4"/>
        <w:bidi w:val="0"/>
        <w:rPr>
          <w:rFonts w:hint="eastAsia"/>
        </w:rPr>
      </w:pPr>
      <w:r>
        <w:rPr>
          <w:rFonts w:hint="eastAsia"/>
        </w:rPr>
        <w:t>【强化协调指导】</w:t>
      </w:r>
    </w:p>
    <w:p w14:paraId="3B80156C">
      <w:pPr>
        <w:rPr>
          <w:rFonts w:hint="eastAsia"/>
        </w:rPr>
      </w:pPr>
      <w:r>
        <w:rPr>
          <w:rFonts w:hint="eastAsia"/>
        </w:rPr>
        <w:t>一是在总体谋划上突出针对性，根据对全年信访形势的总体分析，突出重点、兼顾</w:t>
      </w:r>
      <w:r>
        <w:rPr>
          <w:rFonts w:hint="eastAsia"/>
          <w:lang w:val="en-US" w:eastAsia="zh-CN"/>
        </w:rPr>
        <w:t>一</w:t>
      </w:r>
      <w:r>
        <w:rPr>
          <w:rFonts w:hint="eastAsia"/>
        </w:rPr>
        <w:t>般、协调推进。对</w:t>
      </w:r>
      <w:r>
        <w:rPr>
          <w:rFonts w:hint="eastAsia"/>
          <w:lang w:eastAsia="zh-CN"/>
        </w:rPr>
        <w:t>两会</w:t>
      </w:r>
      <w:r>
        <w:rPr>
          <w:rFonts w:hint="eastAsia"/>
        </w:rPr>
        <w:t>、“八一”、国庆和党的十八届三中全会等重点时期的信访工作及时安排部署到位，如针对本市个别军队退役人员聚集、串联上访，部分老上访户赴省进京访的现象，遵照上级信访部门和市委市政府领导的要求，适时向各镇、相关单位发出通知或通报情况，启动应急机制，全力以赴做好工作，营造良好社会环境。二是在推动落实上强化协调指导。</w:t>
      </w:r>
      <w:r>
        <w:t>2013年，针对本市分</w:t>
      </w:r>
      <w:r>
        <w:rPr>
          <w:rFonts w:hint="eastAsia"/>
        </w:rPr>
        <w:t>析梳理出土地征用、农村农业、房屋拆迁补偿等信访突出问题，信访局领导亲自带队下乡协调推动“事要解决”。如水口镇何金石、何光孟多次到市信访局缠访闹访，要求沙场老板赔偿</w:t>
      </w:r>
      <w:r>
        <w:t>2个小孩在头渡</w:t>
      </w:r>
      <w:r>
        <w:rPr>
          <w:rFonts w:hint="eastAsia"/>
        </w:rPr>
        <w:t>沙场溺水身亡的问题，陈志刚局长多次约见信访当事人，深</w:t>
      </w:r>
      <w:r>
        <w:rPr>
          <w:rFonts w:hint="eastAsia"/>
          <w:lang w:val="en-US" w:eastAsia="zh-CN"/>
        </w:rPr>
        <w:t>入</w:t>
      </w:r>
      <w:r>
        <w:rPr>
          <w:rFonts w:hint="eastAsia"/>
        </w:rPr>
        <w:t>了解案情和信访人的真实愿望，在较短时间内化解矛盾达成协议。</w:t>
      </w:r>
    </w:p>
    <w:p w14:paraId="369EF778">
      <w:pPr>
        <w:pStyle w:val="4"/>
        <w:bidi w:val="0"/>
        <w:rPr>
          <w:rFonts w:hint="eastAsia"/>
        </w:rPr>
      </w:pPr>
      <w:r>
        <w:rPr>
          <w:rFonts w:hint="eastAsia"/>
        </w:rPr>
        <w:t>【提升队伍建设】</w:t>
      </w:r>
    </w:p>
    <w:p w14:paraId="3CF1BA67">
      <w:pPr>
        <w:rPr>
          <w:rFonts w:hint="eastAsia"/>
          <w:lang w:eastAsia="zh-CN"/>
        </w:rPr>
      </w:pPr>
      <w:r>
        <w:rPr>
          <w:rFonts w:hint="eastAsia"/>
        </w:rPr>
        <w:t>一是以深入开展创先争优活动为契机，主要领导亲自动员部署，带领广大信访干部立足工作岗位，在服务人民群众中奋力创先争优，牢固树立群众观点，自觉贯彻党的群众路线，加强信访部门领导班子和干部队伍建设，培育以人为本的信访理念和信访文化。二是加大业务培训，提升信访干部的整体素质和工作水平。</w:t>
      </w:r>
      <w:r>
        <w:t>2013年，省</w:t>
      </w:r>
      <w:r>
        <w:rPr>
          <w:rFonts w:hint="eastAsia"/>
        </w:rPr>
        <w:t>和韶关分别开展信访干部业务培训，通过学习培训和实践锻炼，拓宽视野，增长知识和才干，为下</w:t>
      </w:r>
      <w:r>
        <w:rPr>
          <w:rFonts w:hint="eastAsia"/>
          <w:lang w:val="en-US" w:eastAsia="zh-CN"/>
        </w:rPr>
        <w:t>一</w:t>
      </w:r>
      <w:r>
        <w:rPr>
          <w:rFonts w:hint="eastAsia"/>
        </w:rPr>
        <w:t>步工作打下基础</w:t>
      </w:r>
      <w:r>
        <w:rPr>
          <w:rFonts w:hint="eastAsia"/>
          <w:lang w:eastAsia="zh-CN"/>
        </w:rPr>
        <w:t>。</w:t>
      </w:r>
    </w:p>
    <w:p w14:paraId="2D18F70C">
      <w:pPr>
        <w:pStyle w:val="4"/>
        <w:bidi w:val="0"/>
        <w:rPr>
          <w:rFonts w:hint="eastAsia"/>
        </w:rPr>
      </w:pPr>
      <w:r>
        <w:rPr>
          <w:rFonts w:hint="eastAsia"/>
        </w:rPr>
        <w:t>【信访信息研判】</w:t>
      </w:r>
    </w:p>
    <w:p w14:paraId="1188215D">
      <w:pPr>
        <w:rPr>
          <w:rFonts w:hint="eastAsia"/>
        </w:rPr>
      </w:pPr>
      <w:r>
        <w:rPr>
          <w:rFonts w:hint="eastAsia"/>
          <w:lang w:val="en-US" w:eastAsia="zh-CN"/>
        </w:rPr>
        <w:t>一</w:t>
      </w:r>
      <w:r>
        <w:rPr>
          <w:rFonts w:hint="eastAsia"/>
        </w:rPr>
        <w:t>是启动市、镇（街）、村（居）三级工作联动机制，整合基层信访、综治</w:t>
      </w:r>
      <w:r>
        <w:rPr>
          <w:rFonts w:hint="eastAsia"/>
          <w:lang w:eastAsia="zh-CN"/>
        </w:rPr>
        <w:t>、</w:t>
      </w:r>
      <w:r>
        <w:rPr>
          <w:rFonts w:hint="eastAsia"/>
        </w:rPr>
        <w:t>维稳等方面力量，及时获取预警信息。实行情报信息每日汇集、每周动态、每月研判和重要敏感期“一日一分析研判”制度。编辑《一周信访动态》</w:t>
      </w:r>
      <w:r>
        <w:rPr>
          <w:rFonts w:hint="eastAsia"/>
          <w:lang w:eastAsia="zh-CN"/>
        </w:rPr>
        <w:t>、</w:t>
      </w:r>
      <w:r>
        <w:rPr>
          <w:rFonts w:hint="eastAsia"/>
        </w:rPr>
        <w:t>《重要信访信息摘报》、《月信访通报》等，向市领导和有关部门及时通报信访问题发生、处理情况，通报全市上访情况，分析热点难点问题，为领导和各部门决策以及开展工作提供依据。二是及时跟踪督促各镇（街）、市直单位每月要对本辖区的信访突出问题及矛盾纠纷进行全面摸底排</w:t>
      </w:r>
      <w:r>
        <w:rPr>
          <w:rFonts w:hint="eastAsia"/>
          <w:lang w:eastAsia="zh-CN"/>
        </w:rPr>
        <w:t>查</w:t>
      </w:r>
      <w:r>
        <w:rPr>
          <w:rFonts w:hint="eastAsia"/>
        </w:rPr>
        <w:t>和梳理，按期向市协调办反馈相关工作情况，由协调办负责汇总、筛选和分类，逐人逐案建立台帐，落实“五包”责任制和“五个一”工作措施。三是南雄市每月至少召开一次信访维稳工作形势研判例会，确保全市社会经济大局稳定。</w:t>
      </w:r>
    </w:p>
    <w:p w14:paraId="6D9F2281">
      <w:pPr>
        <w:jc w:val="right"/>
        <w:rPr>
          <w:rFonts w:hint="eastAsia"/>
          <w:b/>
          <w:bCs/>
        </w:rPr>
      </w:pPr>
      <w:r>
        <w:rPr>
          <w:rFonts w:hint="eastAsia"/>
          <w:b/>
          <w:bCs/>
        </w:rPr>
        <w:t>（丁石凤）</w:t>
      </w:r>
    </w:p>
    <w:p w14:paraId="0420B480">
      <w:pPr>
        <w:pStyle w:val="10"/>
        <w:bidi w:val="0"/>
        <w:rPr>
          <w:b/>
          <w:bCs/>
        </w:rPr>
      </w:pPr>
      <w:r>
        <w:rPr>
          <w:rFonts w:hint="eastAsia"/>
          <w:b/>
          <w:bCs/>
        </w:rPr>
        <w:t>附：</w:t>
      </w:r>
      <w:r>
        <w:rPr>
          <w:b/>
          <w:bCs/>
        </w:rPr>
        <w:t>2013年市信访局领导班子成员名单</w:t>
      </w:r>
    </w:p>
    <w:p w14:paraId="32EC6532">
      <w:pPr>
        <w:pStyle w:val="10"/>
        <w:bidi w:val="0"/>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陈志刚（兼）</w:t>
      </w:r>
    </w:p>
    <w:p w14:paraId="33B26255">
      <w:pPr>
        <w:pStyle w:val="10"/>
        <w:bidi w:val="0"/>
        <w:rPr>
          <w:rFonts w:hint="eastAsia"/>
        </w:rPr>
      </w:pPr>
      <w:r>
        <w:rPr>
          <w:rFonts w:hint="eastAsia"/>
          <w:b/>
          <w:bCs/>
        </w:rPr>
        <w:t>副局长：</w:t>
      </w:r>
      <w:r>
        <w:rPr>
          <w:rFonts w:hint="eastAsia"/>
        </w:rPr>
        <w:t>刘水英</w:t>
      </w:r>
      <w:r>
        <w:rPr>
          <w:rFonts w:hint="eastAsia"/>
          <w:lang w:val="en-US" w:eastAsia="zh-CN"/>
        </w:rPr>
        <w:t xml:space="preserve">   </w:t>
      </w:r>
      <w:r>
        <w:rPr>
          <w:rFonts w:hint="eastAsia"/>
        </w:rPr>
        <w:t>刘世娣</w:t>
      </w:r>
    </w:p>
    <w:p w14:paraId="77ECE817">
      <w:pPr>
        <w:pStyle w:val="3"/>
        <w:bidi w:val="0"/>
        <w:rPr>
          <w:rFonts w:hint="default"/>
          <w:lang w:val="en-US" w:eastAsia="zh-CN"/>
        </w:rPr>
      </w:pPr>
      <w:r>
        <w:rPr>
          <w:rFonts w:hint="eastAsia"/>
          <w:lang w:val="en-US" w:eastAsia="zh-CN"/>
        </w:rPr>
        <w:t>党校工作</w:t>
      </w:r>
    </w:p>
    <w:p w14:paraId="39121652">
      <w:pPr>
        <w:pStyle w:val="4"/>
        <w:bidi w:val="0"/>
        <w:rPr>
          <w:rFonts w:hint="eastAsia"/>
        </w:rPr>
      </w:pPr>
      <w:r>
        <w:rPr>
          <w:rFonts w:hint="eastAsia"/>
        </w:rPr>
        <w:t>【概况】</w:t>
      </w:r>
    </w:p>
    <w:p w14:paraId="772DA219">
      <w:r>
        <w:rPr>
          <w:rFonts w:hint="eastAsia"/>
        </w:rPr>
        <w:t>中国共产党南雄市委员会党校位于南雄市雄州镇雄东路</w:t>
      </w:r>
      <w:r>
        <w:t>148号，占地面积1.5万平方米，</w:t>
      </w:r>
      <w:r>
        <w:rPr>
          <w:rFonts w:hint="eastAsia"/>
        </w:rPr>
        <w:t>建筑面积</w:t>
      </w:r>
      <w:r>
        <w:t>3200多平方米。2003年8月，中国共产</w:t>
      </w:r>
      <w:r>
        <w:rPr>
          <w:rFonts w:hint="eastAsia"/>
        </w:rPr>
        <w:t>党南雄市委员会党校、南雄市广播电视大学、南雄市教师进修学校“三校”合并，实行一套人马、三块牌子的办学模式。由南雄市委副书记兼任校长，常务副校长主持学校日常工作，实行校务委员会管理体制，重大事项由校务委员会讨论决定。为南雄市委直属单位，内设</w:t>
      </w:r>
      <w:r>
        <w:t>6个股级机构：办公室、教务</w:t>
      </w:r>
      <w:r>
        <w:rPr>
          <w:rFonts w:hint="eastAsia"/>
        </w:rPr>
        <w:t>处、培训处、电教处、后勤处、农村劳动力培训服务中心。领导职数</w:t>
      </w:r>
      <w:r>
        <w:t>4名（1正3副），内设机构领导</w:t>
      </w:r>
      <w:r>
        <w:rPr>
          <w:rFonts w:hint="eastAsia"/>
        </w:rPr>
        <w:t>职数</w:t>
      </w:r>
      <w:r>
        <w:t>12名（6正6副）。</w:t>
      </w:r>
    </w:p>
    <w:p w14:paraId="64B9EF97">
      <w:r>
        <w:t>学校办学经费主要来源于</w:t>
      </w:r>
      <w:r>
        <w:rPr>
          <w:rFonts w:hint="eastAsia"/>
        </w:rPr>
        <w:t>市财政拨款，教职工工资由市财政全额拨付。学校现有教职工</w:t>
      </w:r>
      <w:r>
        <w:t>45人，其中，专职教师29</w:t>
      </w:r>
      <w:r>
        <w:rPr>
          <w:rFonts w:hint="eastAsia"/>
        </w:rPr>
        <w:t>人，占全体教职工的</w:t>
      </w:r>
      <w:r>
        <w:t>64.4%（高级教师7人，中级</w:t>
      </w:r>
      <w:r>
        <w:rPr>
          <w:rFonts w:hint="eastAsia"/>
        </w:rPr>
        <w:t>教师</w:t>
      </w:r>
      <w:r>
        <w:t>16人，初级教师6人），其他专业技术人员1</w:t>
      </w:r>
      <w:r>
        <w:rPr>
          <w:rFonts w:hint="eastAsia"/>
        </w:rPr>
        <w:t>人，参公管理人员</w:t>
      </w:r>
      <w:r>
        <w:t>6人，职员3人，技术工人6人。</w:t>
      </w:r>
    </w:p>
    <w:p w14:paraId="1537A2FB">
      <w:pPr>
        <w:pStyle w:val="4"/>
        <w:bidi w:val="0"/>
        <w:rPr>
          <w:rFonts w:hint="eastAsia"/>
        </w:rPr>
      </w:pPr>
      <w:r>
        <w:rPr>
          <w:rFonts w:hint="eastAsia"/>
        </w:rPr>
        <w:t>【干部队伍建设】</w:t>
      </w:r>
    </w:p>
    <w:p w14:paraId="181DD6C0">
      <w:pPr>
        <w:rPr>
          <w:rFonts w:hint="eastAsia"/>
        </w:rPr>
      </w:pPr>
      <w:r>
        <w:rPr>
          <w:rFonts w:hint="eastAsia"/>
        </w:rPr>
        <w:t>优质高效的干部培训教学能力的提升，必须有一支“政治强、业务精、作风正”的教师队伍，学校通过引进、培养、聘任等方式，有效地推进师资的优化和教学能力的提升。一是由组织人事部门选调</w:t>
      </w:r>
      <w:r>
        <w:t>4位中高级职称教师充实教师队</w:t>
      </w:r>
      <w:r>
        <w:rPr>
          <w:rFonts w:hint="eastAsia"/>
        </w:rPr>
        <w:t>伍；二是鼓励教师申报高等级专业技术职称，有</w:t>
      </w:r>
      <w:r>
        <w:t>2</w:t>
      </w:r>
      <w:r>
        <w:rPr>
          <w:rFonts w:hint="eastAsia"/>
        </w:rPr>
        <w:t>位教师成功申报取得高级讲师职称并聘任；三是精选外聘教师。聘请知识渊博、实践经验丰富的市直有关单位领导担任兼职教员；四是加大骨干教师的培养力度。鼓励青年教师进修高等级学历或继续教育学习。</w:t>
      </w:r>
      <w:r>
        <w:t>8月份，选派2位青年教师参加东莞一韶</w:t>
      </w:r>
      <w:r>
        <w:rPr>
          <w:rFonts w:hint="eastAsia"/>
        </w:rPr>
        <w:t>关对口培训班学习。</w:t>
      </w:r>
    </w:p>
    <w:p w14:paraId="0D392B67">
      <w:pPr>
        <w:pStyle w:val="4"/>
        <w:bidi w:val="0"/>
        <w:rPr>
          <w:rFonts w:hint="eastAsia"/>
        </w:rPr>
      </w:pPr>
      <w:r>
        <w:rPr>
          <w:rFonts w:hint="eastAsia"/>
        </w:rPr>
        <w:t>【干部培训情况】</w:t>
      </w:r>
    </w:p>
    <w:p w14:paraId="2F7E7A13">
      <w:r>
        <w:rPr>
          <w:rFonts w:hint="eastAsia"/>
        </w:rPr>
        <w:t>党校是党员干部教育培训工作主阵地，做好党员干部培训轮训工作，党校配合组织人事部门，按照《中国共产党党校工作条例》《干部教育培训工作条例》、《公务员法》要求，联合制订本年度的干部教育培训计划，对各主体班次的培训对象、学制、举办时间、教学内容、培训措施等都作详细规定，然后分期实施。</w:t>
      </w:r>
      <w:r>
        <w:t>2013年，党校</w:t>
      </w:r>
      <w:r>
        <w:rPr>
          <w:rFonts w:hint="eastAsia"/>
        </w:rPr>
        <w:t>贯彻落实中组部、省委组织部《关于加强干部培训学员管理的若干规定》精神，借鉴兄弟党校经验，结合本地实际，采取有力措施，加强学风建设，使党校干部教育培训质量提升。</w:t>
      </w:r>
      <w:r>
        <w:t>2013年，党校先后承</w:t>
      </w:r>
      <w:r>
        <w:rPr>
          <w:rFonts w:hint="eastAsia"/>
        </w:rPr>
        <w:t>接各级各部门举办的入党积极分子培训班、会计上岗证培训班、干部自主选学培训班、市纪检监察干部综合业务培训班、新录用公务员初任培训班、公务员全员轮训班等各种培训班次</w:t>
      </w:r>
      <w:r>
        <w:t>103期，参加培训</w:t>
      </w:r>
      <w:r>
        <w:rPr>
          <w:rFonts w:hint="eastAsia"/>
        </w:rPr>
        <w:t>人数达</w:t>
      </w:r>
      <w:r>
        <w:t>9548人次，详情见下表：</w:t>
      </w:r>
    </w:p>
    <w:p w14:paraId="178EDE2B">
      <w:pPr>
        <w:pStyle w:val="10"/>
        <w:bidi w:val="0"/>
        <w:jc w:val="center"/>
        <w:rPr>
          <w:rFonts w:hint="eastAsia"/>
          <w:b/>
          <w:bCs/>
        </w:rPr>
      </w:pPr>
      <w:r>
        <w:rPr>
          <w:rFonts w:hint="eastAsia"/>
          <w:b/>
          <w:bCs/>
        </w:rPr>
        <w:t>2013年组织各级各类培训情况</w:t>
      </w:r>
    </w:p>
    <w:p w14:paraId="356F4694">
      <w:pPr>
        <w:ind w:firstLine="420"/>
        <w:jc w:val="both"/>
        <w:rPr>
          <w:rFonts w:hint="default" w:eastAsia="宋体"/>
          <w:lang w:val="en-US" w:eastAsia="zh-CN"/>
        </w:rPr>
      </w:pPr>
      <w:r>
        <w:rPr>
          <w:rFonts w:hint="eastAsia"/>
          <w:lang w:val="en-US" w:eastAsia="zh-CN"/>
        </w:rPr>
        <w:t>表2</w:t>
      </w:r>
    </w:p>
    <w:tbl>
      <w:tblPr>
        <w:tblStyle w:val="7"/>
        <w:tblW w:w="4998" w:type="pct"/>
        <w:jc w:val="center"/>
        <w:tblLayout w:type="autofit"/>
        <w:tblCellMar>
          <w:top w:w="0" w:type="dxa"/>
          <w:left w:w="108" w:type="dxa"/>
          <w:bottom w:w="0" w:type="dxa"/>
          <w:right w:w="108" w:type="dxa"/>
        </w:tblCellMar>
      </w:tblPr>
      <w:tblGrid>
        <w:gridCol w:w="3983"/>
        <w:gridCol w:w="1829"/>
        <w:gridCol w:w="1829"/>
        <w:gridCol w:w="2317"/>
      </w:tblGrid>
      <w:tr w14:paraId="4C7AC5FD">
        <w:tblPrEx>
          <w:tblCellMar>
            <w:top w:w="0" w:type="dxa"/>
            <w:left w:w="108" w:type="dxa"/>
            <w:bottom w:w="0" w:type="dxa"/>
            <w:right w:w="108" w:type="dxa"/>
          </w:tblCellMar>
        </w:tblPrEx>
        <w:trPr>
          <w:trHeight w:val="764" w:hRule="atLeast"/>
          <w:jc w:val="center"/>
        </w:trPr>
        <w:tc>
          <w:tcPr>
            <w:tcW w:w="2000" w:type="pct"/>
            <w:tcBorders>
              <w:top w:val="single" w:color="000000" w:sz="8" w:space="0"/>
              <w:left w:val="nil"/>
              <w:bottom w:val="single" w:color="000000" w:sz="8" w:space="0"/>
              <w:right w:val="single" w:color="000000" w:sz="8" w:space="0"/>
            </w:tcBorders>
            <w:shd w:val="clear" w:color="auto" w:fill="FFFFFF"/>
            <w:noWrap w:val="0"/>
            <w:vAlign w:val="center"/>
          </w:tcPr>
          <w:p w14:paraId="4C3DC027">
            <w:pPr>
              <w:pStyle w:val="10"/>
              <w:bidi w:val="0"/>
              <w:jc w:val="center"/>
              <w:rPr>
                <w:rFonts w:hint="eastAsia"/>
                <w:b/>
                <w:bCs/>
                <w:color w:val="000000"/>
              </w:rPr>
            </w:pPr>
            <w:r>
              <w:rPr>
                <w:rFonts w:hint="eastAsia"/>
                <w:b/>
                <w:bCs/>
                <w:color w:val="000000"/>
              </w:rPr>
              <w:t>培训班别</w:t>
            </w:r>
          </w:p>
        </w:tc>
        <w:tc>
          <w:tcPr>
            <w:tcW w:w="91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D329FDE">
            <w:pPr>
              <w:pStyle w:val="10"/>
              <w:bidi w:val="0"/>
              <w:jc w:val="center"/>
              <w:rPr>
                <w:rFonts w:hint="eastAsia"/>
                <w:b/>
                <w:bCs/>
                <w:color w:val="000000"/>
              </w:rPr>
            </w:pPr>
            <w:r>
              <w:rPr>
                <w:rFonts w:hint="eastAsia"/>
                <w:b/>
                <w:bCs/>
                <w:color w:val="000000"/>
              </w:rPr>
              <w:t>举办期数</w:t>
            </w:r>
          </w:p>
        </w:tc>
        <w:tc>
          <w:tcPr>
            <w:tcW w:w="91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A74E8D1">
            <w:pPr>
              <w:pStyle w:val="10"/>
              <w:bidi w:val="0"/>
              <w:jc w:val="center"/>
              <w:rPr>
                <w:rFonts w:hint="eastAsia"/>
                <w:b/>
                <w:bCs/>
                <w:color w:val="000000"/>
              </w:rPr>
            </w:pPr>
            <w:r>
              <w:rPr>
                <w:rFonts w:hint="eastAsia"/>
                <w:b/>
                <w:bCs/>
                <w:color w:val="000000"/>
              </w:rPr>
              <w:t>参培人数</w:t>
            </w:r>
          </w:p>
        </w:tc>
        <w:tc>
          <w:tcPr>
            <w:tcW w:w="1163" w:type="pct"/>
            <w:tcBorders>
              <w:top w:val="single" w:color="000000" w:sz="8" w:space="0"/>
              <w:left w:val="single" w:color="000000" w:sz="8" w:space="0"/>
              <w:bottom w:val="single" w:color="000000" w:sz="8" w:space="0"/>
              <w:right w:val="nil"/>
            </w:tcBorders>
            <w:shd w:val="clear" w:color="auto" w:fill="FFFFFF"/>
            <w:noWrap w:val="0"/>
            <w:vAlign w:val="center"/>
          </w:tcPr>
          <w:p w14:paraId="233F9D0E">
            <w:pPr>
              <w:pStyle w:val="10"/>
              <w:bidi w:val="0"/>
              <w:jc w:val="center"/>
              <w:rPr>
                <w:rFonts w:hint="eastAsia"/>
                <w:b/>
                <w:bCs/>
                <w:color w:val="000000"/>
              </w:rPr>
            </w:pPr>
            <w:r>
              <w:rPr>
                <w:rFonts w:hint="eastAsia"/>
                <w:b/>
                <w:bCs/>
                <w:color w:val="000000"/>
              </w:rPr>
              <w:t>举办部门</w:t>
            </w:r>
          </w:p>
        </w:tc>
      </w:tr>
      <w:tr w14:paraId="204CCD1C">
        <w:tblPrEx>
          <w:tblCellMar>
            <w:top w:w="0" w:type="dxa"/>
            <w:left w:w="108" w:type="dxa"/>
            <w:bottom w:w="0" w:type="dxa"/>
            <w:right w:w="108" w:type="dxa"/>
          </w:tblCellMar>
        </w:tblPrEx>
        <w:trPr>
          <w:trHeight w:val="318" w:hRule="atLeast"/>
          <w:jc w:val="center"/>
        </w:trPr>
        <w:tc>
          <w:tcPr>
            <w:tcW w:w="2000" w:type="pct"/>
            <w:tcBorders>
              <w:top w:val="single" w:color="000000" w:sz="8" w:space="0"/>
              <w:left w:val="nil"/>
              <w:bottom w:val="single" w:color="000000" w:sz="8" w:space="0"/>
              <w:right w:val="single" w:color="000000" w:sz="8" w:space="0"/>
            </w:tcBorders>
            <w:shd w:val="clear" w:color="auto" w:fill="FFFFFF"/>
            <w:noWrap w:val="0"/>
            <w:vAlign w:val="center"/>
          </w:tcPr>
          <w:p w14:paraId="4397C5E6">
            <w:pPr>
              <w:pStyle w:val="10"/>
              <w:bidi w:val="0"/>
              <w:jc w:val="center"/>
              <w:rPr>
                <w:rFonts w:hint="eastAsia"/>
                <w:color w:val="000000"/>
              </w:rPr>
            </w:pPr>
            <w:r>
              <w:rPr>
                <w:rFonts w:hint="eastAsia"/>
                <w:color w:val="000000"/>
              </w:rPr>
              <w:t>入党积极分子培训班</w:t>
            </w:r>
          </w:p>
        </w:tc>
        <w:tc>
          <w:tcPr>
            <w:tcW w:w="91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3264C65">
            <w:pPr>
              <w:pStyle w:val="10"/>
              <w:bidi w:val="0"/>
              <w:jc w:val="center"/>
              <w:rPr>
                <w:rFonts w:hint="eastAsia"/>
                <w:color w:val="000000"/>
              </w:rPr>
            </w:pPr>
            <w:r>
              <w:rPr>
                <w:rFonts w:hint="eastAsia"/>
                <w:color w:val="000000"/>
              </w:rPr>
              <w:t>1</w:t>
            </w:r>
          </w:p>
        </w:tc>
        <w:tc>
          <w:tcPr>
            <w:tcW w:w="91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F8B718E">
            <w:pPr>
              <w:pStyle w:val="10"/>
              <w:bidi w:val="0"/>
              <w:jc w:val="center"/>
              <w:rPr>
                <w:rFonts w:hint="eastAsia"/>
                <w:color w:val="000000"/>
              </w:rPr>
            </w:pPr>
            <w:r>
              <w:rPr>
                <w:rFonts w:hint="eastAsia"/>
                <w:color w:val="000000"/>
              </w:rPr>
              <w:t>85</w:t>
            </w:r>
          </w:p>
        </w:tc>
        <w:tc>
          <w:tcPr>
            <w:tcW w:w="1163" w:type="pct"/>
            <w:tcBorders>
              <w:top w:val="single" w:color="000000" w:sz="8" w:space="0"/>
              <w:left w:val="single" w:color="000000" w:sz="8" w:space="0"/>
              <w:bottom w:val="single" w:color="000000" w:sz="8" w:space="0"/>
              <w:right w:val="nil"/>
            </w:tcBorders>
            <w:shd w:val="clear" w:color="auto" w:fill="FFFFFF"/>
            <w:noWrap w:val="0"/>
            <w:vAlign w:val="center"/>
          </w:tcPr>
          <w:p w14:paraId="12017082">
            <w:pPr>
              <w:pStyle w:val="10"/>
              <w:bidi w:val="0"/>
              <w:jc w:val="center"/>
              <w:rPr>
                <w:rFonts w:hint="eastAsia"/>
                <w:color w:val="000000"/>
              </w:rPr>
            </w:pPr>
            <w:r>
              <w:rPr>
                <w:rFonts w:hint="eastAsia"/>
                <w:color w:val="000000"/>
              </w:rPr>
              <w:t>市直属工委</w:t>
            </w:r>
          </w:p>
        </w:tc>
      </w:tr>
      <w:tr w14:paraId="24B6D961">
        <w:tblPrEx>
          <w:tblCellMar>
            <w:top w:w="0" w:type="dxa"/>
            <w:left w:w="108" w:type="dxa"/>
            <w:bottom w:w="0" w:type="dxa"/>
            <w:right w:w="108" w:type="dxa"/>
          </w:tblCellMar>
        </w:tblPrEx>
        <w:trPr>
          <w:trHeight w:val="318" w:hRule="atLeast"/>
          <w:jc w:val="center"/>
        </w:trPr>
        <w:tc>
          <w:tcPr>
            <w:tcW w:w="2000" w:type="pct"/>
            <w:tcBorders>
              <w:top w:val="single" w:color="000000" w:sz="8" w:space="0"/>
              <w:left w:val="nil"/>
              <w:bottom w:val="single" w:color="000000" w:sz="8" w:space="0"/>
              <w:right w:val="single" w:color="000000" w:sz="8" w:space="0"/>
            </w:tcBorders>
            <w:shd w:val="clear" w:color="auto" w:fill="FFFFFF"/>
            <w:noWrap w:val="0"/>
            <w:vAlign w:val="center"/>
          </w:tcPr>
          <w:p w14:paraId="7A879D96">
            <w:pPr>
              <w:pStyle w:val="10"/>
              <w:bidi w:val="0"/>
              <w:jc w:val="center"/>
              <w:rPr>
                <w:rFonts w:hint="eastAsia"/>
                <w:color w:val="000000"/>
              </w:rPr>
            </w:pPr>
            <w:r>
              <w:rPr>
                <w:rFonts w:hint="eastAsia"/>
                <w:color w:val="000000"/>
              </w:rPr>
              <w:t>会计上岗证培训班</w:t>
            </w:r>
          </w:p>
        </w:tc>
        <w:tc>
          <w:tcPr>
            <w:tcW w:w="91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ABD514A">
            <w:pPr>
              <w:pStyle w:val="10"/>
              <w:bidi w:val="0"/>
              <w:jc w:val="center"/>
              <w:rPr>
                <w:rFonts w:hint="eastAsia"/>
                <w:color w:val="000000"/>
              </w:rPr>
            </w:pPr>
            <w:r>
              <w:rPr>
                <w:rFonts w:hint="eastAsia"/>
                <w:color w:val="000000"/>
              </w:rPr>
              <w:t>1</w:t>
            </w:r>
          </w:p>
        </w:tc>
        <w:tc>
          <w:tcPr>
            <w:tcW w:w="91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404F2C0">
            <w:pPr>
              <w:pStyle w:val="10"/>
              <w:bidi w:val="0"/>
              <w:jc w:val="center"/>
              <w:rPr>
                <w:rFonts w:hint="eastAsia"/>
                <w:color w:val="000000"/>
              </w:rPr>
            </w:pPr>
            <w:r>
              <w:rPr>
                <w:rFonts w:hint="eastAsia"/>
                <w:color w:val="000000"/>
              </w:rPr>
              <w:t>70</w:t>
            </w:r>
          </w:p>
        </w:tc>
        <w:tc>
          <w:tcPr>
            <w:tcW w:w="1163" w:type="pct"/>
            <w:tcBorders>
              <w:top w:val="single" w:color="000000" w:sz="8" w:space="0"/>
              <w:left w:val="single" w:color="000000" w:sz="8" w:space="0"/>
              <w:bottom w:val="single" w:color="000000" w:sz="8" w:space="0"/>
              <w:right w:val="nil"/>
            </w:tcBorders>
            <w:shd w:val="clear" w:color="auto" w:fill="FFFFFF"/>
            <w:noWrap w:val="0"/>
            <w:vAlign w:val="center"/>
          </w:tcPr>
          <w:p w14:paraId="53AA83CD">
            <w:pPr>
              <w:pStyle w:val="10"/>
              <w:bidi w:val="0"/>
              <w:jc w:val="center"/>
              <w:rPr>
                <w:rFonts w:hint="eastAsia"/>
                <w:color w:val="000000"/>
              </w:rPr>
            </w:pPr>
            <w:r>
              <w:rPr>
                <w:rFonts w:hint="eastAsia"/>
                <w:color w:val="000000"/>
              </w:rPr>
              <w:t>市财政局</w:t>
            </w:r>
          </w:p>
        </w:tc>
      </w:tr>
      <w:tr w14:paraId="59829E1F">
        <w:tblPrEx>
          <w:tblCellMar>
            <w:top w:w="0" w:type="dxa"/>
            <w:left w:w="108" w:type="dxa"/>
            <w:bottom w:w="0" w:type="dxa"/>
            <w:right w:w="108" w:type="dxa"/>
          </w:tblCellMar>
        </w:tblPrEx>
        <w:trPr>
          <w:trHeight w:val="318" w:hRule="atLeast"/>
          <w:jc w:val="center"/>
        </w:trPr>
        <w:tc>
          <w:tcPr>
            <w:tcW w:w="2000" w:type="pct"/>
            <w:tcBorders>
              <w:top w:val="single" w:color="000000" w:sz="8" w:space="0"/>
              <w:left w:val="nil"/>
              <w:bottom w:val="single" w:color="000000" w:sz="8" w:space="0"/>
              <w:right w:val="single" w:color="000000" w:sz="8" w:space="0"/>
            </w:tcBorders>
            <w:shd w:val="clear" w:color="auto" w:fill="FFFFFF"/>
            <w:noWrap w:val="0"/>
            <w:vAlign w:val="center"/>
          </w:tcPr>
          <w:p w14:paraId="6E465A76">
            <w:pPr>
              <w:pStyle w:val="10"/>
              <w:bidi w:val="0"/>
              <w:jc w:val="center"/>
              <w:rPr>
                <w:rFonts w:hint="eastAsia"/>
                <w:color w:val="000000"/>
              </w:rPr>
            </w:pPr>
            <w:r>
              <w:rPr>
                <w:rFonts w:hint="eastAsia"/>
                <w:color w:val="000000"/>
              </w:rPr>
              <w:t>干部自主选学培训班</w:t>
            </w:r>
          </w:p>
        </w:tc>
        <w:tc>
          <w:tcPr>
            <w:tcW w:w="91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D5275F1">
            <w:pPr>
              <w:pStyle w:val="10"/>
              <w:bidi w:val="0"/>
              <w:jc w:val="center"/>
              <w:rPr>
                <w:rFonts w:hint="eastAsia"/>
                <w:color w:val="000000"/>
              </w:rPr>
            </w:pPr>
            <w:r>
              <w:rPr>
                <w:rFonts w:hint="eastAsia"/>
                <w:color w:val="000000"/>
              </w:rPr>
              <w:t>81</w:t>
            </w:r>
          </w:p>
        </w:tc>
        <w:tc>
          <w:tcPr>
            <w:tcW w:w="91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92104E1">
            <w:pPr>
              <w:pStyle w:val="10"/>
              <w:bidi w:val="0"/>
              <w:jc w:val="center"/>
              <w:rPr>
                <w:rFonts w:hint="eastAsia"/>
                <w:color w:val="000000"/>
              </w:rPr>
            </w:pPr>
            <w:r>
              <w:rPr>
                <w:rFonts w:hint="eastAsia"/>
                <w:color w:val="000000"/>
              </w:rPr>
              <w:t>6974</w:t>
            </w:r>
          </w:p>
        </w:tc>
        <w:tc>
          <w:tcPr>
            <w:tcW w:w="1163" w:type="pct"/>
            <w:tcBorders>
              <w:top w:val="single" w:color="000000" w:sz="8" w:space="0"/>
              <w:left w:val="single" w:color="000000" w:sz="8" w:space="0"/>
              <w:bottom w:val="single" w:color="000000" w:sz="8" w:space="0"/>
              <w:right w:val="nil"/>
            </w:tcBorders>
            <w:shd w:val="clear" w:color="auto" w:fill="FFFFFF"/>
            <w:noWrap w:val="0"/>
            <w:vAlign w:val="center"/>
          </w:tcPr>
          <w:p w14:paraId="18539AC4">
            <w:pPr>
              <w:pStyle w:val="10"/>
              <w:bidi w:val="0"/>
              <w:jc w:val="center"/>
              <w:rPr>
                <w:rFonts w:hint="eastAsia"/>
                <w:color w:val="000000"/>
              </w:rPr>
            </w:pPr>
            <w:r>
              <w:rPr>
                <w:rFonts w:hint="eastAsia"/>
                <w:color w:val="000000"/>
              </w:rPr>
              <w:t>市委组织部</w:t>
            </w:r>
          </w:p>
        </w:tc>
      </w:tr>
      <w:tr w14:paraId="10ED1B08">
        <w:tblPrEx>
          <w:tblCellMar>
            <w:top w:w="0" w:type="dxa"/>
            <w:left w:w="108" w:type="dxa"/>
            <w:bottom w:w="0" w:type="dxa"/>
            <w:right w:w="108" w:type="dxa"/>
          </w:tblCellMar>
        </w:tblPrEx>
        <w:trPr>
          <w:trHeight w:val="318" w:hRule="atLeast"/>
          <w:jc w:val="center"/>
        </w:trPr>
        <w:tc>
          <w:tcPr>
            <w:tcW w:w="2000" w:type="pct"/>
            <w:tcBorders>
              <w:top w:val="single" w:color="000000" w:sz="8" w:space="0"/>
              <w:left w:val="nil"/>
              <w:bottom w:val="single" w:color="000000" w:sz="8" w:space="0"/>
              <w:right w:val="single" w:color="000000" w:sz="8" w:space="0"/>
            </w:tcBorders>
            <w:shd w:val="clear" w:color="auto" w:fill="FFFFFF"/>
            <w:noWrap w:val="0"/>
            <w:vAlign w:val="center"/>
          </w:tcPr>
          <w:p w14:paraId="62637082">
            <w:pPr>
              <w:pStyle w:val="10"/>
              <w:bidi w:val="0"/>
              <w:jc w:val="center"/>
              <w:rPr>
                <w:rFonts w:hint="eastAsia"/>
                <w:color w:val="000000"/>
              </w:rPr>
            </w:pPr>
            <w:r>
              <w:rPr>
                <w:rFonts w:hint="eastAsia"/>
                <w:color w:val="000000"/>
              </w:rPr>
              <w:t>市纪检监察干部综合业务培训班</w:t>
            </w:r>
          </w:p>
        </w:tc>
        <w:tc>
          <w:tcPr>
            <w:tcW w:w="91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A26B183">
            <w:pPr>
              <w:pStyle w:val="10"/>
              <w:bidi w:val="0"/>
              <w:jc w:val="center"/>
              <w:rPr>
                <w:rFonts w:hint="eastAsia"/>
                <w:color w:val="000000"/>
              </w:rPr>
            </w:pPr>
            <w:r>
              <w:rPr>
                <w:rFonts w:hint="eastAsia"/>
                <w:color w:val="000000"/>
              </w:rPr>
              <w:t>1</w:t>
            </w:r>
          </w:p>
        </w:tc>
        <w:tc>
          <w:tcPr>
            <w:tcW w:w="91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A9A11D7">
            <w:pPr>
              <w:pStyle w:val="10"/>
              <w:bidi w:val="0"/>
              <w:jc w:val="center"/>
              <w:rPr>
                <w:rFonts w:hint="eastAsia"/>
                <w:color w:val="000000"/>
              </w:rPr>
            </w:pPr>
            <w:r>
              <w:rPr>
                <w:rFonts w:hint="eastAsia"/>
                <w:color w:val="000000"/>
              </w:rPr>
              <w:t>100</w:t>
            </w:r>
          </w:p>
        </w:tc>
        <w:tc>
          <w:tcPr>
            <w:tcW w:w="1163" w:type="pct"/>
            <w:tcBorders>
              <w:top w:val="single" w:color="000000" w:sz="8" w:space="0"/>
              <w:left w:val="single" w:color="000000" w:sz="8" w:space="0"/>
              <w:bottom w:val="single" w:color="000000" w:sz="8" w:space="0"/>
              <w:right w:val="nil"/>
            </w:tcBorders>
            <w:shd w:val="clear" w:color="auto" w:fill="FFFFFF"/>
            <w:noWrap w:val="0"/>
            <w:vAlign w:val="center"/>
          </w:tcPr>
          <w:p w14:paraId="6865EBED">
            <w:pPr>
              <w:pStyle w:val="10"/>
              <w:bidi w:val="0"/>
              <w:jc w:val="center"/>
              <w:rPr>
                <w:rFonts w:hint="eastAsia"/>
                <w:color w:val="000000"/>
              </w:rPr>
            </w:pPr>
            <w:r>
              <w:rPr>
                <w:rFonts w:hint="eastAsia"/>
                <w:color w:val="000000"/>
              </w:rPr>
              <w:t>市委纪检会</w:t>
            </w:r>
          </w:p>
        </w:tc>
      </w:tr>
      <w:tr w14:paraId="2AF06F9B">
        <w:tblPrEx>
          <w:tblCellMar>
            <w:top w:w="0" w:type="dxa"/>
            <w:left w:w="108" w:type="dxa"/>
            <w:bottom w:w="0" w:type="dxa"/>
            <w:right w:w="108" w:type="dxa"/>
          </w:tblCellMar>
        </w:tblPrEx>
        <w:trPr>
          <w:trHeight w:val="318" w:hRule="atLeast"/>
          <w:jc w:val="center"/>
        </w:trPr>
        <w:tc>
          <w:tcPr>
            <w:tcW w:w="2000" w:type="pct"/>
            <w:tcBorders>
              <w:top w:val="single" w:color="000000" w:sz="8" w:space="0"/>
              <w:left w:val="nil"/>
              <w:bottom w:val="single" w:color="000000" w:sz="8" w:space="0"/>
              <w:right w:val="single" w:color="000000" w:sz="8" w:space="0"/>
            </w:tcBorders>
            <w:shd w:val="clear" w:color="auto" w:fill="FFFFFF"/>
            <w:noWrap w:val="0"/>
            <w:vAlign w:val="center"/>
          </w:tcPr>
          <w:p w14:paraId="3C0A7AAE">
            <w:pPr>
              <w:pStyle w:val="10"/>
              <w:bidi w:val="0"/>
              <w:jc w:val="center"/>
              <w:rPr>
                <w:rFonts w:hint="eastAsia"/>
                <w:color w:val="000000"/>
              </w:rPr>
            </w:pPr>
            <w:r>
              <w:rPr>
                <w:rFonts w:hint="eastAsia"/>
                <w:color w:val="000000"/>
              </w:rPr>
              <w:t>农村财会人员财政支农政策培训班</w:t>
            </w:r>
          </w:p>
        </w:tc>
        <w:tc>
          <w:tcPr>
            <w:tcW w:w="91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7172194">
            <w:pPr>
              <w:pStyle w:val="10"/>
              <w:bidi w:val="0"/>
              <w:jc w:val="center"/>
              <w:rPr>
                <w:rFonts w:hint="eastAsia"/>
                <w:color w:val="000000"/>
              </w:rPr>
            </w:pPr>
            <w:r>
              <w:rPr>
                <w:rFonts w:hint="eastAsia"/>
                <w:color w:val="000000"/>
              </w:rPr>
              <w:t>2</w:t>
            </w:r>
          </w:p>
        </w:tc>
        <w:tc>
          <w:tcPr>
            <w:tcW w:w="91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DD4A637">
            <w:pPr>
              <w:pStyle w:val="10"/>
              <w:bidi w:val="0"/>
              <w:jc w:val="center"/>
              <w:rPr>
                <w:rFonts w:hint="eastAsia"/>
                <w:color w:val="000000"/>
              </w:rPr>
            </w:pPr>
            <w:r>
              <w:rPr>
                <w:rFonts w:hint="eastAsia"/>
                <w:color w:val="000000"/>
              </w:rPr>
              <w:t>204</w:t>
            </w:r>
          </w:p>
        </w:tc>
        <w:tc>
          <w:tcPr>
            <w:tcW w:w="1163" w:type="pct"/>
            <w:tcBorders>
              <w:top w:val="single" w:color="000000" w:sz="8" w:space="0"/>
              <w:left w:val="single" w:color="000000" w:sz="8" w:space="0"/>
              <w:bottom w:val="single" w:color="000000" w:sz="8" w:space="0"/>
              <w:right w:val="nil"/>
            </w:tcBorders>
            <w:shd w:val="clear" w:color="auto" w:fill="FFFFFF"/>
            <w:noWrap w:val="0"/>
            <w:vAlign w:val="center"/>
          </w:tcPr>
          <w:p w14:paraId="1629EC90">
            <w:pPr>
              <w:pStyle w:val="10"/>
              <w:bidi w:val="0"/>
              <w:jc w:val="center"/>
              <w:rPr>
                <w:rFonts w:hint="eastAsia"/>
                <w:color w:val="000000"/>
              </w:rPr>
            </w:pPr>
            <w:r>
              <w:rPr>
                <w:rFonts w:hint="eastAsia"/>
                <w:color w:val="000000"/>
              </w:rPr>
              <w:t>市财政局</w:t>
            </w:r>
          </w:p>
        </w:tc>
      </w:tr>
      <w:tr w14:paraId="52FDF5AE">
        <w:tblPrEx>
          <w:tblCellMar>
            <w:top w:w="0" w:type="dxa"/>
            <w:left w:w="108" w:type="dxa"/>
            <w:bottom w:w="0" w:type="dxa"/>
            <w:right w:w="108" w:type="dxa"/>
          </w:tblCellMar>
        </w:tblPrEx>
        <w:trPr>
          <w:trHeight w:val="318" w:hRule="atLeast"/>
          <w:jc w:val="center"/>
        </w:trPr>
        <w:tc>
          <w:tcPr>
            <w:tcW w:w="2000" w:type="pct"/>
            <w:tcBorders>
              <w:top w:val="single" w:color="000000" w:sz="8" w:space="0"/>
              <w:left w:val="nil"/>
              <w:bottom w:val="single" w:color="000000" w:sz="8" w:space="0"/>
              <w:right w:val="single" w:color="000000" w:sz="8" w:space="0"/>
            </w:tcBorders>
            <w:shd w:val="clear" w:color="auto" w:fill="FFFFFF"/>
            <w:noWrap w:val="0"/>
            <w:vAlign w:val="center"/>
          </w:tcPr>
          <w:p w14:paraId="783F3309">
            <w:pPr>
              <w:pStyle w:val="10"/>
              <w:bidi w:val="0"/>
              <w:jc w:val="center"/>
              <w:rPr>
                <w:rFonts w:hint="eastAsia"/>
                <w:color w:val="000000"/>
              </w:rPr>
            </w:pPr>
            <w:r>
              <w:rPr>
                <w:rFonts w:hint="eastAsia"/>
                <w:color w:val="000000"/>
              </w:rPr>
              <w:t>农村创业青年培训普及班</w:t>
            </w:r>
          </w:p>
        </w:tc>
        <w:tc>
          <w:tcPr>
            <w:tcW w:w="91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5D10760">
            <w:pPr>
              <w:pStyle w:val="10"/>
              <w:bidi w:val="0"/>
              <w:jc w:val="center"/>
              <w:rPr>
                <w:rFonts w:hint="eastAsia"/>
                <w:color w:val="000000"/>
              </w:rPr>
            </w:pPr>
            <w:r>
              <w:rPr>
                <w:rFonts w:hint="eastAsia"/>
                <w:color w:val="000000"/>
              </w:rPr>
              <w:t>1</w:t>
            </w:r>
          </w:p>
        </w:tc>
        <w:tc>
          <w:tcPr>
            <w:tcW w:w="91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CA80561">
            <w:pPr>
              <w:pStyle w:val="10"/>
              <w:bidi w:val="0"/>
              <w:jc w:val="center"/>
              <w:rPr>
                <w:rFonts w:hint="eastAsia"/>
                <w:color w:val="000000"/>
              </w:rPr>
            </w:pPr>
            <w:r>
              <w:rPr>
                <w:rFonts w:hint="eastAsia"/>
                <w:color w:val="000000"/>
              </w:rPr>
              <w:t>110</w:t>
            </w:r>
          </w:p>
        </w:tc>
        <w:tc>
          <w:tcPr>
            <w:tcW w:w="1163" w:type="pct"/>
            <w:tcBorders>
              <w:top w:val="single" w:color="000000" w:sz="8" w:space="0"/>
              <w:left w:val="single" w:color="000000" w:sz="8" w:space="0"/>
              <w:bottom w:val="single" w:color="000000" w:sz="8" w:space="0"/>
              <w:right w:val="nil"/>
            </w:tcBorders>
            <w:shd w:val="clear" w:color="auto" w:fill="FFFFFF"/>
            <w:noWrap w:val="0"/>
            <w:vAlign w:val="center"/>
          </w:tcPr>
          <w:p w14:paraId="2E0E0190">
            <w:pPr>
              <w:pStyle w:val="10"/>
              <w:bidi w:val="0"/>
              <w:jc w:val="center"/>
              <w:rPr>
                <w:rFonts w:hint="eastAsia"/>
                <w:color w:val="000000"/>
              </w:rPr>
            </w:pPr>
            <w:r>
              <w:rPr>
                <w:rFonts w:hint="eastAsia"/>
                <w:color w:val="000000"/>
              </w:rPr>
              <w:t>市关工委</w:t>
            </w:r>
          </w:p>
        </w:tc>
      </w:tr>
      <w:tr w14:paraId="42BB975D">
        <w:tblPrEx>
          <w:tblCellMar>
            <w:top w:w="0" w:type="dxa"/>
            <w:left w:w="108" w:type="dxa"/>
            <w:bottom w:w="0" w:type="dxa"/>
            <w:right w:w="108" w:type="dxa"/>
          </w:tblCellMar>
        </w:tblPrEx>
        <w:trPr>
          <w:trHeight w:val="318" w:hRule="atLeast"/>
          <w:jc w:val="center"/>
        </w:trPr>
        <w:tc>
          <w:tcPr>
            <w:tcW w:w="2000" w:type="pct"/>
            <w:tcBorders>
              <w:top w:val="single" w:color="000000" w:sz="8" w:space="0"/>
              <w:left w:val="nil"/>
              <w:bottom w:val="single" w:color="000000" w:sz="8" w:space="0"/>
              <w:right w:val="single" w:color="000000" w:sz="8" w:space="0"/>
            </w:tcBorders>
            <w:shd w:val="clear" w:color="auto" w:fill="FFFFFF"/>
            <w:noWrap w:val="0"/>
            <w:vAlign w:val="center"/>
          </w:tcPr>
          <w:p w14:paraId="35854D77">
            <w:pPr>
              <w:pStyle w:val="10"/>
              <w:bidi w:val="0"/>
              <w:jc w:val="center"/>
              <w:rPr>
                <w:rFonts w:hint="eastAsia"/>
                <w:color w:val="000000"/>
              </w:rPr>
            </w:pPr>
            <w:r>
              <w:rPr>
                <w:rFonts w:hint="eastAsia"/>
                <w:color w:val="000000"/>
              </w:rPr>
              <w:t>新录用公务员初任培训班</w:t>
            </w:r>
          </w:p>
        </w:tc>
        <w:tc>
          <w:tcPr>
            <w:tcW w:w="91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1CA760C">
            <w:pPr>
              <w:pStyle w:val="10"/>
              <w:bidi w:val="0"/>
              <w:jc w:val="center"/>
              <w:rPr>
                <w:rFonts w:hint="eastAsia"/>
                <w:color w:val="000000"/>
              </w:rPr>
            </w:pPr>
            <w:r>
              <w:rPr>
                <w:rFonts w:hint="eastAsia"/>
                <w:color w:val="000000"/>
              </w:rPr>
              <w:t>1</w:t>
            </w:r>
          </w:p>
        </w:tc>
        <w:tc>
          <w:tcPr>
            <w:tcW w:w="91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62F4482">
            <w:pPr>
              <w:pStyle w:val="10"/>
              <w:bidi w:val="0"/>
              <w:jc w:val="center"/>
              <w:rPr>
                <w:rFonts w:hint="eastAsia"/>
                <w:color w:val="000000"/>
              </w:rPr>
            </w:pPr>
            <w:r>
              <w:rPr>
                <w:rFonts w:hint="eastAsia"/>
                <w:color w:val="000000"/>
              </w:rPr>
              <w:t>66</w:t>
            </w:r>
          </w:p>
        </w:tc>
        <w:tc>
          <w:tcPr>
            <w:tcW w:w="1163" w:type="pct"/>
            <w:tcBorders>
              <w:top w:val="single" w:color="000000" w:sz="8" w:space="0"/>
              <w:left w:val="single" w:color="000000" w:sz="8" w:space="0"/>
              <w:bottom w:val="single" w:color="000000" w:sz="8" w:space="0"/>
              <w:right w:val="nil"/>
            </w:tcBorders>
            <w:shd w:val="clear" w:color="auto" w:fill="FFFFFF"/>
            <w:noWrap w:val="0"/>
            <w:vAlign w:val="center"/>
          </w:tcPr>
          <w:p w14:paraId="40A0B5EE">
            <w:pPr>
              <w:pStyle w:val="10"/>
              <w:bidi w:val="0"/>
              <w:jc w:val="center"/>
              <w:rPr>
                <w:rFonts w:hint="eastAsia"/>
                <w:color w:val="000000"/>
              </w:rPr>
            </w:pPr>
            <w:r>
              <w:rPr>
                <w:rFonts w:hint="eastAsia"/>
                <w:color w:val="000000"/>
              </w:rPr>
              <w:t>市人社局</w:t>
            </w:r>
          </w:p>
        </w:tc>
      </w:tr>
      <w:tr w14:paraId="287D27E0">
        <w:tblPrEx>
          <w:tblCellMar>
            <w:top w:w="0" w:type="dxa"/>
            <w:left w:w="108" w:type="dxa"/>
            <w:bottom w:w="0" w:type="dxa"/>
            <w:right w:w="108" w:type="dxa"/>
          </w:tblCellMar>
        </w:tblPrEx>
        <w:trPr>
          <w:trHeight w:val="318" w:hRule="atLeast"/>
          <w:jc w:val="center"/>
        </w:trPr>
        <w:tc>
          <w:tcPr>
            <w:tcW w:w="2000" w:type="pct"/>
            <w:tcBorders>
              <w:top w:val="single" w:color="000000" w:sz="8" w:space="0"/>
              <w:left w:val="nil"/>
              <w:bottom w:val="single" w:color="000000" w:sz="8" w:space="0"/>
              <w:right w:val="single" w:color="000000" w:sz="8" w:space="0"/>
            </w:tcBorders>
            <w:shd w:val="clear" w:color="auto" w:fill="FFFFFF"/>
            <w:noWrap w:val="0"/>
            <w:vAlign w:val="center"/>
          </w:tcPr>
          <w:p w14:paraId="5A385645">
            <w:pPr>
              <w:pStyle w:val="10"/>
              <w:bidi w:val="0"/>
              <w:jc w:val="center"/>
              <w:rPr>
                <w:rFonts w:hint="eastAsia"/>
                <w:color w:val="000000"/>
              </w:rPr>
            </w:pPr>
            <w:r>
              <w:rPr>
                <w:rFonts w:hint="eastAsia"/>
                <w:color w:val="000000"/>
              </w:rPr>
              <w:t>公务员全员培训班</w:t>
            </w:r>
          </w:p>
        </w:tc>
        <w:tc>
          <w:tcPr>
            <w:tcW w:w="91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EB64DA4">
            <w:pPr>
              <w:pStyle w:val="10"/>
              <w:bidi w:val="0"/>
              <w:jc w:val="center"/>
              <w:rPr>
                <w:rFonts w:hint="eastAsia"/>
                <w:color w:val="000000"/>
              </w:rPr>
            </w:pPr>
            <w:r>
              <w:rPr>
                <w:rFonts w:hint="eastAsia"/>
                <w:color w:val="000000"/>
              </w:rPr>
              <w:t>15</w:t>
            </w:r>
          </w:p>
        </w:tc>
        <w:tc>
          <w:tcPr>
            <w:tcW w:w="91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1DD9218">
            <w:pPr>
              <w:pStyle w:val="10"/>
              <w:bidi w:val="0"/>
              <w:jc w:val="center"/>
              <w:rPr>
                <w:rFonts w:hint="eastAsia"/>
                <w:color w:val="000000"/>
              </w:rPr>
            </w:pPr>
            <w:r>
              <w:rPr>
                <w:rFonts w:hint="eastAsia"/>
                <w:color w:val="000000"/>
              </w:rPr>
              <w:t>1939</w:t>
            </w:r>
          </w:p>
        </w:tc>
        <w:tc>
          <w:tcPr>
            <w:tcW w:w="1163" w:type="pct"/>
            <w:tcBorders>
              <w:top w:val="single" w:color="000000" w:sz="8" w:space="0"/>
              <w:left w:val="single" w:color="000000" w:sz="8" w:space="0"/>
              <w:bottom w:val="single" w:color="000000" w:sz="8" w:space="0"/>
              <w:right w:val="nil"/>
            </w:tcBorders>
            <w:shd w:val="clear" w:color="auto" w:fill="FFFFFF"/>
            <w:noWrap w:val="0"/>
            <w:vAlign w:val="center"/>
          </w:tcPr>
          <w:p w14:paraId="21BF897B">
            <w:pPr>
              <w:pStyle w:val="10"/>
              <w:bidi w:val="0"/>
              <w:jc w:val="center"/>
              <w:rPr>
                <w:rFonts w:hint="eastAsia"/>
                <w:color w:val="000000"/>
              </w:rPr>
            </w:pPr>
            <w:r>
              <w:rPr>
                <w:rFonts w:hint="eastAsia"/>
                <w:color w:val="000000"/>
              </w:rPr>
              <w:t>市人社局</w:t>
            </w:r>
          </w:p>
        </w:tc>
      </w:tr>
      <w:tr w14:paraId="21828056">
        <w:tblPrEx>
          <w:tblCellMar>
            <w:top w:w="0" w:type="dxa"/>
            <w:left w:w="108" w:type="dxa"/>
            <w:bottom w:w="0" w:type="dxa"/>
            <w:right w:w="108" w:type="dxa"/>
          </w:tblCellMar>
        </w:tblPrEx>
        <w:trPr>
          <w:trHeight w:val="508" w:hRule="atLeast"/>
          <w:jc w:val="center"/>
        </w:trPr>
        <w:tc>
          <w:tcPr>
            <w:tcW w:w="2000" w:type="pct"/>
            <w:tcBorders>
              <w:top w:val="single" w:color="000000" w:sz="8" w:space="0"/>
              <w:left w:val="nil"/>
              <w:bottom w:val="single" w:color="000000" w:sz="8" w:space="0"/>
              <w:right w:val="single" w:color="000000" w:sz="8" w:space="0"/>
            </w:tcBorders>
            <w:shd w:val="clear" w:color="auto" w:fill="FFFFFF"/>
            <w:noWrap w:val="0"/>
            <w:vAlign w:val="center"/>
          </w:tcPr>
          <w:p w14:paraId="6784B3B1">
            <w:pPr>
              <w:pStyle w:val="10"/>
              <w:bidi w:val="0"/>
              <w:jc w:val="center"/>
              <w:rPr>
                <w:rFonts w:hint="eastAsia"/>
                <w:color w:val="000000"/>
              </w:rPr>
            </w:pPr>
            <w:r>
              <w:rPr>
                <w:rFonts w:hint="eastAsia"/>
                <w:color w:val="000000"/>
              </w:rPr>
              <w:t>合计</w:t>
            </w:r>
          </w:p>
        </w:tc>
        <w:tc>
          <w:tcPr>
            <w:tcW w:w="91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0962693">
            <w:pPr>
              <w:pStyle w:val="10"/>
              <w:bidi w:val="0"/>
              <w:jc w:val="center"/>
              <w:rPr>
                <w:rFonts w:hint="eastAsia"/>
                <w:color w:val="000000"/>
              </w:rPr>
            </w:pPr>
            <w:r>
              <w:rPr>
                <w:rFonts w:hint="eastAsia"/>
                <w:color w:val="000000"/>
              </w:rPr>
              <w:t>103</w:t>
            </w:r>
          </w:p>
        </w:tc>
        <w:tc>
          <w:tcPr>
            <w:tcW w:w="91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F24C5C3">
            <w:pPr>
              <w:pStyle w:val="10"/>
              <w:bidi w:val="0"/>
              <w:jc w:val="center"/>
              <w:rPr>
                <w:rFonts w:hint="eastAsia"/>
                <w:color w:val="000000"/>
              </w:rPr>
            </w:pPr>
            <w:r>
              <w:rPr>
                <w:rFonts w:hint="eastAsia"/>
                <w:color w:val="000000"/>
              </w:rPr>
              <w:t>9548</w:t>
            </w:r>
          </w:p>
        </w:tc>
        <w:tc>
          <w:tcPr>
            <w:tcW w:w="1163" w:type="pct"/>
            <w:tcBorders>
              <w:top w:val="single" w:color="000000" w:sz="8" w:space="0"/>
              <w:left w:val="single" w:color="000000" w:sz="8" w:space="0"/>
              <w:bottom w:val="single" w:color="000000" w:sz="8" w:space="0"/>
              <w:right w:val="nil"/>
            </w:tcBorders>
            <w:shd w:val="clear" w:color="auto" w:fill="FFFFFF"/>
            <w:noWrap w:val="0"/>
            <w:vAlign w:val="center"/>
          </w:tcPr>
          <w:p w14:paraId="45C98DB7">
            <w:pPr>
              <w:pStyle w:val="10"/>
              <w:bidi w:val="0"/>
              <w:jc w:val="center"/>
              <w:rPr>
                <w:rFonts w:hint="eastAsia"/>
                <w:color w:val="000000"/>
              </w:rPr>
            </w:pPr>
          </w:p>
        </w:tc>
      </w:tr>
    </w:tbl>
    <w:p w14:paraId="69D43EC2">
      <w:pPr>
        <w:pStyle w:val="4"/>
        <w:bidi w:val="0"/>
        <w:rPr>
          <w:rFonts w:hint="eastAsia"/>
        </w:rPr>
      </w:pPr>
      <w:r>
        <w:rPr>
          <w:rFonts w:hint="eastAsia"/>
        </w:rPr>
        <w:t>【学历教育】</w:t>
      </w:r>
    </w:p>
    <w:p w14:paraId="4EE7AA1F">
      <w:pPr>
        <w:rPr>
          <w:rFonts w:hint="eastAsia"/>
        </w:rPr>
      </w:pPr>
      <w:r>
        <w:t>2013年，开设中央电大开放教育行</w:t>
      </w:r>
      <w:r>
        <w:rPr>
          <w:rFonts w:hint="eastAsia"/>
        </w:rPr>
        <w:t>政管理、法学、英语、汉语言文学等专业本科班，法学、行政管理、计算机应用、会计、小学教育等专业专科班。</w:t>
      </w:r>
      <w:r>
        <w:t>2013年春、秋两季入学新生485人，</w:t>
      </w:r>
      <w:r>
        <w:rPr>
          <w:rFonts w:hint="eastAsia"/>
        </w:rPr>
        <w:t>其中专科学生</w:t>
      </w:r>
      <w:r>
        <w:t>291人、本科学生194人，在校学生</w:t>
      </w:r>
      <w:r>
        <w:rPr>
          <w:rFonts w:hint="eastAsia"/>
        </w:rPr>
        <w:t>超过</w:t>
      </w:r>
      <w:r>
        <w:t>1000人。2013年毕业生522人，其中，中央</w:t>
      </w:r>
      <w:r>
        <w:rPr>
          <w:rFonts w:hint="eastAsia"/>
        </w:rPr>
        <w:t>电大开放教育专业本科班</w:t>
      </w:r>
      <w:r>
        <w:t>199人，中央电大开放教</w:t>
      </w:r>
      <w:r>
        <w:rPr>
          <w:rFonts w:hint="eastAsia"/>
        </w:rPr>
        <w:t>育试点专业大专班</w:t>
      </w:r>
      <w:r>
        <w:t>323人。在教学管理上，学校抓</w:t>
      </w:r>
      <w:r>
        <w:rPr>
          <w:rFonts w:hint="eastAsia"/>
        </w:rPr>
        <w:t>常规管理，建立健全各项规章制，严格执行考试纪律。加强班主任管理工作，要求班主任加强与学员的联系沟通，做好学员的思想教育工作，提高学员的到课率；加强科任教师业务能力培训，提高教师业务水平，严格要求教真备好课、上好课，重视教学的研究与反思，改进教学工作，作业的布置与批改有针对性和实效性。</w:t>
      </w:r>
    </w:p>
    <w:p w14:paraId="5FA7D704">
      <w:pPr>
        <w:pStyle w:val="4"/>
        <w:bidi w:val="0"/>
        <w:rPr>
          <w:rFonts w:hint="eastAsia"/>
        </w:rPr>
      </w:pPr>
      <w:r>
        <w:rPr>
          <w:rFonts w:hint="eastAsia"/>
        </w:rPr>
        <w:t>【科研工作】</w:t>
      </w:r>
    </w:p>
    <w:p w14:paraId="5A4C47D4">
      <w:r>
        <w:rPr>
          <w:rFonts w:hint="eastAsia"/>
        </w:rPr>
        <w:t>贯彻落实党校科研要“为推进党的理论创新服务，为提高党校教学质量服务，为党委和政府决策服务，为社会主义经济建设、政治建设、文化建设、社会建设和党的建设服务”的方针。主动承担或参与南雄</w:t>
      </w:r>
      <w:r>
        <w:rPr>
          <w:rFonts w:hint="eastAsia"/>
          <w:lang w:eastAsia="zh-CN"/>
        </w:rPr>
        <w:t>市委市政府</w:t>
      </w:r>
      <w:r>
        <w:rPr>
          <w:rFonts w:hint="eastAsia"/>
        </w:rPr>
        <w:t>重大课题研究，组织不同形式的社会调</w:t>
      </w:r>
      <w:r>
        <w:rPr>
          <w:rFonts w:hint="eastAsia"/>
          <w:lang w:eastAsia="zh-CN"/>
        </w:rPr>
        <w:t>查</w:t>
      </w:r>
      <w:r>
        <w:rPr>
          <w:rFonts w:hint="eastAsia"/>
        </w:rPr>
        <w:t>和社会实践活动，使科研工作为当地党委和政府决策服务；并引导教研人员和学员关注本地经济社会发展的重大现实问题，深入开展专题研究。</w:t>
      </w:r>
      <w:r>
        <w:t>2013年度，组织教师申报韶关市</w:t>
      </w:r>
      <w:r>
        <w:rPr>
          <w:rFonts w:hint="eastAsia"/>
        </w:rPr>
        <w:t>党校科研课题</w:t>
      </w:r>
      <w:r>
        <w:t>1项，组织实施学校科研课题2项，</w:t>
      </w:r>
      <w:r>
        <w:rPr>
          <w:rFonts w:hint="eastAsia"/>
        </w:rPr>
        <w:t>并取得阶段性成果，在</w:t>
      </w:r>
      <w:r>
        <w:t>CN级期刊发表课题研究成</w:t>
      </w:r>
      <w:r>
        <w:rPr>
          <w:rFonts w:hint="eastAsia"/>
        </w:rPr>
        <w:t>果论文</w:t>
      </w:r>
      <w:r>
        <w:t>1篇。</w:t>
      </w:r>
    </w:p>
    <w:p w14:paraId="734A34B2">
      <w:pPr>
        <w:pStyle w:val="4"/>
        <w:bidi w:val="0"/>
        <w:rPr>
          <w:rFonts w:hint="eastAsia"/>
        </w:rPr>
      </w:pPr>
      <w:r>
        <w:rPr>
          <w:rFonts w:hint="eastAsia"/>
        </w:rPr>
        <w:t>【</w:t>
      </w:r>
      <w:r>
        <w:rPr>
          <w:rFonts w:hint="eastAsia"/>
          <w:lang w:val="en-US" w:eastAsia="zh-CN"/>
        </w:rPr>
        <w:t>重</w:t>
      </w:r>
      <w:r>
        <w:rPr>
          <w:rFonts w:hint="eastAsia"/>
        </w:rPr>
        <w:t>大</w:t>
      </w:r>
      <w:r>
        <w:rPr>
          <w:rFonts w:hint="eastAsia"/>
          <w:lang w:val="en-US" w:eastAsia="zh-CN"/>
        </w:rPr>
        <w:t>事</w:t>
      </w:r>
      <w:r>
        <w:rPr>
          <w:rFonts w:hint="eastAsia"/>
        </w:rPr>
        <w:t>件】</w:t>
      </w:r>
    </w:p>
    <w:p w14:paraId="73B04FA1">
      <w:pPr>
        <w:rPr>
          <w:rFonts w:hint="eastAsia"/>
        </w:rPr>
      </w:pPr>
      <w:r>
        <w:rPr>
          <w:rFonts w:hint="eastAsia"/>
        </w:rPr>
        <w:t>搭建高层次人才培养平台。为适应南雄经济社会发展需求，党校利用干部教育资源，拓宽办学渠道，加强与全日制院校联合办学，通过联合办学培养高层次人才，为推动南雄新发展服务。</w:t>
      </w:r>
      <w:r>
        <w:t>2013年与仲凯农业工程学院签署协议合作办学</w:t>
      </w:r>
      <w:r>
        <w:rPr>
          <w:rFonts w:hint="eastAsia"/>
        </w:rPr>
        <w:t>开办仲凯农学院农业推广专业硕士研究生南雄班。第一期班于</w:t>
      </w:r>
      <w:r>
        <w:t>2013年5月25日开学，招录9位</w:t>
      </w:r>
      <w:r>
        <w:rPr>
          <w:rFonts w:hint="eastAsia"/>
        </w:rPr>
        <w:t>学员。这是南雄市首次开办培养高层次农业农村经济建设人才的培养平台。</w:t>
      </w:r>
    </w:p>
    <w:p w14:paraId="396C7DF0">
      <w:pPr>
        <w:pStyle w:val="4"/>
        <w:bidi w:val="0"/>
        <w:rPr>
          <w:rFonts w:hint="eastAsia"/>
        </w:rPr>
      </w:pPr>
      <w:r>
        <w:rPr>
          <w:rFonts w:hint="eastAsia"/>
        </w:rPr>
        <w:t>【个人</w:t>
      </w:r>
      <w:r>
        <w:rPr>
          <w:rFonts w:hint="eastAsia"/>
          <w:lang w:val="en-US" w:eastAsia="zh-CN"/>
        </w:rPr>
        <w:t>荣</w:t>
      </w:r>
      <w:r>
        <w:rPr>
          <w:rFonts w:hint="eastAsia"/>
        </w:rPr>
        <w:t>誉】</w:t>
      </w:r>
    </w:p>
    <w:p w14:paraId="16D75EA4">
      <w:pPr>
        <w:rPr>
          <w:rFonts w:hint="eastAsia"/>
        </w:rPr>
      </w:pPr>
      <w:r>
        <w:rPr>
          <w:rFonts w:hint="eastAsia"/>
        </w:rPr>
        <w:t>王金玲获得“</w:t>
      </w:r>
      <w:r>
        <w:t>2013年韶关市党校系</w:t>
      </w:r>
      <w:r>
        <w:rPr>
          <w:rFonts w:hint="eastAsia"/>
        </w:rPr>
        <w:t>统教学技能竞赛”县（市、区）教师组一等奖。</w:t>
      </w:r>
    </w:p>
    <w:p w14:paraId="219CC418">
      <w:pPr>
        <w:jc w:val="right"/>
        <w:rPr>
          <w:rFonts w:hint="eastAsia"/>
          <w:b/>
          <w:bCs/>
        </w:rPr>
      </w:pPr>
      <w:r>
        <w:rPr>
          <w:rFonts w:hint="eastAsia"/>
          <w:b/>
          <w:bCs/>
        </w:rPr>
        <w:t>（董书辉）</w:t>
      </w:r>
    </w:p>
    <w:p w14:paraId="06FCF813">
      <w:pPr>
        <w:pStyle w:val="10"/>
        <w:bidi w:val="0"/>
        <w:rPr>
          <w:b/>
          <w:bCs/>
        </w:rPr>
      </w:pPr>
      <w:r>
        <w:rPr>
          <w:rFonts w:hint="eastAsia"/>
          <w:b/>
          <w:bCs/>
        </w:rPr>
        <w:t>附：</w:t>
      </w:r>
      <w:r>
        <w:rPr>
          <w:b/>
          <w:bCs/>
        </w:rPr>
        <w:t>2013年市委党校领导班子成员名单</w:t>
      </w:r>
    </w:p>
    <w:p w14:paraId="7595D455">
      <w:pPr>
        <w:pStyle w:val="10"/>
        <w:bidi w:val="0"/>
        <w:rPr>
          <w:rFonts w:hint="eastAsia"/>
        </w:rPr>
      </w:pPr>
      <w:r>
        <w:rPr>
          <w:rFonts w:hint="eastAsia"/>
          <w:b/>
          <w:bCs/>
        </w:rPr>
        <w:t>校</w:t>
      </w:r>
      <w:r>
        <w:rPr>
          <w:rFonts w:hint="eastAsia"/>
          <w:b/>
          <w:bCs/>
          <w:lang w:val="en-US" w:eastAsia="zh-CN"/>
        </w:rPr>
        <w:t xml:space="preserve">    </w:t>
      </w:r>
      <w:r>
        <w:rPr>
          <w:rFonts w:hint="eastAsia"/>
          <w:b/>
          <w:bCs/>
        </w:rPr>
        <w:t>长：</w:t>
      </w:r>
      <w:r>
        <w:rPr>
          <w:rFonts w:hint="eastAsia"/>
        </w:rPr>
        <w:t>丘德周（兼）</w:t>
      </w:r>
    </w:p>
    <w:p w14:paraId="12A67C55">
      <w:pPr>
        <w:pStyle w:val="10"/>
        <w:bidi w:val="0"/>
        <w:rPr>
          <w:rFonts w:hint="eastAsia"/>
        </w:rPr>
      </w:pPr>
      <w:r>
        <w:rPr>
          <w:rFonts w:hint="eastAsia"/>
          <w:b/>
          <w:bCs/>
        </w:rPr>
        <w:t>常务副校长：</w:t>
      </w:r>
      <w:r>
        <w:rPr>
          <w:rFonts w:hint="eastAsia"/>
        </w:rPr>
        <w:t>何坚</w:t>
      </w:r>
    </w:p>
    <w:p w14:paraId="4AF04240">
      <w:pPr>
        <w:pStyle w:val="10"/>
        <w:bidi w:val="0"/>
        <w:rPr>
          <w:rFonts w:hint="eastAsia"/>
        </w:rPr>
      </w:pPr>
      <w:r>
        <w:rPr>
          <w:rFonts w:hint="eastAsia"/>
          <w:b/>
          <w:bCs/>
        </w:rPr>
        <w:t>副</w:t>
      </w:r>
      <w:r>
        <w:rPr>
          <w:rFonts w:hint="eastAsia"/>
          <w:b/>
          <w:bCs/>
          <w:lang w:val="en-US" w:eastAsia="zh-CN"/>
        </w:rPr>
        <w:t xml:space="preserve"> </w:t>
      </w:r>
      <w:r>
        <w:rPr>
          <w:rFonts w:hint="eastAsia"/>
          <w:b/>
          <w:bCs/>
        </w:rPr>
        <w:t>校</w:t>
      </w:r>
      <w:r>
        <w:rPr>
          <w:rFonts w:hint="eastAsia"/>
          <w:b/>
          <w:bCs/>
          <w:lang w:val="en-US" w:eastAsia="zh-CN"/>
        </w:rPr>
        <w:t xml:space="preserve"> </w:t>
      </w:r>
      <w:r>
        <w:rPr>
          <w:rFonts w:hint="eastAsia"/>
          <w:b/>
          <w:bCs/>
        </w:rPr>
        <w:t>长：</w:t>
      </w:r>
      <w:r>
        <w:rPr>
          <w:rFonts w:hint="eastAsia"/>
        </w:rPr>
        <w:t>何文清</w:t>
      </w:r>
      <w:r>
        <w:rPr>
          <w:rFonts w:hint="eastAsia"/>
          <w:lang w:val="en-US" w:eastAsia="zh-CN"/>
        </w:rPr>
        <w:t xml:space="preserve">   </w:t>
      </w:r>
      <w:r>
        <w:rPr>
          <w:rFonts w:hint="eastAsia"/>
        </w:rPr>
        <w:t>冯振根</w:t>
      </w:r>
      <w:r>
        <w:rPr>
          <w:rFonts w:hint="eastAsia"/>
          <w:lang w:val="en-US" w:eastAsia="zh-CN"/>
        </w:rPr>
        <w:t xml:space="preserve">   </w:t>
      </w:r>
      <w:r>
        <w:rPr>
          <w:rFonts w:hint="eastAsia"/>
        </w:rPr>
        <w:t>何英钊</w:t>
      </w:r>
    </w:p>
    <w:p w14:paraId="5A32E507">
      <w:pPr>
        <w:pStyle w:val="10"/>
        <w:bidi w:val="0"/>
        <w:rPr>
          <w:rFonts w:hint="eastAsia"/>
        </w:rPr>
      </w:pPr>
      <w:r>
        <w:rPr>
          <w:rFonts w:hint="eastAsia"/>
          <w:b/>
          <w:bCs/>
        </w:rPr>
        <w:t>工会主席：</w:t>
      </w:r>
      <w:r>
        <w:rPr>
          <w:rFonts w:hint="eastAsia"/>
        </w:rPr>
        <w:t>邓宇行</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FE914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37AA592">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7440" cy="4640580"/>
                  <wp:effectExtent l="0" t="0" r="3810" b="7620"/>
                  <wp:docPr id="46" name="图片 46" descr="南雄年鉴2014-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南雄年鉴2014-046"/>
                          <pic:cNvPicPr>
                            <a:picLocks noChangeAspect="1"/>
                          </pic:cNvPicPr>
                        </pic:nvPicPr>
                        <pic:blipFill>
                          <a:blip r:embed="rId116"/>
                          <a:stretch>
                            <a:fillRect/>
                          </a:stretch>
                        </pic:blipFill>
                        <pic:spPr>
                          <a:xfrm>
                            <a:off x="0" y="0"/>
                            <a:ext cx="6187440" cy="4640580"/>
                          </a:xfrm>
                          <a:prstGeom prst="rect">
                            <a:avLst/>
                          </a:prstGeom>
                        </pic:spPr>
                      </pic:pic>
                    </a:graphicData>
                  </a:graphic>
                </wp:inline>
              </w:drawing>
            </w:r>
          </w:p>
        </w:tc>
      </w:tr>
      <w:tr w14:paraId="57600C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C763103">
            <w:pPr>
              <w:rPr>
                <w:vertAlign w:val="baseline"/>
              </w:rPr>
            </w:pPr>
            <w:r>
              <w:t>2013年5月25日，时任南雄市市长刘清生</w:t>
            </w:r>
            <w:r>
              <w:rPr>
                <w:rFonts w:hint="eastAsia"/>
              </w:rPr>
              <w:t>出席党校研究生班开班典礼。（摄影</w:t>
            </w:r>
            <w:r>
              <w:rPr>
                <w:rFonts w:hint="eastAsia"/>
                <w:lang w:val="en-US" w:eastAsia="zh-CN"/>
              </w:rPr>
              <w:t xml:space="preserve">  </w:t>
            </w:r>
            <w:r>
              <w:rPr>
                <w:rFonts w:hint="eastAsia"/>
              </w:rPr>
              <w:t>董书辉）</w:t>
            </w:r>
          </w:p>
        </w:tc>
      </w:tr>
    </w:tbl>
    <w:p w14:paraId="0A7C056B">
      <w:pPr>
        <w:pStyle w:val="3"/>
        <w:bidi w:val="0"/>
        <w:rPr>
          <w:rFonts w:hint="default"/>
          <w:lang w:val="en-US" w:eastAsia="zh-CN"/>
        </w:rPr>
      </w:pPr>
      <w:r>
        <w:rPr>
          <w:rFonts w:hint="eastAsia"/>
          <w:lang w:val="en-US" w:eastAsia="zh-CN"/>
        </w:rPr>
        <w:t>史志工作</w:t>
      </w:r>
    </w:p>
    <w:p w14:paraId="7389987D">
      <w:pPr>
        <w:pStyle w:val="4"/>
        <w:bidi w:val="0"/>
        <w:rPr>
          <w:rFonts w:hint="eastAsia"/>
        </w:rPr>
      </w:pPr>
      <w:r>
        <w:rPr>
          <w:rFonts w:hint="eastAsia"/>
        </w:rPr>
        <w:t>【概况】</w:t>
      </w:r>
    </w:p>
    <w:p w14:paraId="5BE8E719">
      <w:r>
        <w:rPr>
          <w:rFonts w:hint="eastAsia"/>
        </w:rPr>
        <w:t>南雄市史志办公室，设置</w:t>
      </w:r>
      <w:r>
        <w:t>2001年12月，</w:t>
      </w:r>
      <w:r>
        <w:rPr>
          <w:rFonts w:hint="eastAsia"/>
        </w:rPr>
        <w:t>内设</w:t>
      </w:r>
      <w:r>
        <w:t>3个股室：方志股、党史股、人秘股。编制6</w:t>
      </w:r>
      <w:r>
        <w:rPr>
          <w:rFonts w:hint="eastAsia"/>
        </w:rPr>
        <w:t>名，其中领导职数</w:t>
      </w:r>
      <w:r>
        <w:t>3名（1正2副），其他干部3名</w:t>
      </w:r>
      <w:r>
        <w:rPr>
          <w:rFonts w:hint="eastAsia"/>
        </w:rPr>
        <w:t>（其中股长职数</w:t>
      </w:r>
      <w:r>
        <w:t>3名）。</w:t>
      </w:r>
    </w:p>
    <w:p w14:paraId="70D2BCAB">
      <w:pPr>
        <w:pStyle w:val="4"/>
        <w:bidi w:val="0"/>
        <w:rPr>
          <w:rFonts w:hint="eastAsia"/>
        </w:rPr>
      </w:pPr>
      <w:r>
        <w:rPr>
          <w:rFonts w:hint="eastAsia"/>
          <w:lang w:eastAsia="zh-CN"/>
        </w:rPr>
        <w:t>【</w:t>
      </w:r>
      <w:r>
        <w:rPr>
          <w:rFonts w:hint="eastAsia"/>
        </w:rPr>
        <w:t>年鉴编辑】</w:t>
      </w:r>
    </w:p>
    <w:p w14:paraId="0572AC44">
      <w:r>
        <w:t>2013年5月8日，启动《南雄年</w:t>
      </w:r>
      <w:r>
        <w:rPr>
          <w:rFonts w:hint="eastAsia"/>
        </w:rPr>
        <w:t>鉴》（</w:t>
      </w:r>
      <w:r>
        <w:t>2013）编写工作，成立《南雄年鉴》（2013）</w:t>
      </w:r>
      <w:r>
        <w:rPr>
          <w:rFonts w:hint="eastAsia"/>
        </w:rPr>
        <w:t>编纂委员会，设立编辑部及编纂方案。组稿范围是各镇（街道）、市直副科级以上（含垂直管理）单位。该书记述</w:t>
      </w:r>
      <w:r>
        <w:t>2012年度南雄市各行业发生的大事</w:t>
      </w:r>
      <w:r>
        <w:rPr>
          <w:rFonts w:hint="eastAsia"/>
          <w:lang w:eastAsia="zh-CN"/>
        </w:rPr>
        <w:t>、</w:t>
      </w:r>
      <w:r>
        <w:rPr>
          <w:rFonts w:hint="eastAsia"/>
        </w:rPr>
        <w:t>要事及基本情况，突出反映本年度内全市政治、经济、文化、社会发展和群众生活等各领域的新成就新面貌。该书由图照彩页、特载、大事记、百科（各行业）、乡镇概况、人物、统计资料、附录、图表、索引等组成，文字约</w:t>
      </w:r>
      <w:r>
        <w:t>60万字，彩页约40页。</w:t>
      </w:r>
    </w:p>
    <w:p w14:paraId="4BFD82D5">
      <w:pPr>
        <w:pStyle w:val="4"/>
        <w:bidi w:val="0"/>
        <w:rPr>
          <w:rFonts w:hint="eastAsia"/>
        </w:rPr>
      </w:pPr>
      <w:r>
        <w:rPr>
          <w:rFonts w:hint="eastAsia"/>
        </w:rPr>
        <w:t>【资料年报】</w:t>
      </w:r>
    </w:p>
    <w:p w14:paraId="5F14DCFD">
      <w:pPr>
        <w:rPr>
          <w:rFonts w:hint="eastAsia"/>
        </w:rPr>
      </w:pPr>
      <w:r>
        <w:t>2013年10月9日，南雄市人民政府</w:t>
      </w:r>
      <w:r>
        <w:rPr>
          <w:rFonts w:hint="eastAsia"/>
        </w:rPr>
        <w:t>办公室印发《南雄市地方资料年报工作实施方案》的通知。</w:t>
      </w:r>
      <w:r>
        <w:t>10月18日，召开南雄市地方资料年报工</w:t>
      </w:r>
      <w:r>
        <w:rPr>
          <w:rFonts w:hint="eastAsia"/>
        </w:rPr>
        <w:t>作会议，时间半天，市委办副主任张堂耀主持会议，市委常委黄德群重要讲话，史志办主任陈景泰宣读《南雄市地方资料年报工作实施方案》，韶关市史志办副主任殷南光在会上作《南雄市地方资料年报》编辑人员培训讲解。该资料年报主要任务与总体要求是各镇（街道）、市直副科以上（含垂直管理）单位，按照市政府部署与要求，收集本单位第二轮地方志书下限年（</w:t>
      </w:r>
      <w:r>
        <w:t>2005年）以来自然、政</w:t>
      </w:r>
      <w:r>
        <w:rPr>
          <w:rFonts w:hint="eastAsia"/>
        </w:rPr>
        <w:t>治、经济、文化、社会等各方面的资料，进行整理、汇编、撰写，按时间的要求报送市史志办。资料年报内容包括概况、大事记、专题、人物、文献、图片音像及其他具有存史价值的资料。</w:t>
      </w:r>
    </w:p>
    <w:p w14:paraId="6B07F993">
      <w:pPr>
        <w:pStyle w:val="4"/>
        <w:bidi w:val="0"/>
        <w:rPr>
          <w:rFonts w:hint="eastAsia"/>
        </w:rPr>
      </w:pPr>
      <w:r>
        <w:rPr>
          <w:rFonts w:hint="eastAsia"/>
        </w:rPr>
        <w:t>【党史工作】</w:t>
      </w:r>
    </w:p>
    <w:p w14:paraId="26C4CAD5">
      <w:pPr>
        <w:rPr>
          <w:rFonts w:hint="eastAsia" w:eastAsia="宋体"/>
          <w:lang w:eastAsia="zh-CN"/>
        </w:rPr>
      </w:pPr>
      <w:r>
        <w:t>1、参与市委组织反映南雄红色历史</w:t>
      </w:r>
      <w:r>
        <w:rPr>
          <w:rFonts w:hint="eastAsia"/>
        </w:rPr>
        <w:t>《红土骏马》一书有关部分编纂工作。</w:t>
      </w:r>
      <w:r>
        <w:t>2、配合市</w:t>
      </w:r>
      <w:r>
        <w:rPr>
          <w:rFonts w:hint="eastAsia"/>
        </w:rPr>
        <w:t>委、市武装部接待省军区盖司令员，并介绍项英、陈毅等老一辈革命家在该市进行艰苦卓绝三年游击战争时期的事迹，争取省军区对南雄油山革命老区建设的支持。</w:t>
      </w:r>
      <w:r>
        <w:t>3、与老促会共同将“油山会师旧址”</w:t>
      </w:r>
      <w:r>
        <w:rPr>
          <w:rFonts w:hint="eastAsia"/>
        </w:rPr>
        <w:t>“中共南雄中心县委旧址”列为市爱国主义教育基地，</w:t>
      </w:r>
      <w:r>
        <w:t>2013年11月挂牌</w:t>
      </w:r>
      <w:r>
        <w:rPr>
          <w:rFonts w:hint="eastAsia"/>
          <w:lang w:eastAsia="zh-CN"/>
        </w:rPr>
        <w:t>。</w:t>
      </w:r>
    </w:p>
    <w:p w14:paraId="54EB13F5">
      <w:pPr>
        <w:pStyle w:val="4"/>
        <w:bidi w:val="0"/>
        <w:rPr>
          <w:rFonts w:hint="eastAsia"/>
        </w:rPr>
      </w:pPr>
      <w:r>
        <w:rPr>
          <w:rFonts w:hint="eastAsia"/>
        </w:rPr>
        <w:t>【增置设备】</w:t>
      </w:r>
    </w:p>
    <w:p w14:paraId="44841DAC">
      <w:r>
        <w:t>2013年8月，改善办公条件，添置</w:t>
      </w:r>
      <w:r>
        <w:rPr>
          <w:rFonts w:hint="eastAsia"/>
        </w:rPr>
        <w:t>办公桌椅，采购密切架书柜</w:t>
      </w:r>
      <w:r>
        <w:t>4例，可藏书1万册，</w:t>
      </w:r>
      <w:r>
        <w:rPr>
          <w:rFonts w:hint="eastAsia"/>
        </w:rPr>
        <w:t>复印机</w:t>
      </w:r>
      <w:r>
        <w:t>1台、电脑3台、扫描仪1台、空调1台。</w:t>
      </w:r>
    </w:p>
    <w:p w14:paraId="38E7BA96">
      <w:pPr>
        <w:jc w:val="right"/>
        <w:rPr>
          <w:rFonts w:hint="eastAsia"/>
          <w:b/>
          <w:bCs/>
        </w:rPr>
      </w:pPr>
      <w:r>
        <w:rPr>
          <w:rFonts w:hint="eastAsia"/>
          <w:b/>
          <w:bCs/>
        </w:rPr>
        <w:t>（史志办）</w:t>
      </w:r>
    </w:p>
    <w:p w14:paraId="7BD5025E">
      <w:pPr>
        <w:pStyle w:val="10"/>
        <w:bidi w:val="0"/>
        <w:rPr>
          <w:b/>
          <w:bCs/>
        </w:rPr>
      </w:pPr>
      <w:r>
        <w:rPr>
          <w:rFonts w:hint="eastAsia"/>
          <w:b/>
          <w:bCs/>
        </w:rPr>
        <w:t>附：</w:t>
      </w:r>
      <w:r>
        <w:rPr>
          <w:b/>
          <w:bCs/>
        </w:rPr>
        <w:t>2013年市史志办领导班子成员名单</w:t>
      </w:r>
    </w:p>
    <w:p w14:paraId="700BEA97">
      <w:pPr>
        <w:pStyle w:val="10"/>
        <w:bidi w:val="0"/>
        <w:rPr>
          <w:rFonts w:hint="eastAsia"/>
        </w:rPr>
      </w:pPr>
      <w:r>
        <w:rPr>
          <w:rFonts w:hint="eastAsia"/>
          <w:b/>
          <w:bCs/>
        </w:rPr>
        <w:t>主</w:t>
      </w:r>
      <w:r>
        <w:rPr>
          <w:rFonts w:hint="eastAsia"/>
          <w:b/>
          <w:bCs/>
          <w:lang w:val="en-US" w:eastAsia="zh-CN"/>
        </w:rPr>
        <w:t xml:space="preserve">  </w:t>
      </w:r>
      <w:r>
        <w:rPr>
          <w:rFonts w:hint="eastAsia"/>
          <w:b/>
          <w:bCs/>
        </w:rPr>
        <w:t>任：</w:t>
      </w:r>
      <w:r>
        <w:rPr>
          <w:rFonts w:hint="eastAsia"/>
        </w:rPr>
        <w:t>陈景泰</w:t>
      </w:r>
    </w:p>
    <w:p w14:paraId="47384254">
      <w:pPr>
        <w:pStyle w:val="10"/>
        <w:bidi w:val="0"/>
        <w:rPr>
          <w:rFonts w:hint="eastAsia"/>
        </w:rPr>
      </w:pPr>
      <w:r>
        <w:rPr>
          <w:rFonts w:hint="eastAsia"/>
          <w:b/>
          <w:bCs/>
        </w:rPr>
        <w:t>副主任：</w:t>
      </w:r>
      <w:r>
        <w:rPr>
          <w:rFonts w:hint="eastAsia"/>
        </w:rPr>
        <w:t>李君祥</w:t>
      </w:r>
      <w:r>
        <w:rPr>
          <w:rFonts w:hint="eastAsia"/>
          <w:lang w:val="en-US" w:eastAsia="zh-CN"/>
        </w:rPr>
        <w:t xml:space="preserve">   </w:t>
      </w:r>
      <w:r>
        <w:rPr>
          <w:rFonts w:hint="eastAsia"/>
        </w:rPr>
        <w:t>谢</w:t>
      </w:r>
      <w:r>
        <w:rPr>
          <w:rFonts w:hint="eastAsia"/>
          <w:lang w:val="en-US" w:eastAsia="zh-CN"/>
        </w:rPr>
        <w:t xml:space="preserve">  </w:t>
      </w:r>
      <w:r>
        <w:rPr>
          <w:rFonts w:hint="eastAsia"/>
        </w:rPr>
        <w:t>平</w:t>
      </w:r>
    </w:p>
    <w:p w14:paraId="72ADA869">
      <w:pPr>
        <w:pStyle w:val="3"/>
        <w:bidi w:val="0"/>
        <w:rPr>
          <w:rFonts w:hint="default"/>
          <w:lang w:val="en-US" w:eastAsia="zh-CN"/>
        </w:rPr>
      </w:pPr>
      <w:r>
        <w:rPr>
          <w:rFonts w:hint="eastAsia"/>
          <w:lang w:val="en-US" w:eastAsia="zh-CN"/>
        </w:rPr>
        <w:t>机关党建</w:t>
      </w:r>
    </w:p>
    <w:p w14:paraId="0D469C6A">
      <w:pPr>
        <w:pStyle w:val="4"/>
        <w:bidi w:val="0"/>
        <w:rPr>
          <w:rFonts w:hint="eastAsia"/>
        </w:rPr>
      </w:pPr>
      <w:r>
        <w:rPr>
          <w:rFonts w:hint="eastAsia"/>
        </w:rPr>
        <w:t>【概况】</w:t>
      </w:r>
    </w:p>
    <w:p w14:paraId="3BE10C17">
      <w:r>
        <w:rPr>
          <w:rFonts w:hint="eastAsia"/>
        </w:rPr>
        <w:t>中共南雄市直属机关工作委员会是中共南雄市委的派出机构，</w:t>
      </w:r>
      <w:r>
        <w:t>1996年，南雄撤县设市，县</w:t>
      </w:r>
      <w:r>
        <w:rPr>
          <w:rFonts w:hint="eastAsia"/>
        </w:rPr>
        <w:t>直属机关党委相应变为市直属机关党委。</w:t>
      </w:r>
      <w:r>
        <w:t>1997年南</w:t>
      </w:r>
      <w:r>
        <w:rPr>
          <w:rFonts w:hint="eastAsia"/>
        </w:rPr>
        <w:t>雄市机构改革，将市直属机关党委改称为市直属机关工作委员会，属市委党建工作的派出机构，主要负责规划市直机关党的建设，分类指导市直行政、事业单位和有关企业单位党务工作，抓好党的思想、组织、作风、制度和反腐倡廉建设等</w:t>
      </w:r>
      <w:r>
        <w:t>11项职</w:t>
      </w:r>
      <w:r>
        <w:rPr>
          <w:rFonts w:hint="eastAsia"/>
        </w:rPr>
        <w:t>能。内设办公室、组织股和市直团工委、市直机关武装部。</w:t>
      </w:r>
      <w:r>
        <w:t>2001年机构改革增设市纪委派出机构市直</w:t>
      </w:r>
      <w:r>
        <w:rPr>
          <w:rFonts w:hint="eastAsia"/>
        </w:rPr>
        <w:t>纪工委，</w:t>
      </w:r>
      <w:r>
        <w:t>2009年设立市纪委监察局派驻党群中心纪</w:t>
      </w:r>
      <w:r>
        <w:rPr>
          <w:rFonts w:hint="eastAsia"/>
        </w:rPr>
        <w:t>检监察组，</w:t>
      </w:r>
      <w:r>
        <w:t>2013年12月市纪委监察局派驻党群中</w:t>
      </w:r>
      <w:r>
        <w:rPr>
          <w:rFonts w:hint="eastAsia"/>
        </w:rPr>
        <w:t>心纪检监察组改设置在市委办。现有人员编制</w:t>
      </w:r>
      <w:r>
        <w:t>8</w:t>
      </w:r>
      <w:r>
        <w:rPr>
          <w:rFonts w:hint="eastAsia"/>
        </w:rPr>
        <w:t>名，其中行政编制</w:t>
      </w:r>
      <w:r>
        <w:t>7名，行政工勤编制1名。</w:t>
      </w:r>
    </w:p>
    <w:p w14:paraId="511CEA88">
      <w:pPr>
        <w:pStyle w:val="4"/>
        <w:bidi w:val="0"/>
        <w:rPr>
          <w:rFonts w:hint="eastAsia"/>
        </w:rPr>
      </w:pPr>
      <w:r>
        <w:rPr>
          <w:rFonts w:hint="eastAsia"/>
          <w:lang w:eastAsia="zh-CN"/>
        </w:rPr>
        <w:t>【</w:t>
      </w:r>
      <w:r>
        <w:rPr>
          <w:rFonts w:hint="eastAsia"/>
        </w:rPr>
        <w:t>思想建设工作】</w:t>
      </w:r>
    </w:p>
    <w:p w14:paraId="40DA82FD">
      <w:pPr>
        <w:rPr>
          <w:rFonts w:hint="eastAsia"/>
        </w:rPr>
      </w:pPr>
      <w:r>
        <w:rPr>
          <w:rFonts w:hint="eastAsia"/>
        </w:rPr>
        <w:t>引导机关党员学习宣传、贯彻十八大精神，推进理论武装工程深入开展。</w:t>
      </w:r>
      <w:r>
        <w:t>1、开展宣传</w:t>
      </w:r>
      <w:r>
        <w:rPr>
          <w:rFonts w:hint="eastAsia"/>
        </w:rPr>
        <w:t>学习活动，营造浓厚氛围。直属工委各级党组织通过张贴标语、悬挂大幅横额、黑板报、宣传栏等方式方法开展宣传活动；按照南雄市委组织部的要求组织开展结合“学报告、学党章”的“群众路线大家谈”活动；组织所属党组织和全体党员参加“学习十八大报告和党章知识竞赛活动”等，形成宣传、学习和贯彻十八大精神的浓厚氛围。</w:t>
      </w:r>
      <w:r>
        <w:t>2、开展形式多样的教育活</w:t>
      </w:r>
      <w:r>
        <w:rPr>
          <w:rFonts w:hint="eastAsia"/>
        </w:rPr>
        <w:t>动。工委各级党组织坚持开展多种形式的党员教育，通过举办党的十八大精神报告会、十八届三中全会精神报告会、“道德讲堂”、“面向基层、整顿作风</w:t>
      </w:r>
      <w:r>
        <w:rPr>
          <w:rFonts w:hint="eastAsia"/>
          <w:lang w:eastAsia="zh-CN"/>
        </w:rPr>
        <w:t>、</w:t>
      </w:r>
      <w:r>
        <w:rPr>
          <w:rFonts w:hint="eastAsia"/>
        </w:rPr>
        <w:t>服务群众”思想作风教育活动、领导干部落实党风廉政建设责任制“五个一”活动及建党</w:t>
      </w:r>
      <w:r>
        <w:t>92周年庆祝活</w:t>
      </w:r>
      <w:r>
        <w:rPr>
          <w:rFonts w:hint="eastAsia"/>
        </w:rPr>
        <w:t>动、党员领导干部讲党课等多种形式的学习教育活动</w:t>
      </w:r>
      <w:r>
        <w:rPr>
          <w:rFonts w:hint="eastAsia"/>
          <w:lang w:eastAsia="zh-CN"/>
        </w:rPr>
        <w:t>，</w:t>
      </w:r>
      <w:r>
        <w:rPr>
          <w:rFonts w:hint="eastAsia"/>
        </w:rPr>
        <w:t>使广大党员干部认清形势，统一思想，振奋精神，凝聚力量。</w:t>
      </w:r>
    </w:p>
    <w:p w14:paraId="78BEEAA3">
      <w:pPr>
        <w:pStyle w:val="4"/>
        <w:bidi w:val="0"/>
        <w:rPr>
          <w:rFonts w:hint="eastAsia"/>
        </w:rPr>
      </w:pPr>
      <w:r>
        <w:rPr>
          <w:rFonts w:hint="eastAsia"/>
        </w:rPr>
        <w:t>【组织建设工作】</w:t>
      </w:r>
    </w:p>
    <w:p w14:paraId="2419AE58">
      <w:r>
        <w:rPr>
          <w:rFonts w:hint="eastAsia"/>
          <w:lang w:val="en-US" w:eastAsia="zh-CN"/>
        </w:rPr>
        <w:t>一</w:t>
      </w:r>
      <w:r>
        <w:rPr>
          <w:rFonts w:hint="eastAsia"/>
        </w:rPr>
        <w:t>是强化基层党组织领导班子建设。严格按照《中国共产党党和国家机关基层组织工作条例》和省委《实施意见》的要求，配齐配强机关各级党组织班子。</w:t>
      </w:r>
      <w:r>
        <w:t>2013年，批准成立党</w:t>
      </w:r>
      <w:r>
        <w:rPr>
          <w:rFonts w:hint="eastAsia"/>
        </w:rPr>
        <w:t>（总）支部</w:t>
      </w:r>
      <w:r>
        <w:t>10个，及时对76个任期届满或干部调</w:t>
      </w:r>
      <w:r>
        <w:rPr>
          <w:rFonts w:hint="eastAsia"/>
        </w:rPr>
        <w:t>整的基层党支部进行换届选举，使基层党组织班子始终保持良好状态。二是严格标准，确保党员发展质量。在吸收预备党员中严把“五关”和“九个不批”；在预备党员转正中执行《南雄市市直机关预备党员党内法规考试制度实施方案》，有效地确保新党员的质量，</w:t>
      </w:r>
      <w:r>
        <w:t>2013年培训入党积极分子85名</w:t>
      </w:r>
      <w:r>
        <w:rPr>
          <w:rFonts w:hint="eastAsia"/>
          <w:lang w:eastAsia="zh-CN"/>
        </w:rPr>
        <w:t>、</w:t>
      </w:r>
      <w:r>
        <w:rPr>
          <w:rFonts w:hint="eastAsia"/>
        </w:rPr>
        <w:t>吸收新党员</w:t>
      </w:r>
      <w:r>
        <w:t>30名，55名预备党员参加党内法规知</w:t>
      </w:r>
      <w:r>
        <w:rPr>
          <w:rFonts w:hint="eastAsia"/>
        </w:rPr>
        <w:t>识考试，其中有</w:t>
      </w:r>
      <w:r>
        <w:t>1人第一次考试不合格，按规定责</w:t>
      </w:r>
      <w:r>
        <w:rPr>
          <w:rFonts w:hint="eastAsia"/>
        </w:rPr>
        <w:t>成其进行补考。三是抓党建工作质量管理，推进机关党建工作规范运作。根据工委</w:t>
      </w:r>
      <w:r>
        <w:t>2012年2月下旬</w:t>
      </w:r>
      <w:r>
        <w:rPr>
          <w:rFonts w:hint="eastAsia"/>
        </w:rPr>
        <w:t>制定的《关于推行党建工作质量标准化管理的实施意见》，工委于</w:t>
      </w:r>
      <w:r>
        <w:t>2013年6月上旬组织2个检</w:t>
      </w:r>
      <w:r>
        <w:rPr>
          <w:rFonts w:hint="eastAsia"/>
          <w:lang w:eastAsia="zh-CN"/>
        </w:rPr>
        <w:t>查</w:t>
      </w:r>
      <w:r>
        <w:t>考核</w:t>
      </w:r>
      <w:r>
        <w:rPr>
          <w:rFonts w:hint="eastAsia"/>
        </w:rPr>
        <w:t>组在各党（总）支自</w:t>
      </w:r>
      <w:r>
        <w:rPr>
          <w:rFonts w:hint="eastAsia"/>
          <w:lang w:eastAsia="zh-CN"/>
        </w:rPr>
        <w:t>查</w:t>
      </w:r>
      <w:r>
        <w:rPr>
          <w:rFonts w:hint="eastAsia"/>
        </w:rPr>
        <w:t>的基础上进行考核检</w:t>
      </w:r>
      <w:r>
        <w:rPr>
          <w:rFonts w:hint="eastAsia"/>
          <w:lang w:eastAsia="zh-CN"/>
        </w:rPr>
        <w:t>查</w:t>
      </w:r>
      <w:r>
        <w:rPr>
          <w:rFonts w:hint="eastAsia"/>
        </w:rPr>
        <w:t>。使机关党建工作呈现</w:t>
      </w:r>
      <w:r>
        <w:t>3个明显进步和提高：1、党组</w:t>
      </w:r>
      <w:r>
        <w:rPr>
          <w:rFonts w:hint="eastAsia"/>
        </w:rPr>
        <w:t>织书记“主业”意识明显。</w:t>
      </w:r>
      <w:r>
        <w:t>2、工作制度得到完善</w:t>
      </w:r>
      <w:r>
        <w:rPr>
          <w:rFonts w:hint="eastAsia"/>
        </w:rPr>
        <w:t>和落实。</w:t>
      </w:r>
      <w:r>
        <w:t>3、记录规范，各项资料齐全。</w:t>
      </w:r>
    </w:p>
    <w:p w14:paraId="568D3BB7">
      <w:pPr>
        <w:pStyle w:val="4"/>
        <w:bidi w:val="0"/>
        <w:rPr>
          <w:rFonts w:hint="eastAsia"/>
        </w:rPr>
      </w:pPr>
      <w:r>
        <w:rPr>
          <w:rFonts w:hint="eastAsia"/>
        </w:rPr>
        <w:t>【党务</w:t>
      </w:r>
      <w:r>
        <w:rPr>
          <w:rFonts w:hint="eastAsia"/>
          <w:lang w:val="en-US" w:eastAsia="zh-CN"/>
        </w:rPr>
        <w:t>干</w:t>
      </w:r>
      <w:r>
        <w:rPr>
          <w:rFonts w:hint="eastAsia"/>
        </w:rPr>
        <w:t>部和新党员教育培训】</w:t>
      </w:r>
    </w:p>
    <w:p w14:paraId="014A25F6">
      <w:pPr>
        <w:rPr>
          <w:rFonts w:hint="eastAsia"/>
        </w:rPr>
      </w:pPr>
      <w:r>
        <w:rPr>
          <w:rFonts w:hint="eastAsia"/>
        </w:rPr>
        <w:t>根据南雄市委组织部《关于进一步做好发展党员工作的通知》精神，就发展党员工作的新要求和《中国共产党党和国家机关基层组织工作条例》等专题，采取以会代培的形式深入浅出地给党务干部授课，重点帮助他们解决履行职责和转变作风、服务群众的问题，全面提升实际工作能力。</w:t>
      </w:r>
      <w:r>
        <w:t>2013年先后举办党组织书</w:t>
      </w:r>
      <w:r>
        <w:rPr>
          <w:rFonts w:hint="eastAsia"/>
        </w:rPr>
        <w:t>记、组织委员等党务干部培训班</w:t>
      </w:r>
      <w:r>
        <w:t>2期，培训党务干</w:t>
      </w:r>
      <w:r>
        <w:rPr>
          <w:rFonts w:hint="eastAsia"/>
        </w:rPr>
        <w:t>部</w:t>
      </w:r>
      <w:r>
        <w:t>280多人次。与此同时，改变思路，组织2012</w:t>
      </w:r>
      <w:r>
        <w:rPr>
          <w:rFonts w:hint="eastAsia"/>
        </w:rPr>
        <w:t>年</w:t>
      </w:r>
      <w:r>
        <w:t>7月以后</w:t>
      </w:r>
      <w:r>
        <w:rPr>
          <w:rFonts w:hint="eastAsia"/>
          <w:lang w:val="en-US" w:eastAsia="zh-CN"/>
        </w:rPr>
        <w:t>入</w:t>
      </w:r>
      <w:r>
        <w:t>党的44名新党员前往省委旧址瑶坑</w:t>
      </w:r>
      <w:r>
        <w:rPr>
          <w:rFonts w:hint="eastAsia"/>
        </w:rPr>
        <w:t>进行入党宣誓，给新党员上一堂特殊党课。</w:t>
      </w:r>
    </w:p>
    <w:p w14:paraId="3F773962">
      <w:pPr>
        <w:pStyle w:val="4"/>
        <w:bidi w:val="0"/>
        <w:rPr>
          <w:rFonts w:hint="eastAsia"/>
        </w:rPr>
      </w:pPr>
      <w:r>
        <w:rPr>
          <w:rFonts w:hint="eastAsia"/>
          <w:lang w:eastAsia="zh-CN"/>
        </w:rPr>
        <w:t>【</w:t>
      </w:r>
      <w:r>
        <w:rPr>
          <w:rFonts w:hint="eastAsia"/>
        </w:rPr>
        <w:t>“两新”组织党建工作】</w:t>
      </w:r>
    </w:p>
    <w:p w14:paraId="1D7FE7EB">
      <w:pPr>
        <w:rPr>
          <w:rFonts w:hint="eastAsia"/>
        </w:rPr>
      </w:pPr>
      <w:r>
        <w:rPr>
          <w:rFonts w:hint="eastAsia"/>
        </w:rPr>
        <w:t>工委组成专项工作组采取民主测评和组织评议相结合办法，</w:t>
      </w:r>
      <w:r>
        <w:t>2013年4月25日前对上年度7个“两新”组织党组织实现绩</w:t>
      </w:r>
      <w:r>
        <w:rPr>
          <w:rFonts w:hint="eastAsia"/>
        </w:rPr>
        <w:t>效目标情况进行考评，对党员则以党支部为单位就党员实现绩效目标情况进行逐一民主评议。通过这次严肃认真的考核，按“优秀”、“合格”和“不合格”</w:t>
      </w:r>
      <w:r>
        <w:t>3个等次形成党组织自评和党员评议情况，</w:t>
      </w:r>
      <w:r>
        <w:rPr>
          <w:rFonts w:hint="eastAsia"/>
        </w:rPr>
        <w:t>考核结果作为经费发放的主要依据。</w:t>
      </w:r>
    </w:p>
    <w:p w14:paraId="3DD2A3EF">
      <w:pPr>
        <w:pStyle w:val="4"/>
        <w:bidi w:val="0"/>
        <w:rPr>
          <w:rFonts w:hint="eastAsia"/>
        </w:rPr>
      </w:pPr>
      <w:r>
        <w:rPr>
          <w:rFonts w:hint="eastAsia"/>
        </w:rPr>
        <w:t>【基层党组织晋位升级工作】</w:t>
      </w:r>
    </w:p>
    <w:p w14:paraId="128530CF">
      <w:pPr>
        <w:rPr>
          <w:rFonts w:hint="eastAsia"/>
        </w:rPr>
      </w:pPr>
      <w:r>
        <w:t>2013年10月下旬</w:t>
      </w:r>
      <w:r>
        <w:rPr>
          <w:rFonts w:hint="eastAsia"/>
        </w:rPr>
        <w:t>至</w:t>
      </w:r>
      <w:r>
        <w:t>11月下旬对照“五个好”标准，通过采取“基</w:t>
      </w:r>
      <w:r>
        <w:rPr>
          <w:rFonts w:hint="eastAsia"/>
        </w:rPr>
        <w:t>层党组织自评、组织党员群众测评及上级党组织评定和公示”的方式方法，开展党组织分类定级，对直属</w:t>
      </w:r>
      <w:r>
        <w:t>36个党总支（牵头负责单位）、232个党支部</w:t>
      </w:r>
      <w:r>
        <w:rPr>
          <w:rFonts w:hint="eastAsia"/>
        </w:rPr>
        <w:t>进行分类排队，确定好、较好、一般和较差支部，分别建立台账，尤其是较差支部，逐</w:t>
      </w:r>
      <w:r>
        <w:rPr>
          <w:rFonts w:hint="eastAsia"/>
          <w:lang w:val="en-US" w:eastAsia="zh-CN"/>
        </w:rPr>
        <w:t>主</w:t>
      </w:r>
      <w:r>
        <w:rPr>
          <w:rFonts w:hint="eastAsia"/>
        </w:rPr>
        <w:t>明确整改方向和年度转化目标。</w:t>
      </w:r>
    </w:p>
    <w:p w14:paraId="66C3BE14">
      <w:pPr>
        <w:pStyle w:val="4"/>
        <w:bidi w:val="0"/>
        <w:rPr>
          <w:rFonts w:hint="eastAsia"/>
        </w:rPr>
      </w:pPr>
      <w:r>
        <w:rPr>
          <w:rFonts w:hint="eastAsia"/>
        </w:rPr>
        <w:t>【纪检监察工作】</w:t>
      </w:r>
    </w:p>
    <w:p w14:paraId="299FA6E1">
      <w:r>
        <w:t>2013年，工委加强对信访监督</w:t>
      </w:r>
      <w:r>
        <w:rPr>
          <w:rFonts w:hint="eastAsia"/>
        </w:rPr>
        <w:t>和</w:t>
      </w:r>
      <w:r>
        <w:rPr>
          <w:rFonts w:hint="eastAsia"/>
          <w:lang w:eastAsia="zh-CN"/>
        </w:rPr>
        <w:t>查</w:t>
      </w:r>
      <w:r>
        <w:rPr>
          <w:rFonts w:hint="eastAsia"/>
        </w:rPr>
        <w:t>案工作领导，严格按照“二十四字”办案方针，依纪依法</w:t>
      </w:r>
      <w:r>
        <w:rPr>
          <w:rFonts w:hint="eastAsia"/>
          <w:lang w:eastAsia="zh-CN"/>
        </w:rPr>
        <w:t>查</w:t>
      </w:r>
      <w:r>
        <w:rPr>
          <w:rFonts w:hint="eastAsia"/>
        </w:rPr>
        <w:t>办案件；执行好《党员权利保障条例》，体现以人为本、教育为主；突出</w:t>
      </w:r>
      <w:r>
        <w:rPr>
          <w:rFonts w:hint="eastAsia"/>
          <w:lang w:eastAsia="zh-CN"/>
        </w:rPr>
        <w:t>查</w:t>
      </w:r>
      <w:r>
        <w:rPr>
          <w:rFonts w:hint="eastAsia"/>
        </w:rPr>
        <w:t>案重点，对严重侵害群众利益案、严重失职案、嫖娼案、赌博案和经济案，做到严肃执纪、绝不手软，发挥惩治的重要作用；坚持综合运用纪律处分、组织处理和批评教育手段，把</w:t>
      </w:r>
      <w:r>
        <w:rPr>
          <w:rFonts w:hint="eastAsia"/>
          <w:lang w:eastAsia="zh-CN"/>
        </w:rPr>
        <w:t>查</w:t>
      </w:r>
      <w:r>
        <w:rPr>
          <w:rFonts w:hint="eastAsia"/>
        </w:rPr>
        <w:t>办案件与加强教育、完善制度、强化监督紧密结合起来。</w:t>
      </w:r>
      <w:r>
        <w:t>2013年受理信访举报1件，其中领导批示件1件，已办结1件。主动办</w:t>
      </w:r>
      <w:r>
        <w:rPr>
          <w:rFonts w:hint="eastAsia"/>
        </w:rPr>
        <w:t>理案件</w:t>
      </w:r>
      <w:r>
        <w:t>2宗，立案</w:t>
      </w:r>
      <w:r>
        <w:rPr>
          <w:rFonts w:hint="eastAsia"/>
          <w:lang w:eastAsia="zh-CN"/>
        </w:rPr>
        <w:t>查</w:t>
      </w:r>
      <w:r>
        <w:t>处2人，给予纪律处分2人。</w:t>
      </w:r>
      <w:r>
        <w:rPr>
          <w:rFonts w:hint="eastAsia"/>
        </w:rPr>
        <w:t>市直纪工委协助市纪委检</w:t>
      </w:r>
      <w:r>
        <w:rPr>
          <w:rFonts w:hint="eastAsia"/>
          <w:lang w:eastAsia="zh-CN"/>
        </w:rPr>
        <w:t>查</w:t>
      </w:r>
      <w:r>
        <w:rPr>
          <w:rFonts w:hint="eastAsia"/>
        </w:rPr>
        <w:t>室</w:t>
      </w:r>
      <w:r>
        <w:rPr>
          <w:rFonts w:hint="eastAsia"/>
          <w:lang w:eastAsia="zh-CN"/>
        </w:rPr>
        <w:t>查</w:t>
      </w:r>
      <w:r>
        <w:rPr>
          <w:rFonts w:hint="eastAsia"/>
        </w:rPr>
        <w:t>处案</w:t>
      </w:r>
      <w:r>
        <w:t>11宗，协助</w:t>
      </w:r>
      <w:r>
        <w:rPr>
          <w:rFonts w:hint="eastAsia"/>
        </w:rPr>
        <w:t>案审室办理经济犯罪案件</w:t>
      </w:r>
      <w:r>
        <w:t>3宗。</w:t>
      </w:r>
    </w:p>
    <w:p w14:paraId="5D1701BF">
      <w:pPr>
        <w:pStyle w:val="4"/>
        <w:bidi w:val="0"/>
        <w:rPr>
          <w:rFonts w:hint="eastAsia"/>
        </w:rPr>
      </w:pPr>
      <w:r>
        <w:rPr>
          <w:rFonts w:hint="eastAsia"/>
        </w:rPr>
        <w:t>【武装工作】</w:t>
      </w:r>
    </w:p>
    <w:p w14:paraId="5D5D0C3A">
      <w:r>
        <w:rPr>
          <w:rFonts w:hint="eastAsia"/>
        </w:rPr>
        <w:t>按要求成立独立应急连等</w:t>
      </w:r>
      <w:r>
        <w:t>6个组织，</w:t>
      </w:r>
      <w:r>
        <w:rPr>
          <w:rFonts w:hint="eastAsia"/>
        </w:rPr>
        <w:t>做好兵役登记工作，年满</w:t>
      </w:r>
      <w:r>
        <w:t>18周岁、符合登记条件</w:t>
      </w:r>
      <w:r>
        <w:rPr>
          <w:rFonts w:hint="eastAsia"/>
        </w:rPr>
        <w:t>的适龄青年有</w:t>
      </w:r>
      <w:r>
        <w:t>105名；通过宣传动员，抓好征兵工</w:t>
      </w:r>
      <w:r>
        <w:rPr>
          <w:rFonts w:hint="eastAsia"/>
        </w:rPr>
        <w:t>作，输送</w:t>
      </w:r>
      <w:r>
        <w:t>6名优秀青年到部队服役。</w:t>
      </w:r>
    </w:p>
    <w:p w14:paraId="76D8E4FB">
      <w:pPr>
        <w:jc w:val="right"/>
        <w:rPr>
          <w:rFonts w:hint="eastAsia"/>
          <w:b/>
          <w:bCs/>
        </w:rPr>
      </w:pPr>
      <w:r>
        <w:rPr>
          <w:rFonts w:hint="eastAsia"/>
          <w:b/>
          <w:bCs/>
        </w:rPr>
        <w:t>（孔明华）</w:t>
      </w:r>
    </w:p>
    <w:p w14:paraId="15AB8A0B">
      <w:pPr>
        <w:pStyle w:val="10"/>
        <w:bidi w:val="0"/>
        <w:rPr>
          <w:b/>
          <w:bCs/>
        </w:rPr>
      </w:pPr>
      <w:r>
        <w:rPr>
          <w:rFonts w:hint="eastAsia"/>
          <w:b/>
          <w:bCs/>
        </w:rPr>
        <w:t>附：</w:t>
      </w:r>
      <w:r>
        <w:rPr>
          <w:b/>
          <w:bCs/>
        </w:rPr>
        <w:t>2013年市直工委领导班子成员名单</w:t>
      </w:r>
    </w:p>
    <w:p w14:paraId="1EAF7A3D">
      <w:pPr>
        <w:pStyle w:val="10"/>
        <w:bidi w:val="0"/>
        <w:rPr>
          <w:rFonts w:hint="eastAsia"/>
        </w:rPr>
      </w:pPr>
      <w:r>
        <w:rPr>
          <w:rFonts w:hint="eastAsia"/>
          <w:b/>
          <w:bCs/>
        </w:rPr>
        <w:t>书</w:t>
      </w:r>
      <w:r>
        <w:rPr>
          <w:rFonts w:hint="eastAsia"/>
          <w:b/>
          <w:bCs/>
          <w:lang w:val="en-US" w:eastAsia="zh-CN"/>
        </w:rPr>
        <w:t xml:space="preserve">  </w:t>
      </w:r>
      <w:r>
        <w:rPr>
          <w:rFonts w:hint="eastAsia"/>
          <w:b/>
          <w:bCs/>
        </w:rPr>
        <w:t>记：</w:t>
      </w:r>
      <w:r>
        <w:rPr>
          <w:rFonts w:hint="eastAsia"/>
        </w:rPr>
        <w:t>蔡德华（兼）</w:t>
      </w:r>
    </w:p>
    <w:p w14:paraId="499B0CC3">
      <w:pPr>
        <w:pStyle w:val="10"/>
        <w:bidi w:val="0"/>
        <w:rPr>
          <w:rFonts w:hint="eastAsia"/>
        </w:rPr>
      </w:pPr>
      <w:r>
        <w:rPr>
          <w:rFonts w:hint="eastAsia"/>
          <w:b/>
          <w:bCs/>
        </w:rPr>
        <w:t>副书记：</w:t>
      </w:r>
      <w:r>
        <w:rPr>
          <w:rFonts w:hint="eastAsia"/>
        </w:rPr>
        <w:t>刘致虎</w:t>
      </w:r>
      <w:r>
        <w:rPr>
          <w:rFonts w:hint="eastAsia"/>
          <w:lang w:val="en-US" w:eastAsia="zh-CN"/>
        </w:rPr>
        <w:t xml:space="preserve">   </w:t>
      </w:r>
      <w:r>
        <w:rPr>
          <w:rFonts w:hint="eastAsia"/>
        </w:rPr>
        <w:t>王庭泉</w:t>
      </w:r>
    </w:p>
    <w:p w14:paraId="1D520866">
      <w:pPr>
        <w:pStyle w:val="10"/>
        <w:bidi w:val="0"/>
      </w:pPr>
      <w:r>
        <w:rPr>
          <w:rFonts w:hint="eastAsia"/>
          <w:b/>
          <w:bCs/>
        </w:rPr>
        <w:t>党群中心纪检监察组长、纪工委书记：</w:t>
      </w:r>
      <w:r>
        <w:rPr>
          <w:rFonts w:hint="eastAsia"/>
        </w:rPr>
        <w:t>何润红（任至</w:t>
      </w:r>
      <w:r>
        <w:t>12月）</w:t>
      </w:r>
    </w:p>
    <w:p w14:paraId="781640F0">
      <w:pPr>
        <w:pStyle w:val="10"/>
        <w:bidi w:val="0"/>
      </w:pPr>
      <w:r>
        <w:rPr>
          <w:rFonts w:hint="eastAsia"/>
          <w:b/>
          <w:bCs/>
        </w:rPr>
        <w:t>纪工委书记：</w:t>
      </w:r>
      <w:r>
        <w:rPr>
          <w:rFonts w:hint="eastAsia"/>
        </w:rPr>
        <w:t>孔明华（</w:t>
      </w:r>
      <w:r>
        <w:t>12月任）</w:t>
      </w:r>
    </w:p>
    <w:p w14:paraId="14C28393">
      <w:pPr>
        <w:pStyle w:val="10"/>
        <w:bidi w:val="0"/>
        <w:rPr>
          <w:rFonts w:hint="eastAsia"/>
        </w:rPr>
      </w:pPr>
      <w:r>
        <w:rPr>
          <w:rFonts w:hint="eastAsia"/>
          <w:b/>
          <w:bCs/>
        </w:rPr>
        <w:t>武装部长：</w:t>
      </w:r>
      <w:r>
        <w:rPr>
          <w:rFonts w:hint="eastAsia"/>
        </w:rPr>
        <w:t>李卫东</w:t>
      </w:r>
    </w:p>
    <w:p w14:paraId="3F87C024">
      <w:pPr>
        <w:pStyle w:val="10"/>
        <w:bidi w:val="0"/>
      </w:pPr>
      <w:r>
        <w:rPr>
          <w:rFonts w:hint="eastAsia"/>
          <w:b/>
          <w:bCs/>
        </w:rPr>
        <w:t>党群中心纪检监察副组长：</w:t>
      </w:r>
      <w:r>
        <w:rPr>
          <w:rFonts w:hint="eastAsia"/>
        </w:rPr>
        <w:t>叶耀群（任至</w:t>
      </w:r>
      <w:r>
        <w:t>12月）</w:t>
      </w:r>
    </w:p>
    <w:p w14:paraId="7AA158F3">
      <w:pPr>
        <w:pStyle w:val="3"/>
        <w:bidi w:val="0"/>
        <w:rPr>
          <w:rFonts w:hint="eastAsia"/>
          <w:lang w:val="en-US" w:eastAsia="zh-CN"/>
        </w:rPr>
      </w:pPr>
      <w:r>
        <w:rPr>
          <w:rFonts w:hint="eastAsia"/>
          <w:lang w:val="en-US" w:eastAsia="zh-CN"/>
        </w:rPr>
        <w:t>依法治市</w:t>
      </w:r>
    </w:p>
    <w:p w14:paraId="0B2F86ED">
      <w:pPr>
        <w:pStyle w:val="4"/>
        <w:bidi w:val="0"/>
        <w:rPr>
          <w:rFonts w:hint="eastAsia"/>
        </w:rPr>
      </w:pPr>
      <w:r>
        <w:rPr>
          <w:rFonts w:hint="eastAsia"/>
        </w:rPr>
        <w:t>【概况】</w:t>
      </w:r>
    </w:p>
    <w:p w14:paraId="197688AC">
      <w:pPr>
        <w:rPr>
          <w:rFonts w:hint="eastAsia"/>
        </w:rPr>
      </w:pPr>
      <w:r>
        <w:rPr>
          <w:rFonts w:hint="eastAsia"/>
        </w:rPr>
        <w:t>中共南雄市委依法治市领导小组办公室（以下简称依法治市办）成立于</w:t>
      </w:r>
      <w:r>
        <w:t>1997年4月，是南</w:t>
      </w:r>
      <w:r>
        <w:rPr>
          <w:rFonts w:hint="eastAsia"/>
        </w:rPr>
        <w:t>雄市委正科级常设议事协调机构，委托南雄市人大常委会党组代管。设有两个股室，编制</w:t>
      </w:r>
      <w:r>
        <w:t>5人。负责</w:t>
      </w:r>
      <w:r>
        <w:rPr>
          <w:rFonts w:hint="eastAsia"/>
        </w:rPr>
        <w:t>组织、协调、监督、检</w:t>
      </w:r>
      <w:r>
        <w:rPr>
          <w:rFonts w:hint="eastAsia"/>
          <w:lang w:eastAsia="zh-CN"/>
        </w:rPr>
        <w:t>查</w:t>
      </w:r>
      <w:r>
        <w:rPr>
          <w:rFonts w:hint="eastAsia"/>
        </w:rPr>
        <w:t>全市依法治理和法制宣传教育工作。</w:t>
      </w:r>
    </w:p>
    <w:p w14:paraId="1237A1C6">
      <w:pPr>
        <w:pStyle w:val="4"/>
        <w:bidi w:val="0"/>
        <w:rPr>
          <w:rFonts w:hint="eastAsia"/>
          <w:lang w:eastAsia="zh-CN"/>
        </w:rPr>
      </w:pPr>
      <w:r>
        <w:rPr>
          <w:rFonts w:hint="eastAsia"/>
        </w:rPr>
        <w:t>【完</w:t>
      </w:r>
      <w:r>
        <w:rPr>
          <w:rFonts w:hint="eastAsia"/>
          <w:lang w:val="en-US" w:eastAsia="zh-CN"/>
        </w:rPr>
        <w:t>善</w:t>
      </w:r>
      <w:r>
        <w:rPr>
          <w:rFonts w:hint="eastAsia"/>
        </w:rPr>
        <w:t>体制机制，构建科学体系</w:t>
      </w:r>
      <w:r>
        <w:rPr>
          <w:rFonts w:hint="eastAsia"/>
          <w:lang w:eastAsia="zh-CN"/>
        </w:rPr>
        <w:t>】</w:t>
      </w:r>
    </w:p>
    <w:p w14:paraId="023777C7">
      <w:pPr>
        <w:rPr>
          <w:rFonts w:hint="eastAsia"/>
        </w:rPr>
      </w:pPr>
      <w:r>
        <w:rPr>
          <w:rFonts w:hint="eastAsia"/>
          <w:lang w:val="en-US" w:eastAsia="zh-CN"/>
        </w:rPr>
        <w:t>一</w:t>
      </w:r>
      <w:r>
        <w:rPr>
          <w:rFonts w:hint="eastAsia"/>
        </w:rPr>
        <w:t>是切实加强和改进党的领导。召开高规格的全市依法治市工作会议，市委书记亲自作讲话，有</w:t>
      </w:r>
      <w:r>
        <w:t>800多人参加，2013年依法治市工作作全面部署。做好《法治广东</w:t>
      </w:r>
      <w:r>
        <w:rPr>
          <w:rFonts w:hint="eastAsia"/>
        </w:rPr>
        <w:t>建设五年规划（</w:t>
      </w:r>
      <w:r>
        <w:t>2011-2015年）》暨“六五”普法</w:t>
      </w:r>
      <w:r>
        <w:rPr>
          <w:rFonts w:hint="eastAsia"/>
        </w:rPr>
        <w:t>中期自</w:t>
      </w:r>
      <w:r>
        <w:rPr>
          <w:rFonts w:hint="eastAsia"/>
          <w:lang w:eastAsia="zh-CN"/>
        </w:rPr>
        <w:t>查</w:t>
      </w:r>
      <w:r>
        <w:rPr>
          <w:rFonts w:hint="eastAsia"/>
        </w:rPr>
        <w:t>以及迎检工作，从市委政法委、市委宣传部、市人大办市司法局等单位和部门抽调人员分成</w:t>
      </w:r>
      <w:r>
        <w:t>4个检</w:t>
      </w:r>
      <w:r>
        <w:rPr>
          <w:rFonts w:hint="eastAsia"/>
          <w:lang w:eastAsia="zh-CN"/>
        </w:rPr>
        <w:t>查</w:t>
      </w:r>
      <w:r>
        <w:t>组，对各镇（街）、各部门进行检</w:t>
      </w:r>
      <w:r>
        <w:rPr>
          <w:rFonts w:hint="eastAsia"/>
          <w:lang w:eastAsia="zh-CN"/>
        </w:rPr>
        <w:t>查</w:t>
      </w:r>
      <w:r>
        <w:t>，做</w:t>
      </w:r>
      <w:r>
        <w:rPr>
          <w:rFonts w:hint="eastAsia"/>
        </w:rPr>
        <w:t>好</w:t>
      </w:r>
      <w:r>
        <w:rPr>
          <w:rFonts w:hint="eastAsia"/>
          <w:lang w:eastAsia="zh-CN"/>
        </w:rPr>
        <w:t>查</w:t>
      </w:r>
      <w:r>
        <w:rPr>
          <w:rFonts w:hint="eastAsia"/>
        </w:rPr>
        <w:t>缺补漏工作，高标准通过省、韶关市中期检</w:t>
      </w:r>
      <w:r>
        <w:rPr>
          <w:rFonts w:hint="eastAsia"/>
          <w:lang w:eastAsia="zh-CN"/>
        </w:rPr>
        <w:t>查</w:t>
      </w:r>
      <w:r>
        <w:rPr>
          <w:rFonts w:hint="eastAsia"/>
        </w:rPr>
        <w:t>。二是加强人大常委会的依法监督。人大坚持每月听取依法治市办工作汇报，在主导推进依法治市各项工作的同时，综合运用听取专项报告、执法检</w:t>
      </w:r>
      <w:r>
        <w:rPr>
          <w:rFonts w:hint="eastAsia"/>
          <w:lang w:eastAsia="zh-CN"/>
        </w:rPr>
        <w:t>查</w:t>
      </w:r>
      <w:r>
        <w:rPr>
          <w:rFonts w:hint="eastAsia"/>
        </w:rPr>
        <w:t>、网络问政等形式开展监督。三是强化专业机构的专项监督。纪检监察机关加大惩治腐败力度，立案</w:t>
      </w:r>
      <w:r>
        <w:rPr>
          <w:rFonts w:hint="eastAsia"/>
          <w:lang w:eastAsia="zh-CN"/>
        </w:rPr>
        <w:t>查</w:t>
      </w:r>
      <w:r>
        <w:rPr>
          <w:rFonts w:hint="eastAsia"/>
        </w:rPr>
        <w:t>处违法违纪案件；法院、检察、公安机关等加强对行政诉讼、刑事诉讼和民事诉讼，以及刑罚执行和看管场所的监督。审计部门依法履行审计职责，通过开展专项审计调</w:t>
      </w:r>
      <w:r>
        <w:rPr>
          <w:rFonts w:hint="eastAsia"/>
          <w:lang w:eastAsia="zh-CN"/>
        </w:rPr>
        <w:t>查</w:t>
      </w:r>
      <w:r>
        <w:rPr>
          <w:rFonts w:hint="eastAsia"/>
        </w:rPr>
        <w:t>、财政决算审计、领导干部经济责任审计、专项资金绩效审计等多种方式的审计监督，纠正财经管理的违法违规行为。</w:t>
      </w:r>
    </w:p>
    <w:p w14:paraId="65C4DCAB">
      <w:pPr>
        <w:pStyle w:val="4"/>
        <w:bidi w:val="0"/>
      </w:pPr>
      <w:r>
        <w:rPr>
          <w:rFonts w:hint="eastAsia"/>
          <w:lang w:eastAsia="zh-CN"/>
        </w:rPr>
        <w:t>【</w:t>
      </w:r>
      <w:r>
        <w:rPr>
          <w:rFonts w:hint="eastAsia"/>
        </w:rPr>
        <w:t>继续深入开展“阳光法治</w:t>
      </w:r>
      <w:r>
        <w:t>.法治惠民”】</w:t>
      </w:r>
    </w:p>
    <w:p w14:paraId="7E966ACE">
      <w:pPr>
        <w:rPr>
          <w:rFonts w:hint="eastAsia"/>
        </w:rPr>
      </w:pPr>
      <w:r>
        <w:t>通过推</w:t>
      </w:r>
      <w:r>
        <w:rPr>
          <w:rFonts w:hint="eastAsia"/>
        </w:rPr>
        <w:t>动阳光政务、阳光审务、阳光检务、阳光狱（所）务、阳光村务等工作，让权力在阳光下运行，让人民群众合法权益依法得到保护。一是阳光政务。市政府全面完成全市便民服务大厅建设工作，对基层镇（街）窗口服务办事工作进行大检</w:t>
      </w:r>
      <w:r>
        <w:rPr>
          <w:rFonts w:hint="eastAsia"/>
          <w:lang w:eastAsia="zh-CN"/>
        </w:rPr>
        <w:t>查</w:t>
      </w:r>
      <w:r>
        <w:rPr>
          <w:rFonts w:hint="eastAsia"/>
        </w:rPr>
        <w:t>，从规范行政行为、为民提供便利等方面内容进行全面检</w:t>
      </w:r>
      <w:r>
        <w:rPr>
          <w:rFonts w:hint="eastAsia"/>
          <w:lang w:eastAsia="zh-CN"/>
        </w:rPr>
        <w:t>查</w:t>
      </w:r>
      <w:r>
        <w:rPr>
          <w:rFonts w:hint="eastAsia"/>
        </w:rPr>
        <w:t>，有力促进阳光政务工作的开展。二是阳光审务。市人民法院在近年来组织开展“百庭观摩”、“百场见证执行”，大力强化法院干部队伍业务知识和职业道德培训，组织全员干部培训考试，主动邀请人大予以全程监督，并结合广东法院综合业务信息系统的应用，推进审判流程管理的规范化和信息化建设，加强与人民群众的联系沟通，有效地增强审判工作的公开性、透明度和公信力，提升审判质量。三是阳光检务。市人民检察院认真抓好派驻镇（街）工作，</w:t>
      </w:r>
      <w:r>
        <w:t>2013年开展“检察开放日”接访活动12次，为100余名群众提供法律咨询服务，发现职</w:t>
      </w:r>
      <w:r>
        <w:rPr>
          <w:rFonts w:hint="eastAsia"/>
        </w:rPr>
        <w:t>务犯罪案件线索</w:t>
      </w:r>
      <w:r>
        <w:t>3条，对减少各种涉农犯罪发生，</w:t>
      </w:r>
      <w:r>
        <w:rPr>
          <w:rFonts w:hint="eastAsia"/>
        </w:rPr>
        <w:t>服务农村发展。四是阳光公共服务。公安、信访</w:t>
      </w:r>
      <w:r>
        <w:rPr>
          <w:rFonts w:hint="eastAsia"/>
          <w:lang w:eastAsia="zh-CN"/>
        </w:rPr>
        <w:t>、</w:t>
      </w:r>
      <w:r>
        <w:rPr>
          <w:rFonts w:hint="eastAsia"/>
        </w:rPr>
        <w:t>民政、教育等部门，都建立标准化、流程化、精细化的阳光管理体系，通过执法过程信息化推行阳光服务，保证执法办案工作的公开、公正、透明。</w:t>
      </w:r>
    </w:p>
    <w:p w14:paraId="3BBF8693">
      <w:pPr>
        <w:pStyle w:val="4"/>
        <w:bidi w:val="0"/>
        <w:rPr>
          <w:rFonts w:hint="eastAsia"/>
          <w:lang w:eastAsia="zh-CN"/>
        </w:rPr>
      </w:pPr>
      <w:r>
        <w:rPr>
          <w:rFonts w:hint="eastAsia"/>
        </w:rPr>
        <w:t>【开展法治市创建活动</w:t>
      </w:r>
      <w:r>
        <w:rPr>
          <w:rFonts w:hint="eastAsia"/>
          <w:lang w:eastAsia="zh-CN"/>
        </w:rPr>
        <w:t>】</w:t>
      </w:r>
    </w:p>
    <w:p w14:paraId="1EF8681F">
      <w:pPr>
        <w:rPr>
          <w:rFonts w:hint="eastAsia"/>
          <w:lang w:eastAsia="zh-CN"/>
        </w:rPr>
      </w:pPr>
      <w:r>
        <w:rPr>
          <w:rFonts w:hint="eastAsia"/>
          <w:lang w:val="en-US" w:eastAsia="zh-CN"/>
        </w:rPr>
        <w:t>一</w:t>
      </w:r>
      <w:r>
        <w:rPr>
          <w:rFonts w:hint="eastAsia"/>
        </w:rPr>
        <w:t>是统一思想认识。南雄市采取多项措施统一党员领导干部思想认识，深入推进法治市创建工作。使抓法治创建活动真正成为各级和各部门的“硬”任务、各部门和各组织联动推进“强”工作、全社会共同高度关注“热”话题，从整体上提高南雄市的政治、经济、文化、社会建设法治化水平。二是总结推广经验。发挥典型示范带动作用，采取多项措施总结推广创建先进单位典型做法、经验。首先安排创建先进单位主要领导在南雄市法治市创建工作会议上，介绍法治创建工作典型经验，倡导领导小组成员和创建点单位学习。其次组织人员，到创建先进单位召开现场会，通过现场参观、典型经验介绍等形式，全面深入地学习推广典型经验。再通过刊发简报、报送信息、上报材料等形式，向市内外总结推广南雄市法治市创建的典型经验，得到省、市有关领导的充分肯定。三是加强督促指导。注重加强督促指导，较好地推动法治市创建活动的开展。首先根据《广东省法治城市、法治县（市、区）创建工作评价标准》，广泛动员干部群众参与法治创建活动，增强抓好法治创建活动的责任感和自觉性，为法治创建活动深</w:t>
      </w:r>
      <w:r>
        <w:rPr>
          <w:rFonts w:hint="eastAsia"/>
          <w:lang w:val="en-US" w:eastAsia="zh-CN"/>
        </w:rPr>
        <w:t>入</w:t>
      </w:r>
      <w:r>
        <w:rPr>
          <w:rFonts w:hint="eastAsia"/>
        </w:rPr>
        <w:t>推进营造良好条件和氛围。其次组成调研组到有关单位进行调研，督促指导它们把法治创建活动与当前中心工作紧密结合，突出重点，争取在依法执政、依法行政、执法监督、公正司法、基层民主、普法教育、综治信访维稳、法律援助等方面内容中进行重点突破，形成特色的做法，努力打造“法治创建南雄模式”。四是通过组织开展“法治市创建活动单位”考核评比活动，并结合采取上报信息、印发工作简报等方式，及时总结推广一批单位的好做法和典型经验</w:t>
      </w:r>
      <w:r>
        <w:rPr>
          <w:rFonts w:hint="eastAsia"/>
          <w:lang w:eastAsia="zh-CN"/>
        </w:rPr>
        <w:t>。</w:t>
      </w:r>
    </w:p>
    <w:p w14:paraId="7FA8AA42">
      <w:pPr>
        <w:pStyle w:val="4"/>
        <w:bidi w:val="0"/>
        <w:rPr>
          <w:rFonts w:hint="eastAsia"/>
        </w:rPr>
      </w:pPr>
      <w:r>
        <w:rPr>
          <w:rFonts w:hint="eastAsia"/>
        </w:rPr>
        <w:t>【开展普法宣传】</w:t>
      </w:r>
    </w:p>
    <w:p w14:paraId="39EE285F">
      <w:pPr>
        <w:rPr>
          <w:rFonts w:hint="eastAsia"/>
        </w:rPr>
      </w:pPr>
      <w:r>
        <w:rPr>
          <w:rFonts w:hint="eastAsia"/>
        </w:rPr>
        <w:t>一是抓好宣传发动。通过张挂法治宣传教育横幅、播发法治宣传教育公益广告和短信、法律咨询一条街，以及举行干部职工学法考试抽考等一系列活动，较好地营造学法、用法、守法氛围。二是抓普法机构的健全。各单位都成立普法领导小组，有专人负责。三是抓规划和责任落实。要求各单位结合本单位实际，针对干部职工因素、岗位因素、经营任务因素和干部职工文化程度参差不齐的实际情况，按照突出重点，责任到位，分层施教。四是抓普法宣传员的培训。根据“五五”普法工作中的成功经验，在“六五”普法中高度重视普法宣传员队伍建设，并以此带动全市普法工作的进行。</w:t>
      </w:r>
    </w:p>
    <w:p w14:paraId="3F703DF3">
      <w:pPr>
        <w:pStyle w:val="4"/>
        <w:bidi w:val="0"/>
        <w:rPr>
          <w:rFonts w:hint="eastAsia"/>
        </w:rPr>
      </w:pPr>
      <w:r>
        <w:rPr>
          <w:rFonts w:hint="eastAsia"/>
          <w:lang w:eastAsia="zh-CN"/>
        </w:rPr>
        <w:t>【</w:t>
      </w:r>
      <w:r>
        <w:rPr>
          <w:rFonts w:hint="eastAsia"/>
        </w:rPr>
        <w:t>法治文化建设】</w:t>
      </w:r>
    </w:p>
    <w:p w14:paraId="448DEDBC">
      <w:pPr>
        <w:rPr>
          <w:rFonts w:hint="eastAsia"/>
        </w:rPr>
      </w:pPr>
      <w:r>
        <w:rPr>
          <w:rFonts w:hint="eastAsia"/>
        </w:rPr>
        <w:t>探索法制教育新途径，创新法治南雄</w:t>
      </w:r>
      <w:r>
        <w:rPr>
          <w:rFonts w:hint="eastAsia"/>
          <w:lang w:val="en-US" w:eastAsia="zh-CN"/>
        </w:rPr>
        <w:t>宣</w:t>
      </w:r>
      <w:r>
        <w:rPr>
          <w:rFonts w:hint="eastAsia"/>
        </w:rPr>
        <w:t>传教育的方式、方法，建设一批法治文化宣传设施，利用城市广场、农村墟镇等公共场所建设法治宣传阵地，采取多种形式打造一批群众喜闻乐见，有较强影响力的法治宣传品牌，重点抓好拍摄法治电视公益广告，并向省、市电视台选送；从文化的角度来重新审视宣传教育工作和谋求推进法</w:t>
      </w:r>
      <w:r>
        <w:rPr>
          <w:rFonts w:hint="eastAsia"/>
          <w:lang w:val="en-US" w:eastAsia="zh-CN"/>
        </w:rPr>
        <w:t>治</w:t>
      </w:r>
      <w:r>
        <w:rPr>
          <w:rFonts w:hint="eastAsia"/>
        </w:rPr>
        <w:t>建设，着力拓展普法宣传教育和法治南雄宣传教育工作的广度和深度，创新发展、提升层次，努力构建法治南雄宣传教育大格局，增强宣传教育的表现力、吸引力和影响力。</w:t>
      </w:r>
    </w:p>
    <w:p w14:paraId="2C03F300">
      <w:pPr>
        <w:pStyle w:val="4"/>
        <w:bidi w:val="0"/>
        <w:rPr>
          <w:rFonts w:hint="eastAsia"/>
        </w:rPr>
      </w:pPr>
      <w:r>
        <w:rPr>
          <w:rFonts w:hint="eastAsia"/>
        </w:rPr>
        <w:t>【荣誉称号】</w:t>
      </w:r>
    </w:p>
    <w:p w14:paraId="3A923E0D">
      <w:pPr>
        <w:rPr>
          <w:rFonts w:hint="eastAsia"/>
        </w:rPr>
      </w:pPr>
      <w:r>
        <w:t>2013年依法治市办被评为韶关市依</w:t>
      </w:r>
      <w:r>
        <w:rPr>
          <w:rFonts w:hint="eastAsia"/>
        </w:rPr>
        <w:t>法治市工作先进单位。</w:t>
      </w:r>
    </w:p>
    <w:p w14:paraId="6335C8C6">
      <w:pPr>
        <w:jc w:val="right"/>
        <w:rPr>
          <w:rFonts w:hint="eastAsia"/>
          <w:b/>
          <w:bCs/>
        </w:rPr>
      </w:pPr>
      <w:r>
        <w:rPr>
          <w:rFonts w:hint="eastAsia"/>
          <w:b/>
          <w:bCs/>
        </w:rPr>
        <w:t>（李玉英）</w:t>
      </w:r>
    </w:p>
    <w:p w14:paraId="4A07CA8A">
      <w:pPr>
        <w:pStyle w:val="10"/>
        <w:bidi w:val="0"/>
        <w:rPr>
          <w:b/>
          <w:bCs/>
        </w:rPr>
      </w:pPr>
      <w:r>
        <w:rPr>
          <w:rFonts w:hint="eastAsia"/>
          <w:b/>
          <w:bCs/>
        </w:rPr>
        <w:t>附：</w:t>
      </w:r>
      <w:r>
        <w:rPr>
          <w:b/>
          <w:bCs/>
        </w:rPr>
        <w:t>2013年市依法治市办领导班子成员名单</w:t>
      </w:r>
    </w:p>
    <w:p w14:paraId="42B2DDFD">
      <w:pPr>
        <w:pStyle w:val="10"/>
        <w:bidi w:val="0"/>
        <w:rPr>
          <w:rFonts w:hint="eastAsia"/>
        </w:rPr>
      </w:pPr>
      <w:r>
        <w:rPr>
          <w:rFonts w:hint="eastAsia"/>
          <w:b/>
          <w:bCs/>
        </w:rPr>
        <w:t>主</w:t>
      </w:r>
      <w:r>
        <w:rPr>
          <w:rFonts w:hint="eastAsia"/>
          <w:b/>
          <w:bCs/>
          <w:lang w:val="en-US" w:eastAsia="zh-CN"/>
        </w:rPr>
        <w:t xml:space="preserve">  </w:t>
      </w:r>
      <w:r>
        <w:rPr>
          <w:rFonts w:hint="eastAsia"/>
          <w:b/>
          <w:bCs/>
        </w:rPr>
        <w:t>任：</w:t>
      </w:r>
      <w:r>
        <w:rPr>
          <w:rFonts w:hint="eastAsia"/>
        </w:rPr>
        <w:t>刘光胜</w:t>
      </w:r>
    </w:p>
    <w:p w14:paraId="373001D3">
      <w:pPr>
        <w:pStyle w:val="10"/>
        <w:bidi w:val="0"/>
        <w:rPr>
          <w:rFonts w:hint="eastAsia"/>
        </w:rPr>
      </w:pPr>
      <w:r>
        <w:rPr>
          <w:rFonts w:hint="eastAsia"/>
          <w:b/>
          <w:bCs/>
        </w:rPr>
        <w:t>副主任：</w:t>
      </w:r>
      <w:r>
        <w:rPr>
          <w:rFonts w:hint="eastAsia"/>
        </w:rPr>
        <w:t>范少敏</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607F6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723A6FAB">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3630" cy="3354705"/>
                  <wp:effectExtent l="0" t="0" r="7620" b="17145"/>
                  <wp:docPr id="47" name="图片 47" descr="南雄年鉴2014-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南雄年鉴2014-047"/>
                          <pic:cNvPicPr>
                            <a:picLocks noChangeAspect="1"/>
                          </pic:cNvPicPr>
                        </pic:nvPicPr>
                        <pic:blipFill>
                          <a:blip r:embed="rId117"/>
                          <a:stretch>
                            <a:fillRect/>
                          </a:stretch>
                        </pic:blipFill>
                        <pic:spPr>
                          <a:xfrm>
                            <a:off x="0" y="0"/>
                            <a:ext cx="6183630" cy="3354705"/>
                          </a:xfrm>
                          <a:prstGeom prst="rect">
                            <a:avLst/>
                          </a:prstGeom>
                        </pic:spPr>
                      </pic:pic>
                    </a:graphicData>
                  </a:graphic>
                </wp:inline>
              </w:drawing>
            </w:r>
          </w:p>
        </w:tc>
      </w:tr>
    </w:tbl>
    <w:p w14:paraId="688695AC">
      <w:pPr>
        <w:pStyle w:val="2"/>
        <w:bidi w:val="0"/>
        <w:rPr>
          <w:rFonts w:hint="eastAsia"/>
        </w:rPr>
      </w:pPr>
      <w:r>
        <w:rPr>
          <w:rFonts w:hint="eastAsia"/>
        </w:rPr>
        <w:t>南雄市人大常委会</w:t>
      </w:r>
    </w:p>
    <w:p w14:paraId="2B6AFC74">
      <w:pPr>
        <w:pStyle w:val="3"/>
        <w:bidi w:val="0"/>
        <w:rPr>
          <w:rFonts w:hint="eastAsia"/>
          <w:lang w:val="en-US" w:eastAsia="zh-CN"/>
        </w:rPr>
      </w:pPr>
      <w:r>
        <w:rPr>
          <w:rFonts w:hint="eastAsia"/>
          <w:lang w:val="en-US" w:eastAsia="zh-CN"/>
        </w:rPr>
        <w:t>综述</w:t>
      </w:r>
    </w:p>
    <w:p w14:paraId="39E99F25">
      <w:pPr>
        <w:pStyle w:val="4"/>
        <w:bidi w:val="0"/>
        <w:rPr>
          <w:rFonts w:hint="eastAsia"/>
        </w:rPr>
      </w:pPr>
      <w:r>
        <w:rPr>
          <w:rFonts w:hint="eastAsia"/>
        </w:rPr>
        <w:t>【概况】</w:t>
      </w:r>
    </w:p>
    <w:p w14:paraId="4B3112E9">
      <w:pPr>
        <w:rPr>
          <w:rFonts w:hint="eastAsia"/>
        </w:rPr>
      </w:pPr>
      <w:r>
        <w:rPr>
          <w:rFonts w:hint="eastAsia"/>
        </w:rPr>
        <w:t>南雄市人大常委会机关内设“一室四委”。即办公室、内务司法工作委员会、经济工作委员会、教科文卫工作委员会、选举联络人事任免工作委员会。编制</w:t>
      </w:r>
      <w:r>
        <w:t>21人，其中行政编制19人，事</w:t>
      </w:r>
      <w:r>
        <w:rPr>
          <w:rFonts w:hint="eastAsia"/>
        </w:rPr>
        <w:t>业编制</w:t>
      </w:r>
      <w:r>
        <w:t>2人。2013年，是贯彻落实党的十八大精神</w:t>
      </w:r>
      <w:r>
        <w:rPr>
          <w:rFonts w:hint="eastAsia"/>
        </w:rPr>
        <w:t>的开局之年，也是南雄市开展“面向基层、整顿作风、服务群众”活动，市人大常委会在市委正确领导下，以科学发展观为指导，切实转变工作作风，始终围绕全市工作大局，以推动民生事业为重点，履行宪法和法律赋予的职责，为促进南雄经济跨越式发展，保障和改善民生，维护社会和</w:t>
      </w:r>
      <w:r>
        <w:rPr>
          <w:rFonts w:hint="eastAsia"/>
          <w:lang w:val="en-US" w:eastAsia="zh-CN"/>
        </w:rPr>
        <w:t>谐</w:t>
      </w:r>
      <w:r>
        <w:rPr>
          <w:rFonts w:hint="eastAsia"/>
        </w:rPr>
        <w:t>稳定，推进民主法制建设。</w:t>
      </w:r>
    </w:p>
    <w:p w14:paraId="6A01B754">
      <w:pPr>
        <w:pStyle w:val="4"/>
        <w:bidi w:val="0"/>
        <w:rPr>
          <w:rFonts w:hint="eastAsia"/>
        </w:rPr>
      </w:pPr>
      <w:r>
        <w:rPr>
          <w:rFonts w:hint="eastAsia"/>
        </w:rPr>
        <w:t>【监督工作】</w:t>
      </w:r>
    </w:p>
    <w:p w14:paraId="38041504">
      <w:pPr>
        <w:rPr>
          <w:rFonts w:hint="eastAsia"/>
          <w:lang w:eastAsia="zh-CN"/>
        </w:rPr>
      </w:pPr>
      <w:r>
        <w:rPr>
          <w:rFonts w:hint="eastAsia"/>
        </w:rPr>
        <w:t>常委会贯彻实施监督法，把监督工作重点放在关系经济社会发展的重大问题和民生问题上，加大力度、完善方式、增强实效，促进“</w:t>
      </w:r>
      <w:r>
        <w:rPr>
          <w:rFonts w:hint="eastAsia"/>
          <w:lang w:val="en-US" w:eastAsia="zh-CN"/>
        </w:rPr>
        <w:t>一</w:t>
      </w:r>
      <w:r>
        <w:rPr>
          <w:rFonts w:hint="eastAsia"/>
        </w:rPr>
        <w:t>府两院”依法行政、公正司法。</w:t>
      </w:r>
      <w:r>
        <w:t>2013年，常委会结</w:t>
      </w:r>
      <w:r>
        <w:rPr>
          <w:rFonts w:hint="eastAsia"/>
        </w:rPr>
        <w:t>合社情民意，在调</w:t>
      </w:r>
      <w:r>
        <w:rPr>
          <w:rFonts w:hint="eastAsia"/>
          <w:lang w:eastAsia="zh-CN"/>
        </w:rPr>
        <w:t>查</w:t>
      </w:r>
      <w:r>
        <w:rPr>
          <w:rFonts w:hint="eastAsia"/>
        </w:rPr>
        <w:t>研究和会议审议的基础上，决定把珠玑纸业排污管控治理作为专项议题，启动首次专题询问，专题询问在社会上引起强烈反响，取得良好的效果，受到人民群众的普遍关注和好评</w:t>
      </w:r>
      <w:r>
        <w:rPr>
          <w:rFonts w:hint="eastAsia"/>
          <w:lang w:eastAsia="zh-CN"/>
        </w:rPr>
        <w:t>。</w:t>
      </w:r>
      <w:r>
        <w:rPr>
          <w:rFonts w:hint="eastAsia"/>
        </w:rPr>
        <w:t>常委会根据市十四届人大三次会议代表测评结果，依法确定市水务局、市汽车站、人民保险南雄支公司为年度工作评议对象单位，通过单位自评、收集意见、集中评议、落实整改等阶段工作的开展，最终三个单位工作评议结果最终确定为满意，本次专项工作评议取得显著实效。常委会组织多个专项执法检</w:t>
      </w:r>
      <w:r>
        <w:rPr>
          <w:rFonts w:hint="eastAsia"/>
          <w:lang w:eastAsia="zh-CN"/>
        </w:rPr>
        <w:t>查</w:t>
      </w:r>
      <w:r>
        <w:rPr>
          <w:rFonts w:hint="eastAsia"/>
        </w:rPr>
        <w:t>组，先后对土地管理法、城乡规划法以及法官法的实施情况进行检</w:t>
      </w:r>
      <w:r>
        <w:rPr>
          <w:rFonts w:hint="eastAsia"/>
          <w:lang w:eastAsia="zh-CN"/>
        </w:rPr>
        <w:t>查</w:t>
      </w:r>
      <w:r>
        <w:rPr>
          <w:rFonts w:hint="eastAsia"/>
        </w:rPr>
        <w:t>，详细听取有关情况报告，特别是围绕新型城镇化建设，深入了解南雄市建设用地容积率管理和国有土地用后审批工作情况。加强“两院”监督。常委会连续第二年关注法官队伍建设，针对存在问题，把督促指导法院开展全员培训考核列入年度工作要点，并要求法院出台与奖惩挂钩的培训考核相关方案细则加以严格落实，年内法院系统全体干警培训完毕，一次性考核通过率为</w:t>
      </w:r>
      <w:r>
        <w:t>88%，经过补考实现全员通过。同时，常</w:t>
      </w:r>
      <w:r>
        <w:rPr>
          <w:rFonts w:hint="eastAsia"/>
        </w:rPr>
        <w:t>委会听取和审议市检察院关于派驻镇（街）检察室工作开展情况报告，对如何更好发挥基层检察室在预防职务犯罪以及农村普法宣传等提出意见建议。常委会围绕市政府</w:t>
      </w:r>
      <w:r>
        <w:t>2013年“九件民生实事”，组织</w:t>
      </w:r>
      <w:r>
        <w:rPr>
          <w:rFonts w:hint="eastAsia"/>
        </w:rPr>
        <w:t>韶关、南雄两级人大代表进行集中视察，在深入了解民生工程建设进度、工程质量、配套资金落实以及单项工程实施效果等情况后，提出“集中精力</w:t>
      </w:r>
      <w:r>
        <w:rPr>
          <w:rFonts w:hint="eastAsia"/>
          <w:lang w:eastAsia="zh-CN"/>
        </w:rPr>
        <w:t>、</w:t>
      </w:r>
      <w:r>
        <w:rPr>
          <w:rFonts w:hint="eastAsia"/>
        </w:rPr>
        <w:t>加快推进，认真履诺、取信于民”等意见建议，特别对各个项目进行询</w:t>
      </w:r>
      <w:r>
        <w:rPr>
          <w:rFonts w:hint="eastAsia"/>
          <w:lang w:eastAsia="zh-CN"/>
        </w:rPr>
        <w:t>查</w:t>
      </w:r>
      <w:r>
        <w:rPr>
          <w:rFonts w:hint="eastAsia"/>
        </w:rPr>
        <w:t>落实。常委会围绕新型农村合作医疗、全市校车安全情况、教育创强工作等社会热点，深入有关单位和镇（街）进行视察调研，分别相应提出“提升服务质量，方便群众办理”</w:t>
      </w:r>
      <w:r>
        <w:rPr>
          <w:rFonts w:hint="eastAsia"/>
          <w:lang w:eastAsia="zh-CN"/>
        </w:rPr>
        <w:t>、</w:t>
      </w:r>
      <w:r>
        <w:rPr>
          <w:rFonts w:hint="eastAsia"/>
        </w:rPr>
        <w:t>“完善监管机制、加大执法力度、强化保障措施”和“创新机制培养人才、拓宽渠道挖掘人才、健全体系保障权益”等审议意见。常委会围绕市民健康饮水问题，多次组织人大代表到主田瀑布水库，调研水源水质保护防污染情况，及时向政府及水务部门提出意见建议</w:t>
      </w:r>
      <w:r>
        <w:rPr>
          <w:rFonts w:hint="eastAsia"/>
          <w:lang w:eastAsia="zh-CN"/>
        </w:rPr>
        <w:t>。</w:t>
      </w:r>
    </w:p>
    <w:p w14:paraId="4050B6EC">
      <w:pPr>
        <w:pStyle w:val="4"/>
        <w:bidi w:val="0"/>
        <w:rPr>
          <w:rFonts w:hint="eastAsia"/>
        </w:rPr>
      </w:pPr>
      <w:r>
        <w:rPr>
          <w:rFonts w:hint="eastAsia"/>
        </w:rPr>
        <w:t>【信访办理工作】</w:t>
      </w:r>
    </w:p>
    <w:p w14:paraId="282C7CAC">
      <w:pPr>
        <w:rPr>
          <w:rFonts w:hint="eastAsia"/>
        </w:rPr>
      </w:pPr>
      <w:r>
        <w:rPr>
          <w:rFonts w:hint="eastAsia"/>
        </w:rPr>
        <w:t>常委会高度重视信访工作，受理人民群众来信来访。注重把信访工作与监督工作有机结合起来，着力解决突出问题，帮助群众排忧解难，做到件件有受理、项项有着落。全年接待群众来信来访</w:t>
      </w:r>
      <w:r>
        <w:t>75件132人次，通过交办、函办、督</w:t>
      </w:r>
      <w:r>
        <w:rPr>
          <w:rFonts w:hint="eastAsia"/>
        </w:rPr>
        <w:t>办，使群众的来信来访得到较好的处理。</w:t>
      </w:r>
    </w:p>
    <w:p w14:paraId="7E90AD89">
      <w:pPr>
        <w:pStyle w:val="4"/>
        <w:bidi w:val="0"/>
        <w:rPr>
          <w:rFonts w:hint="eastAsia"/>
        </w:rPr>
      </w:pPr>
      <w:r>
        <w:rPr>
          <w:rFonts w:hint="eastAsia"/>
        </w:rPr>
        <w:t>【代表工作】</w:t>
      </w:r>
    </w:p>
    <w:p w14:paraId="257935ED">
      <w:pPr>
        <w:rPr>
          <w:rFonts w:hint="eastAsia"/>
        </w:rPr>
      </w:pPr>
      <w:r>
        <w:rPr>
          <w:rFonts w:hint="eastAsia"/>
        </w:rPr>
        <w:t>常委会高度重视代表工作，发挥代表作用，为代表执行职务创造条件，丰富闭会期间代表活动。“察民情、代民言、暖民心·人大代表在行动”主题实践活动深化，让代表从被动“等”民意变为主动“访”民意，既密切与人民群众的联系，又为群众多办实事、办好事。常委会及时将市十四届人大三次会议期间代表提出的</w:t>
      </w:r>
      <w:r>
        <w:t>17件议案、</w:t>
      </w:r>
      <w:r>
        <w:rPr>
          <w:rFonts w:hint="eastAsia"/>
        </w:rPr>
        <w:t>建议转交给市政府办理。对代表在闭会期间通过网络问政提出的意见建议，常委会指定专人负责，按照《南雄人大网络问政暂行办法》要求予以交办转办，并严格落实有关受理、答复时效的责任追究制度。在办理过程中，要求承办单位要与代表及时进行交流和现场督办，市政府要根据人大代表建议办理工作规定，加大建议办理力度，并负责每年向常委会报告具体办理情况。目前</w:t>
      </w:r>
      <w:r>
        <w:t>17件代表议案、建</w:t>
      </w:r>
      <w:r>
        <w:rPr>
          <w:rFonts w:hint="eastAsia"/>
        </w:rPr>
        <w:t>议均在规定期限内办理完毕，并答复代表。</w:t>
      </w:r>
    </w:p>
    <w:p w14:paraId="1CC90728">
      <w:pPr>
        <w:pStyle w:val="4"/>
        <w:bidi w:val="0"/>
        <w:rPr>
          <w:rFonts w:hint="eastAsia"/>
        </w:rPr>
      </w:pPr>
      <w:r>
        <w:rPr>
          <w:rFonts w:hint="eastAsia"/>
        </w:rPr>
        <w:t>【乡镇人大建设】</w:t>
      </w:r>
    </w:p>
    <w:p w14:paraId="16ED683A">
      <w:pPr>
        <w:rPr>
          <w:rFonts w:hint="eastAsia"/>
        </w:rPr>
      </w:pPr>
      <w:r>
        <w:rPr>
          <w:rFonts w:hint="eastAsia"/>
        </w:rPr>
        <w:t>常委会重视狠抓镇（街）人大建设，坚持和完善常委会组成人员挂点联系和指导镇（街）人大工作、镇（街）人大领导列席常委会会议的制度，整合资源，形成良性互动，提升全市人大整体工作水平。全市</w:t>
      </w:r>
      <w:r>
        <w:t>18个镇（街）人大均</w:t>
      </w:r>
      <w:r>
        <w:rPr>
          <w:rFonts w:hint="eastAsia"/>
        </w:rPr>
        <w:t>按照要求，全面落实名称、制度“两个统一”，实现场地、人员、设备、制度和活动“五个有”，相关镇（街）人大领导的政治待遇也正按组织程序予以办理，基层人大及代表履职常态化、规范化、制度化水平提高。常委会组织全市镇（街）人大办</w:t>
      </w:r>
      <w:r>
        <w:rPr>
          <w:rFonts w:hint="eastAsia"/>
          <w:lang w:eastAsia="zh-CN"/>
        </w:rPr>
        <w:t>、</w:t>
      </w:r>
      <w:r>
        <w:rPr>
          <w:rFonts w:hint="eastAsia"/>
        </w:rPr>
        <w:t>人大联络室主任到机关跟班学习，重点学习各种法律法规、人大业务知识及办文办会的相关技能和市镇人大例会操作程序，人大代表议案、建议、网络问政事项的办理、跟踪和反馈，以了解和掌握常委会机关及其各室委的工作职责和工作方法，多形式做好人大干部业务培训工作，加强全市人大干部队伍建设。常委会坚持每年召开全市镇（街）人大工作座谈会，总结年度镇（街）人大工作开展情况和交流经验做法，探讨来年镇（街）人大工作思路，征集各镇（街）人大对市人大常委会工作的意见建议。</w:t>
      </w:r>
    </w:p>
    <w:p w14:paraId="514725DF">
      <w:pPr>
        <w:pStyle w:val="4"/>
        <w:bidi w:val="0"/>
        <w:rPr>
          <w:rFonts w:hint="eastAsia"/>
        </w:rPr>
      </w:pPr>
      <w:r>
        <w:rPr>
          <w:rFonts w:hint="eastAsia"/>
        </w:rPr>
        <w:t>【自身建设】</w:t>
      </w:r>
    </w:p>
    <w:p w14:paraId="2CD817B0">
      <w:pPr>
        <w:rPr>
          <w:rFonts w:hint="eastAsia"/>
        </w:rPr>
      </w:pPr>
      <w:r>
        <w:rPr>
          <w:rFonts w:hint="eastAsia"/>
        </w:rPr>
        <w:t>常委会坚持高标准、严要求，转变工作作风，加强自身建设，提高履职能力和水平</w:t>
      </w:r>
      <w:r>
        <w:rPr>
          <w:rFonts w:hint="eastAsia"/>
          <w:lang w:eastAsia="zh-CN"/>
        </w:rPr>
        <w:t>。</w:t>
      </w:r>
      <w:r>
        <w:rPr>
          <w:rFonts w:hint="eastAsia"/>
        </w:rPr>
        <w:t>通过抓学习培训，增强综合素质；抓制度建设，健全履职机制；抓作风建设，提高工作效能；抓宣传工作，强化对外交流。</w:t>
      </w:r>
    </w:p>
    <w:p w14:paraId="15FBBAF6">
      <w:pPr>
        <w:pStyle w:val="3"/>
        <w:bidi w:val="0"/>
        <w:rPr>
          <w:rFonts w:hint="default"/>
          <w:lang w:val="en-US" w:eastAsia="zh-CN"/>
        </w:rPr>
      </w:pPr>
      <w:r>
        <w:rPr>
          <w:rFonts w:hint="eastAsia"/>
          <w:lang w:val="en-US" w:eastAsia="zh-CN"/>
        </w:rPr>
        <w:t>市人大及其常委会重要会议</w:t>
      </w:r>
    </w:p>
    <w:p w14:paraId="77C38B7E">
      <w:pPr>
        <w:pStyle w:val="4"/>
        <w:bidi w:val="0"/>
        <w:rPr>
          <w:rFonts w:hint="eastAsia"/>
        </w:rPr>
      </w:pPr>
      <w:r>
        <w:rPr>
          <w:rFonts w:hint="eastAsia"/>
        </w:rPr>
        <w:t>【十四届人大常委会九次会议】</w:t>
      </w:r>
    </w:p>
    <w:p w14:paraId="5C3900A1">
      <w:pPr>
        <w:rPr>
          <w:rFonts w:hint="eastAsia"/>
        </w:rPr>
      </w:pPr>
      <w:r>
        <w:rPr>
          <w:rFonts w:hint="eastAsia"/>
        </w:rPr>
        <w:t>会议审议通过有关人事免职事项，决定免去麦允谦同志的南雄市人民政府副市长职务。会议听取和审议市人大常委会主任会议《关于提请确认许可逮捕叶常寿的议案》，决定确认</w:t>
      </w:r>
      <w:r>
        <w:t>2013年1月17日市人大常委会主任会议</w:t>
      </w:r>
      <w:r>
        <w:rPr>
          <w:rFonts w:hint="eastAsia"/>
        </w:rPr>
        <w:t>许可对南雄市第十四届人民代表大会代表叶常寿采取逮捕措施，期间继续暂时停止其执行代表职务。</w:t>
      </w:r>
    </w:p>
    <w:p w14:paraId="46FE3832">
      <w:r>
        <w:rPr>
          <w:rFonts w:hint="eastAsia"/>
        </w:rPr>
        <w:t>会议讨论市人大常委会工作报告（征求意见稿）。会议审议通过关于召开南雄市第十四届人民代表大会第三次会议的有关事项，决定南雄市第十四届人民代表大会第三次会议于</w:t>
      </w:r>
      <w:r>
        <w:t>2013年2月21日</w:t>
      </w:r>
      <w:r>
        <w:rPr>
          <w:rFonts w:hint="eastAsia"/>
        </w:rPr>
        <w:t>至</w:t>
      </w:r>
      <w:r>
        <w:t>22日在市区南雄大会堂举行。</w:t>
      </w:r>
    </w:p>
    <w:p w14:paraId="6A657079">
      <w:pPr>
        <w:rPr>
          <w:rFonts w:hint="eastAsia"/>
          <w:lang w:eastAsia="zh-CN"/>
        </w:rPr>
      </w:pPr>
      <w:r>
        <w:rPr>
          <w:rFonts w:hint="eastAsia"/>
        </w:rPr>
        <w:t>会议首次运用电子表决器进行签到，以及对相关人事免职事项、议案、报告等进行表决。据悉，电子表决器的运用，使会议的各项表决结果更加精确，更能体现委员们的真实意志，是南雄市政治民主进步重要标志</w:t>
      </w:r>
      <w:r>
        <w:rPr>
          <w:rFonts w:hint="eastAsia"/>
          <w:lang w:eastAsia="zh-CN"/>
        </w:rPr>
        <w:t>。</w:t>
      </w:r>
    </w:p>
    <w:p w14:paraId="388C5C41">
      <w:pPr>
        <w:pStyle w:val="4"/>
        <w:bidi w:val="0"/>
        <w:rPr>
          <w:rFonts w:hint="eastAsia"/>
        </w:rPr>
      </w:pPr>
      <w:r>
        <w:rPr>
          <w:rFonts w:hint="eastAsia"/>
        </w:rPr>
        <w:t>【十四届人大三次会议】</w:t>
      </w:r>
    </w:p>
    <w:p w14:paraId="2D36E13A">
      <w:pPr>
        <w:rPr>
          <w:rFonts w:hint="eastAsia"/>
        </w:rPr>
      </w:pPr>
      <w:r>
        <w:t>2月21日至22日，南雄</w:t>
      </w:r>
      <w:r>
        <w:rPr>
          <w:rFonts w:hint="eastAsia"/>
        </w:rPr>
        <w:t>市第十四届人民代表大会第三次会议在市区召开。会议听取和审议市长刘清生代表市政府所作的政府工作报告、审</w:t>
      </w:r>
      <w:r>
        <w:rPr>
          <w:rFonts w:hint="eastAsia"/>
          <w:lang w:eastAsia="zh-CN"/>
        </w:rPr>
        <w:t>查</w:t>
      </w:r>
      <w:r>
        <w:rPr>
          <w:rFonts w:hint="eastAsia"/>
        </w:rPr>
        <w:t>和批准南雄市</w:t>
      </w:r>
      <w:r>
        <w:t>2012年国民经济和</w:t>
      </w:r>
      <w:r>
        <w:rPr>
          <w:rFonts w:hint="eastAsia"/>
        </w:rPr>
        <w:t>社会发展计划执行情况与</w:t>
      </w:r>
      <w:r>
        <w:t>2013年计划草案报告</w:t>
      </w:r>
      <w:r>
        <w:rPr>
          <w:rFonts w:hint="eastAsia"/>
          <w:lang w:eastAsia="zh-CN"/>
        </w:rPr>
        <w:t>、</w:t>
      </w:r>
      <w:r>
        <w:rPr>
          <w:rFonts w:hint="eastAsia"/>
        </w:rPr>
        <w:t>审</w:t>
      </w:r>
      <w:r>
        <w:rPr>
          <w:rFonts w:hint="eastAsia"/>
          <w:lang w:eastAsia="zh-CN"/>
        </w:rPr>
        <w:t>查</w:t>
      </w:r>
      <w:r>
        <w:rPr>
          <w:rFonts w:hint="eastAsia"/>
        </w:rPr>
        <w:t>和批准南雄市</w:t>
      </w:r>
      <w:r>
        <w:t>2012年预算执行情况与2013年</w:t>
      </w:r>
      <w:r>
        <w:rPr>
          <w:rFonts w:hint="eastAsia"/>
        </w:rPr>
        <w:t>预算草案报告、听取和审议市人大常委会常务副主任罗勇新代表市人大常委会所作的人大常委会工作报告、听取和审议市人民法院院长肖裕忠所作的市人民法院工作报告、听取和审议市人民检察院检察长赖正志所作的市人民检察院工作报告。</w:t>
      </w:r>
    </w:p>
    <w:p w14:paraId="3D803027">
      <w:pPr>
        <w:pStyle w:val="4"/>
        <w:bidi w:val="0"/>
        <w:rPr>
          <w:rFonts w:hint="eastAsia"/>
        </w:rPr>
      </w:pPr>
      <w:r>
        <w:rPr>
          <w:rFonts w:hint="eastAsia"/>
        </w:rPr>
        <w:t>【十四届人大常委会十次会议】</w:t>
      </w:r>
    </w:p>
    <w:p w14:paraId="0307BE20">
      <w:pPr>
        <w:rPr>
          <w:rFonts w:hint="eastAsia"/>
          <w:lang w:eastAsia="zh-CN"/>
        </w:rPr>
      </w:pPr>
      <w:r>
        <w:t>4月12日，会议</w:t>
      </w:r>
      <w:r>
        <w:rPr>
          <w:rFonts w:hint="eastAsia"/>
        </w:rPr>
        <w:t>审议通过《南雄市人民代表大会常务委员会</w:t>
      </w:r>
      <w:r>
        <w:t>2013</w:t>
      </w:r>
      <w:r>
        <w:rPr>
          <w:rFonts w:hint="eastAsia"/>
        </w:rPr>
        <w:t>年工作计划》；会议对市十四届人大三次会议代表测评“一府两院”各单位以及其他市直有关单位（含垂直管理单位）工作情况进行通报；会议根据《南雄市第十四届人民代表大会第</w:t>
      </w:r>
      <w:r>
        <w:rPr>
          <w:rFonts w:hint="eastAsia"/>
          <w:lang w:val="en-US" w:eastAsia="zh-CN"/>
        </w:rPr>
        <w:t>二</w:t>
      </w:r>
      <w:r>
        <w:rPr>
          <w:rFonts w:hint="eastAsia"/>
        </w:rPr>
        <w:t>次会议代表测评“一府两院”各单位及其他市直有关单位工作办法》的有关规定，确定南雄市水务局、南雄市汽车站、人民保险南雄市支公司等</w:t>
      </w:r>
      <w:r>
        <w:t>3个单位为2013年</w:t>
      </w:r>
      <w:r>
        <w:rPr>
          <w:rFonts w:hint="eastAsia"/>
        </w:rPr>
        <w:t>度市人大常委会工作评议对象单位</w:t>
      </w:r>
      <w:r>
        <w:rPr>
          <w:rFonts w:hint="eastAsia"/>
          <w:lang w:eastAsia="zh-CN"/>
        </w:rPr>
        <w:t>。</w:t>
      </w:r>
    </w:p>
    <w:p w14:paraId="3CBEC4F1">
      <w:pPr>
        <w:pStyle w:val="4"/>
        <w:bidi w:val="0"/>
        <w:rPr>
          <w:rFonts w:hint="eastAsia"/>
        </w:rPr>
      </w:pPr>
      <w:r>
        <w:rPr>
          <w:rFonts w:hint="eastAsia"/>
        </w:rPr>
        <w:t>【十四届人大常委会十一次会议】</w:t>
      </w:r>
    </w:p>
    <w:p w14:paraId="2805AF6F">
      <w:pPr>
        <w:rPr>
          <w:rFonts w:hint="eastAsia"/>
        </w:rPr>
      </w:pPr>
      <w:r>
        <w:t>6月25日，会</w:t>
      </w:r>
      <w:r>
        <w:rPr>
          <w:rFonts w:hint="eastAsia"/>
        </w:rPr>
        <w:t>议审议通过接受叶常寿辞去南雄市第十四届人民代表大会代表职务请求的有关事项，同意接受叶常寿同志辞去南雄市第十四届人民代表大会代表职务。</w:t>
      </w:r>
    </w:p>
    <w:p w14:paraId="3ED0E0EE">
      <w:pPr>
        <w:rPr>
          <w:rFonts w:hint="eastAsia"/>
          <w:lang w:eastAsia="zh-CN"/>
        </w:rPr>
      </w:pPr>
      <w:r>
        <w:rPr>
          <w:rFonts w:hint="eastAsia"/>
        </w:rPr>
        <w:t>会议根据市人民法院院长肖裕提请，审议通过有关人事任免事项。会议审议通过《南雄市人民代表大会常务委员会开展专题询问办法（试行）》</w:t>
      </w:r>
      <w:r>
        <w:rPr>
          <w:rFonts w:hint="eastAsia"/>
          <w:lang w:eastAsia="zh-CN"/>
        </w:rPr>
        <w:t>。</w:t>
      </w:r>
    </w:p>
    <w:p w14:paraId="132402D4">
      <w:pPr>
        <w:rPr>
          <w:rFonts w:hint="eastAsia"/>
          <w:lang w:eastAsia="zh-CN"/>
        </w:rPr>
      </w:pPr>
      <w:r>
        <w:rPr>
          <w:rFonts w:hint="eastAsia"/>
        </w:rPr>
        <w:t>会议对南雄市水务局、南雄市汽车站、中国人民财产保险股份有限公司南雄支公司等单位进行工作评议，市水务局、市汽车站、财保南雄支公司相关负责人在会上代表单位先后作工作自</w:t>
      </w:r>
      <w:r>
        <w:rPr>
          <w:rFonts w:hint="eastAsia"/>
          <w:lang w:eastAsia="zh-CN"/>
        </w:rPr>
        <w:t>查</w:t>
      </w:r>
      <w:r>
        <w:rPr>
          <w:rFonts w:hint="eastAsia"/>
        </w:rPr>
        <w:t>报告。全体参会人员分成</w:t>
      </w:r>
      <w:r>
        <w:t>2个组，结合前期市人大常委会开</w:t>
      </w:r>
      <w:r>
        <w:rPr>
          <w:rFonts w:hint="eastAsia"/>
        </w:rPr>
        <w:t>展工作评议和专项调研情况展开讨论，讨论组代表还就讨论情况作归纳性的中心发言。会议审议通过《关于评议南雄市水务局等单位工作的报告（草案）》，会议在评议南雄市水务局、南雄市汽车站</w:t>
      </w:r>
      <w:r>
        <w:rPr>
          <w:rFonts w:hint="eastAsia"/>
          <w:lang w:eastAsia="zh-CN"/>
        </w:rPr>
        <w:t>、</w:t>
      </w:r>
      <w:r>
        <w:rPr>
          <w:rFonts w:hint="eastAsia"/>
        </w:rPr>
        <w:t>中国人民财产保险股份有限公司南雄支公司工作时，分别给予基本评价，指出存在问题，提出意见和建议，对市政府提出相关的建议，并提出整改要求。市水务局、市汽车站、财保南雄支公司单位负责人就会后落实整改要求作了表态发言</w:t>
      </w:r>
      <w:r>
        <w:rPr>
          <w:rFonts w:hint="eastAsia"/>
          <w:lang w:eastAsia="zh-CN"/>
        </w:rPr>
        <w:t>。</w:t>
      </w:r>
    </w:p>
    <w:p w14:paraId="035DFA8D">
      <w:pPr>
        <w:pStyle w:val="4"/>
        <w:bidi w:val="0"/>
        <w:rPr>
          <w:rFonts w:hint="eastAsia"/>
        </w:rPr>
      </w:pPr>
      <w:r>
        <w:rPr>
          <w:rFonts w:hint="eastAsia"/>
        </w:rPr>
        <w:t>【十四届人大常委会十二次会议】</w:t>
      </w:r>
    </w:p>
    <w:p w14:paraId="2C649E8E">
      <w:pPr>
        <w:rPr>
          <w:rFonts w:hint="eastAsia"/>
        </w:rPr>
      </w:pPr>
      <w:r>
        <w:t>8月30日，会</w:t>
      </w:r>
      <w:r>
        <w:rPr>
          <w:rFonts w:hint="eastAsia"/>
        </w:rPr>
        <w:t>议审议通过（决定）有关人事事项。决定接受许志新辞去南雄市第十四届人民代表大会常务委员会主任职务，报南雄市第十四届人民代表大会第四次会议备案，罗勇新代理南雄市第十四届人民代表大会常务委员会主任职务。</w:t>
      </w:r>
    </w:p>
    <w:p w14:paraId="26D0BACE">
      <w:pPr>
        <w:rPr>
          <w:rFonts w:hint="eastAsia"/>
        </w:rPr>
      </w:pPr>
      <w:r>
        <w:rPr>
          <w:rFonts w:hint="eastAsia"/>
        </w:rPr>
        <w:t>会议审议通过《南雄市人民代表大会常务委员会主任会议工作程序（试行）》、《南雄市人民代表大会常务委员会会议工作程序（试行）》、《南雄市人民代表大会会议工作程序（试行）》和《南雄市人民代表大会常务委员会规范性文件备案审</w:t>
      </w:r>
      <w:r>
        <w:rPr>
          <w:rFonts w:hint="eastAsia"/>
          <w:lang w:eastAsia="zh-CN"/>
        </w:rPr>
        <w:t>查</w:t>
      </w:r>
      <w:r>
        <w:rPr>
          <w:rFonts w:hint="eastAsia"/>
        </w:rPr>
        <w:t>办法（试行）》。</w:t>
      </w:r>
    </w:p>
    <w:p w14:paraId="6221081F">
      <w:r>
        <w:rPr>
          <w:rFonts w:hint="eastAsia"/>
        </w:rPr>
        <w:t>会议听取和审议市人民政府关于《南雄市</w:t>
      </w:r>
      <w:r>
        <w:t>2013</w:t>
      </w:r>
      <w:r>
        <w:rPr>
          <w:rFonts w:hint="eastAsia"/>
        </w:rPr>
        <w:t>年上半年国民经济和社会发展计划执行情况的报告》、《南雄市</w:t>
      </w:r>
      <w:r>
        <w:t>2012年财政决算草案和2013年上半</w:t>
      </w:r>
      <w:r>
        <w:rPr>
          <w:rFonts w:hint="eastAsia"/>
        </w:rPr>
        <w:t>年公共财政预算执行的报告》以及《南雄市</w:t>
      </w:r>
      <w:r>
        <w:t>2012</w:t>
      </w:r>
      <w:r>
        <w:rPr>
          <w:rFonts w:hint="eastAsia"/>
        </w:rPr>
        <w:t>年度财政预算执行情况和其他财政收支的审计工作报告》。认为</w:t>
      </w:r>
      <w:r>
        <w:t>2013年上半年，南雄市国民经济和社</w:t>
      </w:r>
      <w:r>
        <w:rPr>
          <w:rFonts w:hint="eastAsia"/>
        </w:rPr>
        <w:t>会发展计划与预算执行情况总体保持平稳态势，但和去年同期一样，主要经济指标均未达到“双过半”（即年度过半，完成任务过半）；预算执行过程中存在资金调度困难问题。固定资产投资和工业增加值完成难、经济增长支撑力不足、支出压力持续增大以及农业产业化发展水平不高等问题仍困扰着。市人民政府及其职能部门要在市委的坚强领导下，抓准省委促进粤东西北加快发展有利时机，坚持以“调结构、稳增长、促和谐”为主线，对接上级政策，坚持优化产业结构，狠抓落实，努力实现今年的预期目标。重点抓好园区建设推动工业经济发展，做好“生态立市”文章，争取资金项目，增强发展后劲，推进重点项目建设，支撑经济稳步增长，同时，加强财政监督管理，厉行节约。会议还审议通过关于批准南雄市</w:t>
      </w:r>
      <w:r>
        <w:t>2012年财政决算的决议。</w:t>
      </w:r>
    </w:p>
    <w:p w14:paraId="29437400">
      <w:pPr>
        <w:pStyle w:val="4"/>
        <w:bidi w:val="0"/>
        <w:rPr>
          <w:rFonts w:hint="eastAsia"/>
        </w:rPr>
      </w:pPr>
      <w:r>
        <w:rPr>
          <w:rFonts w:hint="eastAsia"/>
        </w:rPr>
        <w:t>【十四届人大常委会十三次会议】</w:t>
      </w:r>
    </w:p>
    <w:p w14:paraId="704DD0F4">
      <w:pPr>
        <w:rPr>
          <w:rFonts w:hint="eastAsia"/>
          <w:lang w:eastAsia="zh-CN"/>
        </w:rPr>
      </w:pPr>
      <w:r>
        <w:t>9月10日，会</w:t>
      </w:r>
      <w:r>
        <w:rPr>
          <w:rFonts w:hint="eastAsia"/>
        </w:rPr>
        <w:t>议审议通过接受吴良彬等</w:t>
      </w:r>
      <w:r>
        <w:t>4人辞去南雄市第十四届</w:t>
      </w:r>
      <w:r>
        <w:rPr>
          <w:rFonts w:hint="eastAsia"/>
        </w:rPr>
        <w:t>人民代表大会代表职务请求的有关事项。同意接受吴良彬、严桂龙、李新明、尹晓芸等</w:t>
      </w:r>
      <w:r>
        <w:t>4人辞去南雄</w:t>
      </w:r>
      <w:r>
        <w:rPr>
          <w:rFonts w:hint="eastAsia"/>
        </w:rPr>
        <w:t>市第十四届人民代表大会代表职务，报南雄市第十四届人民代表大会第四次会议备案</w:t>
      </w:r>
      <w:r>
        <w:rPr>
          <w:rFonts w:hint="eastAsia"/>
          <w:lang w:eastAsia="zh-CN"/>
        </w:rPr>
        <w:t>。</w:t>
      </w:r>
    </w:p>
    <w:p w14:paraId="70B3A5A8">
      <w:pPr>
        <w:rPr>
          <w:rFonts w:hint="eastAsia"/>
          <w:lang w:eastAsia="zh-CN"/>
        </w:rPr>
      </w:pPr>
      <w:r>
        <w:rPr>
          <w:rFonts w:hint="eastAsia"/>
        </w:rPr>
        <w:t>会议审议通过有关人事事项。根据市人大常委会主任会议所作的提请，免去苏德椿南雄市人民代表大会常务委员会雄州街道工作委员会主任职务，任命叶凌峰为南雄市人民代表大会常务委员会雄州街道工作委员会主任。根据市人民政府所作的提请，决定免去袁元桃南雄市财政局局长职务和李传忠南雄市住房和城乡规划建设局局长职务，决定任命李传忠为南雄市财政局局长、吴良彬为南雄市住房和城乡规划建设局局长和严桂龙为南雄市水务局局长</w:t>
      </w:r>
      <w:r>
        <w:rPr>
          <w:rFonts w:hint="eastAsia"/>
          <w:lang w:eastAsia="zh-CN"/>
        </w:rPr>
        <w:t>。</w:t>
      </w:r>
    </w:p>
    <w:p w14:paraId="704C51CE">
      <w:pPr>
        <w:pStyle w:val="4"/>
        <w:bidi w:val="0"/>
        <w:rPr>
          <w:rFonts w:hint="eastAsia"/>
        </w:rPr>
      </w:pPr>
      <w:r>
        <w:rPr>
          <w:rFonts w:hint="eastAsia"/>
        </w:rPr>
        <w:t>【十四届人大常</w:t>
      </w:r>
      <w:r>
        <w:rPr>
          <w:rFonts w:hint="eastAsia"/>
          <w:lang w:val="en-US" w:eastAsia="zh-CN"/>
        </w:rPr>
        <w:t>委</w:t>
      </w:r>
      <w:r>
        <w:rPr>
          <w:rFonts w:hint="eastAsia"/>
        </w:rPr>
        <w:t>会十四次会议】</w:t>
      </w:r>
    </w:p>
    <w:p w14:paraId="6960AAF5">
      <w:pPr>
        <w:rPr>
          <w:rFonts w:hint="eastAsia"/>
        </w:rPr>
      </w:pPr>
      <w:r>
        <w:t>10月12日，</w:t>
      </w:r>
      <w:r>
        <w:rPr>
          <w:rFonts w:hint="eastAsia"/>
        </w:rPr>
        <w:t>会议听取和审议市人民政府《关于提请审议东莞大岭山（南雄）产业转移工业园区</w:t>
      </w:r>
      <w:r>
        <w:t>G323线以西西南</w:t>
      </w:r>
      <w:r>
        <w:rPr>
          <w:rFonts w:hint="eastAsia"/>
        </w:rPr>
        <w:t>角地块用地性质调整的议案》，同意对东莞大岭山（南雄）产业转移工业园区</w:t>
      </w:r>
      <w:r>
        <w:t>G323线以西西南角地块</w:t>
      </w:r>
      <w:r>
        <w:rPr>
          <w:rFonts w:hint="eastAsia"/>
        </w:rPr>
        <w:t>用地性质进行调整，调整面积为</w:t>
      </w:r>
      <w:r>
        <w:t>49.01亩，用地性</w:t>
      </w:r>
      <w:r>
        <w:rPr>
          <w:rFonts w:hint="eastAsia"/>
        </w:rPr>
        <w:t>质由园区配套综合用地调整为商住用地，由市人民政府依照相关法律法规使用。</w:t>
      </w:r>
    </w:p>
    <w:p w14:paraId="53459D3D">
      <w:pPr>
        <w:rPr>
          <w:rFonts w:hint="eastAsia"/>
        </w:rPr>
      </w:pPr>
      <w:r>
        <w:rPr>
          <w:rFonts w:hint="eastAsia"/>
        </w:rPr>
        <w:t>会议审议通过（决定）有关人事事项。决定任命曾风保为南雄市人民政府副市长；决定接受刘清生辞去南雄市人民政府市长职务，并报南雄市第十四届人民代表大会第四次会议备案；决定曾风保代理南雄市人民政府市长职务。市人大常委会代理主任罗勇新为新任市人民政府副市长、代理市长曾风保颁发任命书。曾风保在会上作任职讲话。会议还审议通过南雄市人民法院提请的重新确定人民陪审员名额的有关事项。</w:t>
      </w:r>
    </w:p>
    <w:p w14:paraId="5CD11BDE">
      <w:pPr>
        <w:pStyle w:val="4"/>
        <w:bidi w:val="0"/>
        <w:rPr>
          <w:rFonts w:hint="eastAsia"/>
        </w:rPr>
      </w:pPr>
      <w:r>
        <w:rPr>
          <w:rFonts w:hint="eastAsia"/>
        </w:rPr>
        <w:t>【十四届人大常委会十五次会议】</w:t>
      </w:r>
    </w:p>
    <w:p w14:paraId="0E5AC8E9">
      <w:pPr>
        <w:rPr>
          <w:rFonts w:hint="eastAsia"/>
        </w:rPr>
      </w:pPr>
      <w:r>
        <w:t>10月30日，</w:t>
      </w:r>
      <w:r>
        <w:rPr>
          <w:rFonts w:hint="eastAsia"/>
        </w:rPr>
        <w:t>会议审议代表资格审</w:t>
      </w:r>
      <w:r>
        <w:rPr>
          <w:rFonts w:hint="eastAsia"/>
          <w:lang w:eastAsia="zh-CN"/>
        </w:rPr>
        <w:t>查</w:t>
      </w:r>
      <w:r>
        <w:rPr>
          <w:rFonts w:hint="eastAsia"/>
        </w:rPr>
        <w:t>委员会关于部分代表资格的审</w:t>
      </w:r>
      <w:r>
        <w:rPr>
          <w:rFonts w:hint="eastAsia"/>
          <w:lang w:eastAsia="zh-CN"/>
        </w:rPr>
        <w:t>查</w:t>
      </w:r>
      <w:r>
        <w:rPr>
          <w:rFonts w:hint="eastAsia"/>
        </w:rPr>
        <w:t>报告，确认近期补选的市十四届人大代表：曾风保、叶济熊、叶凌峰、王高峰、郭才标、曾智等</w:t>
      </w:r>
      <w:r>
        <w:t>6人的代表资格有效，予以公告，并报南雄市第十</w:t>
      </w:r>
      <w:r>
        <w:rPr>
          <w:rFonts w:hint="eastAsia"/>
        </w:rPr>
        <w:t>四届人民代表大会第四次会议备案。</w:t>
      </w:r>
    </w:p>
    <w:p w14:paraId="6F6AE2BF">
      <w:pPr>
        <w:rPr>
          <w:rFonts w:hint="eastAsia"/>
        </w:rPr>
      </w:pPr>
      <w:r>
        <w:rPr>
          <w:rFonts w:hint="eastAsia"/>
        </w:rPr>
        <w:t>根据地方组织法和《广东省各级人民大会常务委员会人事任免办法》的有关规定，会议采取民主投票，以“同意</w:t>
      </w:r>
      <w:r>
        <w:t>17票，反对0票，弃权0票”票</w:t>
      </w:r>
      <w:r>
        <w:rPr>
          <w:rFonts w:hint="eastAsia"/>
        </w:rPr>
        <w:t>决结果，补选曾风保为韶关市第十三届人民代表大会代表，并报韶关市人民代表大会常务委员会审</w:t>
      </w:r>
      <w:r>
        <w:rPr>
          <w:rFonts w:hint="eastAsia"/>
          <w:lang w:eastAsia="zh-CN"/>
        </w:rPr>
        <w:t>查</w:t>
      </w:r>
      <w:r>
        <w:rPr>
          <w:rFonts w:hint="eastAsia"/>
        </w:rPr>
        <w:t>确认。</w:t>
      </w:r>
    </w:p>
    <w:p w14:paraId="6F3932CA">
      <w:pPr>
        <w:rPr>
          <w:rFonts w:hint="eastAsia"/>
        </w:rPr>
      </w:pPr>
      <w:r>
        <w:rPr>
          <w:rFonts w:hint="eastAsia"/>
        </w:rPr>
        <w:t>会议先后听取市国土资源局《关于贯彻落实</w:t>
      </w:r>
      <w:r>
        <w:t>&lt;</w:t>
      </w:r>
      <w:r>
        <w:rPr>
          <w:rFonts w:hint="eastAsia"/>
        </w:rPr>
        <w:t>中华人民共和国土地管理法</w:t>
      </w:r>
      <w:r>
        <w:t>&gt;的情况报告》、市住</w:t>
      </w:r>
      <w:r>
        <w:rPr>
          <w:rFonts w:hint="eastAsia"/>
        </w:rPr>
        <w:t>房和城乡规划建设局《关于规范建筑用地容积率管理工作的情况报告》，市人民法院《关于贯彻执行</w:t>
      </w:r>
      <w:r>
        <w:t>&lt;中华人民共和国法官法&gt;的情况报告》，市人民</w:t>
      </w:r>
      <w:r>
        <w:rPr>
          <w:rFonts w:hint="eastAsia"/>
        </w:rPr>
        <w:t>检察院《关于派驻镇（街）检察室工作情况报告》。全体参会人员分成了两个组，结合前期市人大常委会开展的专题调研情况展开讨论。讨论组代表就讨论情况作归纳性的中心发言，评价“一</w:t>
      </w:r>
      <w:r>
        <w:rPr>
          <w:rFonts w:hint="eastAsia"/>
          <w:lang w:val="en-US" w:eastAsia="zh-CN"/>
        </w:rPr>
        <w:t>府</w:t>
      </w:r>
      <w:r>
        <w:rPr>
          <w:rFonts w:hint="eastAsia"/>
        </w:rPr>
        <w:t>两院”所作的工作和取得的成效，指出存在问题，提出相关意见和建议。</w:t>
      </w:r>
    </w:p>
    <w:p w14:paraId="3D724E6A">
      <w:pPr>
        <w:rPr>
          <w:rFonts w:hint="eastAsia"/>
        </w:rPr>
      </w:pPr>
      <w:r>
        <w:rPr>
          <w:rFonts w:hint="eastAsia"/>
        </w:rPr>
        <w:t>会议对“一府两院”</w:t>
      </w:r>
      <w:r>
        <w:t>4个报告进行民主测评，</w:t>
      </w:r>
      <w:r>
        <w:rPr>
          <w:rFonts w:hint="eastAsia"/>
        </w:rPr>
        <w:t>并根据《南雄市第十四届人民代表大会常务委员会关于常委会会议表决（测评）方式的暂行规定》，启动表决程序，通过“一府两院”</w:t>
      </w:r>
      <w:r>
        <w:t>4个报告的审议</w:t>
      </w:r>
      <w:r>
        <w:rPr>
          <w:rFonts w:hint="eastAsia"/>
        </w:rPr>
        <w:t>意见，要求“一府两院”研究处理，并将处理情况在本次会议结束后</w:t>
      </w:r>
      <w:r>
        <w:t>3个月内向市人大常委会书面</w:t>
      </w:r>
      <w:r>
        <w:rPr>
          <w:rFonts w:hint="eastAsia"/>
        </w:rPr>
        <w:t>报告。</w:t>
      </w:r>
    </w:p>
    <w:p w14:paraId="275CED77">
      <w:pPr>
        <w:pStyle w:val="4"/>
        <w:bidi w:val="0"/>
        <w:rPr>
          <w:rFonts w:hint="eastAsia"/>
        </w:rPr>
      </w:pPr>
      <w:r>
        <w:rPr>
          <w:rFonts w:hint="eastAsia"/>
        </w:rPr>
        <w:t>【十四届人大常委会十六次会议】</w:t>
      </w:r>
    </w:p>
    <w:p w14:paraId="51103E1A">
      <w:pPr>
        <w:rPr>
          <w:rFonts w:hint="eastAsia"/>
        </w:rPr>
      </w:pPr>
      <w:r>
        <w:t>11月20日，</w:t>
      </w:r>
      <w:r>
        <w:rPr>
          <w:rFonts w:hint="eastAsia"/>
        </w:rPr>
        <w:t>会上，市人大常委会对南雄市珠玑纸业排污管控治理工作进行专题询问。专题询问会采用问答的形式，会场气氛紧张而热烈，双方在一问一答过程中对南雄市珠玑纸业排污管控治理总体工作方向以及相关措施的合理性和可行性进行深入讨论交流，表达自己意见和观点。应询人有问必答，回答真诚、铿锵有力，并对珠玑纸业排污管控治理工作作出郑重承诺，缓解大家心头疑虑，增强解决问题信心，会议取得预期效果。</w:t>
      </w:r>
    </w:p>
    <w:p w14:paraId="1471CD6E">
      <w:pPr>
        <w:rPr>
          <w:rFonts w:hint="eastAsia"/>
        </w:rPr>
      </w:pPr>
      <w:r>
        <w:rPr>
          <w:rFonts w:hint="eastAsia"/>
        </w:rPr>
        <w:t>会议还听取和审议市水务局、市汽车站和财保南雄支公司工作评议等</w:t>
      </w:r>
      <w:r>
        <w:t>3个单位的整改工作报告</w:t>
      </w:r>
      <w:r>
        <w:rPr>
          <w:rFonts w:hint="eastAsia"/>
          <w:lang w:eastAsia="zh-CN"/>
        </w:rPr>
        <w:t>。</w:t>
      </w:r>
      <w:r>
        <w:rPr>
          <w:rFonts w:hint="eastAsia"/>
        </w:rPr>
        <w:t>根据《南雄市人大常委会关于开展工作评议实施方案》要求，结合整改情况报告，对市水务局、市汽车站和财保南雄支公司工作评议结果最终确定为满意，会议同时要求</w:t>
      </w:r>
      <w:r>
        <w:t>3个评议单位在今后的工作中要</w:t>
      </w:r>
      <w:r>
        <w:rPr>
          <w:rFonts w:hint="eastAsia"/>
        </w:rPr>
        <w:t>重视民意，顺应发展的步伐，为建设幸福美好南雄作出贡献。</w:t>
      </w:r>
    </w:p>
    <w:p w14:paraId="41E6B3CD">
      <w:pPr>
        <w:pStyle w:val="4"/>
        <w:bidi w:val="0"/>
        <w:rPr>
          <w:rFonts w:hint="eastAsia"/>
        </w:rPr>
      </w:pPr>
      <w:r>
        <w:rPr>
          <w:rFonts w:hint="eastAsia"/>
          <w:lang w:eastAsia="zh-CN"/>
        </w:rPr>
        <w:t>【</w:t>
      </w:r>
      <w:r>
        <w:rPr>
          <w:rFonts w:hint="eastAsia"/>
        </w:rPr>
        <w:t>十四届人大常委会十七次会议】</w:t>
      </w:r>
    </w:p>
    <w:p w14:paraId="4D917819">
      <w:pPr>
        <w:rPr>
          <w:rFonts w:hint="eastAsia"/>
        </w:rPr>
      </w:pPr>
      <w:r>
        <w:t>12月27日，</w:t>
      </w:r>
      <w:r>
        <w:rPr>
          <w:rFonts w:hint="eastAsia"/>
        </w:rPr>
        <w:t>会议审议通过有关人事任免事项。根据市人民政府所作的提请，决定免去周宏忠的南雄市人民政府</w:t>
      </w:r>
      <w:r>
        <w:rPr>
          <w:rFonts w:hint="eastAsia"/>
          <w:lang w:val="en-US" w:eastAsia="zh-CN"/>
        </w:rPr>
        <w:t>办</w:t>
      </w:r>
      <w:r>
        <w:rPr>
          <w:rFonts w:hint="eastAsia"/>
        </w:rPr>
        <w:t>公室主任职务，董圣国的南雄市人力资源和社会保障局局长职务，邓朝东的南雄市旅游局局长职务。决定任命刘先辉为南雄市人民政府办公室主任，周宏忠为南雄市旅游局局长。市人大常委会代理主任罗勇新为新任南雄市人民政府办公室主任刘先辉、新任南雄市旅游局局长周宏忠颁发任命书。</w:t>
      </w:r>
    </w:p>
    <w:p w14:paraId="55031532">
      <w:pPr>
        <w:rPr>
          <w:rFonts w:hint="eastAsia"/>
        </w:rPr>
      </w:pPr>
      <w:r>
        <w:rPr>
          <w:rFonts w:hint="eastAsia"/>
        </w:rPr>
        <w:t>会议审议决定召开南雄市第十四届人民代表大会第四次会议的有关事项。决定南雄市第十四届人民代表大会第四次会议召开时间为</w:t>
      </w:r>
      <w:r>
        <w:t>2014年1月21</w:t>
      </w:r>
      <w:r>
        <w:rPr>
          <w:rFonts w:hint="eastAsia"/>
        </w:rPr>
        <w:t>日，会期为六个半天。</w:t>
      </w:r>
    </w:p>
    <w:p w14:paraId="4280A6C3">
      <w:pPr>
        <w:rPr>
          <w:rFonts w:hint="eastAsia"/>
        </w:rPr>
      </w:pPr>
      <w:r>
        <w:rPr>
          <w:rFonts w:hint="eastAsia"/>
        </w:rPr>
        <w:t>会议听取和审议市人民政府关于办理南雄市第十四届人民代表大会第三次会议议案、建议和批评意见情况的报告，市人民政府关于办理</w:t>
      </w:r>
      <w:r>
        <w:t>2013年市</w:t>
      </w:r>
      <w:r>
        <w:rPr>
          <w:rFonts w:hint="eastAsia"/>
        </w:rPr>
        <w:t>人大常委会会议提出意见建议的落实情况报告，市人民政府关于落实民生实事的进展情况报告，并进行民主测评。会议表决通过三个报告。会议还审议决定有关补选南雄市人大代表的有关事项。</w:t>
      </w:r>
    </w:p>
    <w:p w14:paraId="6393442A">
      <w:pPr>
        <w:pStyle w:val="3"/>
        <w:bidi w:val="0"/>
        <w:rPr>
          <w:rFonts w:hint="default"/>
          <w:lang w:val="en-US" w:eastAsia="zh-CN"/>
        </w:rPr>
      </w:pPr>
      <w:r>
        <w:rPr>
          <w:rFonts w:hint="eastAsia"/>
          <w:lang w:val="en-US" w:eastAsia="zh-CN"/>
        </w:rPr>
        <w:t>南雄市人大常委会领导职务变动</w:t>
      </w:r>
    </w:p>
    <w:p w14:paraId="69A3C8C0">
      <w:pPr>
        <w:pStyle w:val="4"/>
        <w:bidi w:val="0"/>
        <w:rPr>
          <w:rFonts w:hint="eastAsia"/>
          <w:lang w:eastAsia="zh-CN"/>
        </w:rPr>
      </w:pPr>
      <w:r>
        <w:rPr>
          <w:rFonts w:hint="eastAsia"/>
        </w:rPr>
        <w:t>【第十四届人大常</w:t>
      </w:r>
      <w:r>
        <w:rPr>
          <w:rFonts w:hint="eastAsia"/>
          <w:lang w:val="en-US" w:eastAsia="zh-CN"/>
        </w:rPr>
        <w:t>委</w:t>
      </w:r>
      <w:r>
        <w:rPr>
          <w:rFonts w:hint="eastAsia"/>
        </w:rPr>
        <w:t>会主任、副主任、委员名单</w:t>
      </w:r>
      <w:r>
        <w:rPr>
          <w:rFonts w:hint="eastAsia"/>
          <w:lang w:eastAsia="zh-CN"/>
        </w:rPr>
        <w:t>】</w:t>
      </w:r>
    </w:p>
    <w:p w14:paraId="019F8CBA">
      <w:pPr>
        <w:pStyle w:val="10"/>
        <w:bidi w:val="0"/>
      </w:pPr>
      <w:r>
        <w:rPr>
          <w:rFonts w:hint="eastAsia"/>
          <w:b/>
          <w:bCs/>
        </w:rPr>
        <w:t>主</w:t>
      </w:r>
      <w:r>
        <w:rPr>
          <w:rFonts w:hint="eastAsia"/>
          <w:b/>
          <w:bCs/>
          <w:lang w:val="en-US" w:eastAsia="zh-CN"/>
        </w:rPr>
        <w:t xml:space="preserve">  </w:t>
      </w:r>
      <w:r>
        <w:rPr>
          <w:rFonts w:hint="eastAsia"/>
          <w:b/>
          <w:bCs/>
        </w:rPr>
        <w:t>任：</w:t>
      </w:r>
      <w:r>
        <w:rPr>
          <w:rFonts w:hint="eastAsia"/>
        </w:rPr>
        <w:t>许志新（</w:t>
      </w:r>
      <w:r>
        <w:t>2011.11.11-2013.08.30）</w:t>
      </w:r>
    </w:p>
    <w:p w14:paraId="0AA9F009">
      <w:pPr>
        <w:pStyle w:val="10"/>
        <w:bidi w:val="0"/>
        <w:rPr>
          <w:rFonts w:hint="eastAsia"/>
        </w:rPr>
      </w:pPr>
      <w:r>
        <w:rPr>
          <w:rFonts w:hint="eastAsia"/>
          <w:b/>
          <w:bCs/>
        </w:rPr>
        <w:t>副主任：</w:t>
      </w:r>
      <w:r>
        <w:rPr>
          <w:rFonts w:hint="eastAsia"/>
        </w:rPr>
        <w:t>罗勇新（</w:t>
      </w:r>
      <w:r>
        <w:t>2011.11.11一在任，其中2013</w:t>
      </w:r>
      <w:r>
        <w:rPr>
          <w:rFonts w:hint="eastAsia"/>
        </w:rPr>
        <w:t>年</w:t>
      </w:r>
      <w:r>
        <w:t>08月30日至2013年12月31日代理主</w:t>
      </w:r>
      <w:r>
        <w:rPr>
          <w:rFonts w:hint="eastAsia"/>
        </w:rPr>
        <w:t>任职务）</w:t>
      </w:r>
    </w:p>
    <w:p w14:paraId="4EE356EE">
      <w:pPr>
        <w:pStyle w:val="10"/>
        <w:bidi w:val="0"/>
        <w:ind w:leftChars="400"/>
      </w:pPr>
      <w:r>
        <w:rPr>
          <w:rFonts w:hint="eastAsia"/>
        </w:rPr>
        <w:t>陈玉英（</w:t>
      </w:r>
      <w:r>
        <w:t>2011.11.11</w:t>
      </w:r>
      <w:r>
        <w:rPr>
          <w:rFonts w:hint="eastAsia"/>
          <w:lang w:eastAsia="zh-CN"/>
        </w:rPr>
        <w:t>—</w:t>
      </w:r>
      <w:r>
        <w:t>在任）</w:t>
      </w:r>
    </w:p>
    <w:p w14:paraId="2334214B">
      <w:pPr>
        <w:pStyle w:val="10"/>
        <w:bidi w:val="0"/>
        <w:ind w:leftChars="400"/>
      </w:pPr>
      <w:r>
        <w:rPr>
          <w:rFonts w:hint="eastAsia"/>
        </w:rPr>
        <w:t>刘宏伟（</w:t>
      </w:r>
      <w:r>
        <w:t>2011.11.11—在任）</w:t>
      </w:r>
    </w:p>
    <w:p w14:paraId="743FC938">
      <w:pPr>
        <w:pStyle w:val="10"/>
        <w:bidi w:val="0"/>
        <w:ind w:leftChars="400"/>
      </w:pPr>
      <w:r>
        <w:rPr>
          <w:rFonts w:hint="eastAsia"/>
        </w:rPr>
        <w:t>李</w:t>
      </w:r>
      <w:r>
        <w:rPr>
          <w:rFonts w:hint="eastAsia"/>
          <w:lang w:val="en-US" w:eastAsia="zh-CN"/>
        </w:rPr>
        <w:t xml:space="preserve">  </w:t>
      </w:r>
      <w:r>
        <w:rPr>
          <w:rFonts w:hint="eastAsia"/>
        </w:rPr>
        <w:t>冰（</w:t>
      </w:r>
      <w:r>
        <w:t>2011.11.11</w:t>
      </w:r>
      <w:r>
        <w:rPr>
          <w:rFonts w:hint="eastAsia"/>
          <w:lang w:eastAsia="zh-CN"/>
        </w:rPr>
        <w:t>—</w:t>
      </w:r>
      <w:r>
        <w:t>在任）</w:t>
      </w:r>
    </w:p>
    <w:p w14:paraId="60798F91">
      <w:pPr>
        <w:pStyle w:val="10"/>
        <w:bidi w:val="0"/>
        <w:ind w:leftChars="400"/>
      </w:pPr>
      <w:r>
        <w:rPr>
          <w:rFonts w:hint="eastAsia"/>
        </w:rPr>
        <w:t>陈培兰（</w:t>
      </w:r>
      <w:r>
        <w:t>2011.11.11—在任）</w:t>
      </w:r>
    </w:p>
    <w:p w14:paraId="5456C700">
      <w:pPr>
        <w:pStyle w:val="10"/>
        <w:bidi w:val="0"/>
        <w:ind w:leftChars="400"/>
      </w:pPr>
      <w:r>
        <w:rPr>
          <w:rFonts w:hint="eastAsia"/>
        </w:rPr>
        <w:t>张宗财（</w:t>
      </w:r>
      <w:r>
        <w:t>2011.11.11</w:t>
      </w:r>
      <w:r>
        <w:rPr>
          <w:rFonts w:hint="eastAsia"/>
          <w:lang w:eastAsia="zh-CN"/>
        </w:rPr>
        <w:t>—</w:t>
      </w:r>
      <w:r>
        <w:t>在任）</w:t>
      </w:r>
    </w:p>
    <w:p w14:paraId="18E195F7">
      <w:pPr>
        <w:pStyle w:val="10"/>
        <w:bidi w:val="0"/>
      </w:pPr>
      <w:r>
        <w:rPr>
          <w:rFonts w:hint="eastAsia"/>
          <w:b/>
          <w:bCs/>
        </w:rPr>
        <w:t>委</w:t>
      </w:r>
      <w:r>
        <w:rPr>
          <w:rFonts w:hint="eastAsia"/>
          <w:b/>
          <w:bCs/>
          <w:lang w:val="en-US" w:eastAsia="zh-CN"/>
        </w:rPr>
        <w:t xml:space="preserve">  </w:t>
      </w:r>
      <w:r>
        <w:rPr>
          <w:rFonts w:hint="eastAsia"/>
          <w:b/>
          <w:bCs/>
        </w:rPr>
        <w:t>员：</w:t>
      </w:r>
      <w:r>
        <w:rPr>
          <w:rFonts w:hint="eastAsia"/>
        </w:rPr>
        <w:t>张</w:t>
      </w:r>
      <w:r>
        <w:rPr>
          <w:rFonts w:hint="eastAsia"/>
          <w:lang w:val="en-US" w:eastAsia="zh-CN"/>
        </w:rPr>
        <w:t xml:space="preserve">  </w:t>
      </w:r>
      <w:r>
        <w:rPr>
          <w:rFonts w:hint="eastAsia"/>
        </w:rPr>
        <w:t>新（</w:t>
      </w:r>
      <w:r>
        <w:t>2012.2.10</w:t>
      </w:r>
      <w:r>
        <w:rPr>
          <w:rFonts w:hint="eastAsia"/>
          <w:lang w:val="en-US" w:eastAsia="zh-CN"/>
        </w:rPr>
        <w:t>—</w:t>
      </w:r>
      <w:r>
        <w:t>在任）</w:t>
      </w:r>
    </w:p>
    <w:p w14:paraId="64D8356D">
      <w:pPr>
        <w:pStyle w:val="10"/>
        <w:bidi w:val="0"/>
        <w:ind w:leftChars="400"/>
      </w:pPr>
      <w:r>
        <w:rPr>
          <w:rFonts w:hint="eastAsia"/>
        </w:rPr>
        <w:t>陈焱煌（</w:t>
      </w:r>
      <w:r>
        <w:t>2011.11.11</w:t>
      </w:r>
      <w:r>
        <w:rPr>
          <w:rFonts w:hint="eastAsia"/>
          <w:lang w:eastAsia="zh-CN"/>
        </w:rPr>
        <w:t>—</w:t>
      </w:r>
      <w:r>
        <w:t>在任）</w:t>
      </w:r>
    </w:p>
    <w:p w14:paraId="388944A4">
      <w:pPr>
        <w:pStyle w:val="10"/>
        <w:bidi w:val="0"/>
        <w:ind w:leftChars="400"/>
      </w:pPr>
      <w:r>
        <w:rPr>
          <w:rFonts w:hint="eastAsia"/>
        </w:rPr>
        <w:t>刘运平（</w:t>
      </w:r>
      <w:r>
        <w:t>201</w:t>
      </w:r>
      <w:r>
        <w:rPr>
          <w:rFonts w:hint="eastAsia"/>
          <w:lang w:val="en-US" w:eastAsia="zh-CN"/>
        </w:rPr>
        <w:t>1</w:t>
      </w:r>
      <w:r>
        <w:t>.11.11</w:t>
      </w:r>
      <w:r>
        <w:rPr>
          <w:rFonts w:hint="eastAsia"/>
          <w:lang w:eastAsia="zh-CN"/>
        </w:rPr>
        <w:t>—</w:t>
      </w:r>
      <w:r>
        <w:t>在任）</w:t>
      </w:r>
    </w:p>
    <w:p w14:paraId="4A521CAF">
      <w:pPr>
        <w:pStyle w:val="10"/>
        <w:bidi w:val="0"/>
        <w:ind w:leftChars="400"/>
      </w:pPr>
      <w:r>
        <w:rPr>
          <w:rFonts w:hint="eastAsia"/>
        </w:rPr>
        <w:t>赖长林（</w:t>
      </w:r>
      <w:r>
        <w:t>2011.11.11—在任）</w:t>
      </w:r>
    </w:p>
    <w:p w14:paraId="123F1D19">
      <w:pPr>
        <w:pStyle w:val="10"/>
        <w:bidi w:val="0"/>
        <w:ind w:leftChars="400"/>
      </w:pPr>
      <w:r>
        <w:rPr>
          <w:rFonts w:hint="eastAsia"/>
        </w:rPr>
        <w:t>沈学福（</w:t>
      </w:r>
      <w:r>
        <w:t>2011.11.11-2013.08.30）</w:t>
      </w:r>
    </w:p>
    <w:p w14:paraId="5E12C1CD">
      <w:pPr>
        <w:pStyle w:val="10"/>
        <w:bidi w:val="0"/>
        <w:ind w:leftChars="400"/>
      </w:pPr>
      <w:r>
        <w:rPr>
          <w:rFonts w:hint="eastAsia"/>
        </w:rPr>
        <w:t>苏德椿（</w:t>
      </w:r>
      <w:r>
        <w:t>2011.11.11-2013.12.31）</w:t>
      </w:r>
    </w:p>
    <w:p w14:paraId="3E3B6C25">
      <w:pPr>
        <w:pStyle w:val="10"/>
        <w:bidi w:val="0"/>
        <w:ind w:leftChars="400"/>
      </w:pPr>
      <w:r>
        <w:rPr>
          <w:rFonts w:hint="eastAsia"/>
        </w:rPr>
        <w:t>黄文儒（</w:t>
      </w:r>
      <w:r>
        <w:t>2011.1</w:t>
      </w:r>
      <w:r>
        <w:rPr>
          <w:rFonts w:hint="eastAsia"/>
          <w:lang w:val="en-US" w:eastAsia="zh-CN"/>
        </w:rPr>
        <w:t>1</w:t>
      </w:r>
      <w:r>
        <w:t>.11</w:t>
      </w:r>
      <w:r>
        <w:rPr>
          <w:rFonts w:hint="eastAsia"/>
          <w:lang w:eastAsia="zh-CN"/>
        </w:rPr>
        <w:t>—</w:t>
      </w:r>
      <w:r>
        <w:t>在任）</w:t>
      </w:r>
    </w:p>
    <w:p w14:paraId="369F604C">
      <w:pPr>
        <w:pStyle w:val="10"/>
        <w:bidi w:val="0"/>
        <w:ind w:leftChars="400"/>
      </w:pPr>
      <w:r>
        <w:rPr>
          <w:rFonts w:hint="eastAsia"/>
        </w:rPr>
        <w:t>陈伦寿（</w:t>
      </w:r>
      <w:r>
        <w:t>20</w:t>
      </w:r>
      <w:r>
        <w:rPr>
          <w:rFonts w:hint="eastAsia"/>
          <w:lang w:val="en-US" w:eastAsia="zh-CN"/>
        </w:rPr>
        <w:t>1</w:t>
      </w:r>
      <w:r>
        <w:t>1.11.11</w:t>
      </w:r>
      <w:r>
        <w:rPr>
          <w:rFonts w:hint="eastAsia"/>
          <w:lang w:eastAsia="zh-CN"/>
        </w:rPr>
        <w:t>—</w:t>
      </w:r>
      <w:r>
        <w:t>在任）</w:t>
      </w:r>
    </w:p>
    <w:p w14:paraId="34A8A1F9">
      <w:pPr>
        <w:pStyle w:val="10"/>
        <w:bidi w:val="0"/>
        <w:ind w:leftChars="400"/>
      </w:pPr>
      <w:r>
        <w:rPr>
          <w:rFonts w:hint="eastAsia"/>
        </w:rPr>
        <w:t>刘光胜（</w:t>
      </w:r>
      <w:r>
        <w:t>2011.11.11—在任）</w:t>
      </w:r>
    </w:p>
    <w:p w14:paraId="50C25CF9">
      <w:pPr>
        <w:pStyle w:val="10"/>
        <w:bidi w:val="0"/>
        <w:ind w:leftChars="400"/>
        <w:rPr>
          <w:rFonts w:hint="eastAsia"/>
          <w:lang w:eastAsia="zh-CN"/>
        </w:rPr>
      </w:pPr>
      <w:r>
        <w:rPr>
          <w:rFonts w:hint="eastAsia"/>
        </w:rPr>
        <w:t>廖</w:t>
      </w:r>
      <w:r>
        <w:rPr>
          <w:rFonts w:hint="eastAsia"/>
          <w:lang w:val="en-US" w:eastAsia="zh-CN"/>
        </w:rPr>
        <w:t>宣</w:t>
      </w:r>
      <w:r>
        <w:rPr>
          <w:rFonts w:hint="eastAsia"/>
        </w:rPr>
        <w:t>明（</w:t>
      </w:r>
      <w:r>
        <w:t>2011.11.11-2013.12.31</w:t>
      </w:r>
      <w:r>
        <w:rPr>
          <w:rFonts w:hint="eastAsia"/>
          <w:lang w:eastAsia="zh-CN"/>
        </w:rPr>
        <w:t>）</w:t>
      </w:r>
    </w:p>
    <w:p w14:paraId="405D0966">
      <w:pPr>
        <w:pStyle w:val="10"/>
        <w:bidi w:val="0"/>
        <w:ind w:leftChars="400"/>
      </w:pPr>
      <w:r>
        <w:rPr>
          <w:rFonts w:hint="eastAsia"/>
        </w:rPr>
        <w:t>陈泽明（</w:t>
      </w:r>
      <w:r>
        <w:t>2011.11.11—2013.12.31）</w:t>
      </w:r>
    </w:p>
    <w:p w14:paraId="7421FE9B">
      <w:pPr>
        <w:pStyle w:val="10"/>
        <w:bidi w:val="0"/>
        <w:ind w:leftChars="400"/>
      </w:pPr>
      <w:r>
        <w:rPr>
          <w:rFonts w:hint="eastAsia"/>
        </w:rPr>
        <w:t>柯油松（</w:t>
      </w:r>
      <w:r>
        <w:t>2011.11.11—在任）</w:t>
      </w:r>
    </w:p>
    <w:p w14:paraId="00E9FC28">
      <w:pPr>
        <w:pStyle w:val="10"/>
        <w:bidi w:val="0"/>
        <w:ind w:leftChars="400"/>
      </w:pPr>
      <w:r>
        <w:rPr>
          <w:rFonts w:hint="eastAsia"/>
        </w:rPr>
        <w:t>徐兴伦（</w:t>
      </w:r>
      <w:r>
        <w:t>2011.11.11—在任）</w:t>
      </w:r>
    </w:p>
    <w:p w14:paraId="27D7AA5F">
      <w:pPr>
        <w:pStyle w:val="10"/>
        <w:bidi w:val="0"/>
        <w:ind w:leftChars="400"/>
      </w:pPr>
      <w:r>
        <w:rPr>
          <w:rFonts w:hint="eastAsia"/>
        </w:rPr>
        <w:t>林彩虹（</w:t>
      </w:r>
      <w:r>
        <w:t>2011.11.11—在任）</w:t>
      </w:r>
    </w:p>
    <w:p w14:paraId="25B94588">
      <w:pPr>
        <w:pStyle w:val="10"/>
        <w:bidi w:val="0"/>
        <w:ind w:leftChars="400"/>
      </w:pPr>
      <w:r>
        <w:rPr>
          <w:rFonts w:hint="eastAsia"/>
        </w:rPr>
        <w:t>黄恢伟（</w:t>
      </w:r>
      <w:r>
        <w:t>2011.11.11</w:t>
      </w:r>
      <w:r>
        <w:rPr>
          <w:rFonts w:hint="eastAsia"/>
          <w:lang w:eastAsia="zh-CN"/>
        </w:rPr>
        <w:t>—</w:t>
      </w:r>
      <w:r>
        <w:t>在任）</w:t>
      </w:r>
    </w:p>
    <w:p w14:paraId="2F981BB4">
      <w:pPr>
        <w:pStyle w:val="10"/>
        <w:bidi w:val="0"/>
        <w:ind w:leftChars="400"/>
      </w:pPr>
      <w:r>
        <w:rPr>
          <w:rFonts w:hint="eastAsia"/>
        </w:rPr>
        <w:t>莫绵润（</w:t>
      </w:r>
      <w:r>
        <w:t>2011.11.11</w:t>
      </w:r>
      <w:r>
        <w:rPr>
          <w:rFonts w:hint="eastAsia"/>
          <w:lang w:val="en-US" w:eastAsia="zh-CN"/>
        </w:rPr>
        <w:t>—</w:t>
      </w:r>
      <w:r>
        <w:t>在任）</w:t>
      </w:r>
    </w:p>
    <w:p w14:paraId="5F3828D3">
      <w:pPr>
        <w:pStyle w:val="3"/>
        <w:bidi w:val="0"/>
        <w:rPr>
          <w:rFonts w:hint="default"/>
          <w:lang w:val="en-US" w:eastAsia="zh-CN"/>
        </w:rPr>
      </w:pPr>
      <w:r>
        <w:rPr>
          <w:rFonts w:hint="eastAsia"/>
          <w:lang w:val="en-US" w:eastAsia="zh-CN"/>
        </w:rPr>
        <w:t>重要活动及主要工种</w:t>
      </w:r>
    </w:p>
    <w:p w14:paraId="625FFD9A">
      <w:pPr>
        <w:pStyle w:val="4"/>
        <w:bidi w:val="0"/>
        <w:rPr>
          <w:rFonts w:hint="eastAsia"/>
        </w:rPr>
      </w:pPr>
      <w:r>
        <w:rPr>
          <w:rFonts w:hint="eastAsia"/>
          <w:lang w:eastAsia="zh-CN"/>
        </w:rPr>
        <w:t>【</w:t>
      </w:r>
      <w:r>
        <w:rPr>
          <w:rFonts w:hint="eastAsia"/>
        </w:rPr>
        <w:t>决定重大事项】</w:t>
      </w:r>
    </w:p>
    <w:p w14:paraId="01D74EB0">
      <w:r>
        <w:t>2013年，市人大常委会会议共</w:t>
      </w:r>
      <w:r>
        <w:rPr>
          <w:rFonts w:hint="eastAsia"/>
        </w:rPr>
        <w:t>作出决议、决定</w:t>
      </w:r>
      <w:r>
        <w:t>20项：（1）决定免去麦允谦的南</w:t>
      </w:r>
      <w:r>
        <w:rPr>
          <w:rFonts w:hint="eastAsia"/>
        </w:rPr>
        <w:t>雄市人民政府副市长职务；（</w:t>
      </w:r>
      <w:r>
        <w:t>2）审议通过接受叶常</w:t>
      </w:r>
      <w:r>
        <w:rPr>
          <w:rFonts w:hint="eastAsia"/>
        </w:rPr>
        <w:t>寿辞去南雄市第十四届人民代表大会代表职务请求的有关事项，同意接受叶常寿辞去南雄市第十四届人民代表大会代表职务；（</w:t>
      </w:r>
      <w:r>
        <w:t>3）审议通过《南雄市人</w:t>
      </w:r>
      <w:r>
        <w:rPr>
          <w:rFonts w:hint="eastAsia"/>
        </w:rPr>
        <w:t>民代表大会常务委员会开展专题询问办法（试行）》；（</w:t>
      </w:r>
      <w:r>
        <w:t>4）决定接受许志新辞去南雄市第十四届</w:t>
      </w:r>
      <w:r>
        <w:rPr>
          <w:rFonts w:hint="eastAsia"/>
        </w:rPr>
        <w:t>人民代表大会常务委员会主任职务，报南雄市第十四届人民代表大会第四次会议备案，罗勇新代理南雄市第十四届人民代表大会常务委员会主任职务；（</w:t>
      </w:r>
      <w:r>
        <w:t>5）听取和审议市人民政府关于《南雄市2013年</w:t>
      </w:r>
      <w:r>
        <w:rPr>
          <w:rFonts w:hint="eastAsia"/>
        </w:rPr>
        <w:t>上半年国民经济和社会发展计划执行情况的报告》</w:t>
      </w:r>
      <w:r>
        <w:rPr>
          <w:rFonts w:hint="eastAsia"/>
          <w:lang w:eastAsia="zh-CN"/>
        </w:rPr>
        <w:t>、</w:t>
      </w:r>
      <w:r>
        <w:rPr>
          <w:rFonts w:hint="eastAsia"/>
        </w:rPr>
        <w:t>《南雄市</w:t>
      </w:r>
      <w:r>
        <w:t>2012年财政决算草案和2013年上半年公</w:t>
      </w:r>
      <w:r>
        <w:rPr>
          <w:rFonts w:hint="eastAsia"/>
        </w:rPr>
        <w:t>共财政预算执行的报告》以及《南雄市</w:t>
      </w:r>
      <w:r>
        <w:t>2012年度</w:t>
      </w:r>
      <w:r>
        <w:rPr>
          <w:rFonts w:hint="eastAsia"/>
        </w:rPr>
        <w:t>财政预算执行情况和其他财政收支的审计工作报告》；（</w:t>
      </w:r>
      <w:r>
        <w:t>6）审议通过关于批准南雄市2012年财政决</w:t>
      </w:r>
      <w:r>
        <w:rPr>
          <w:rFonts w:hint="eastAsia"/>
        </w:rPr>
        <w:t>算的决议；（</w:t>
      </w:r>
      <w:r>
        <w:t>7）审议通过接受吴良彬等辞去南雄市</w:t>
      </w:r>
      <w:r>
        <w:rPr>
          <w:rFonts w:hint="eastAsia"/>
        </w:rPr>
        <w:t>第十四届人民代表大会代表职务请求的有关事项，同意接受吴良彬、严桂龙、李新明、尹晓芸等</w:t>
      </w:r>
      <w:r>
        <w:t>4人</w:t>
      </w:r>
      <w:r>
        <w:rPr>
          <w:rFonts w:hint="eastAsia"/>
        </w:rPr>
        <w:t>辞去南雄市第十四届人民代表大会代表职务，报南雄市第十四届人民代表大会第四次会议备案；（</w:t>
      </w:r>
      <w:r>
        <w:t>8）</w:t>
      </w:r>
      <w:r>
        <w:rPr>
          <w:rFonts w:hint="eastAsia"/>
        </w:rPr>
        <w:t>根据市人大常委会主任会议所作的提请，免去苏德椿的南雄市人民代表大会常务委员会雄州街道工作委员会主任职务，任命叶凌峰为南雄市人民代表大会常务委员会雄州街道工作委员会主任；（</w:t>
      </w:r>
      <w:r>
        <w:t>9）根据</w:t>
      </w:r>
      <w:r>
        <w:rPr>
          <w:rFonts w:hint="eastAsia"/>
        </w:rPr>
        <w:t>市人民政府所作的提请，决定免去袁元桃南雄市财政局局长职务和李传忠南雄市住房和城乡规划建设局局长职务，决定任命李传忠为南雄市财政局局长、吴良彬为南雄市住房和城乡规划建设局局长和</w:t>
      </w:r>
      <w:r>
        <w:rPr>
          <w:rFonts w:hint="eastAsia"/>
          <w:lang w:val="en-US" w:eastAsia="zh-CN"/>
        </w:rPr>
        <w:t>严</w:t>
      </w:r>
      <w:r>
        <w:rPr>
          <w:rFonts w:hint="eastAsia"/>
        </w:rPr>
        <w:t>桂龙为南雄市水务局局长；（</w:t>
      </w:r>
      <w:r>
        <w:t>10）听取和审议市</w:t>
      </w:r>
      <w:r>
        <w:rPr>
          <w:rFonts w:hint="eastAsia"/>
        </w:rPr>
        <w:t>人民政府《关于提请审议东莞大岭山（南雄）产业转移工业园区</w:t>
      </w:r>
      <w:r>
        <w:t>G323线以西西南角地块用地性质调</w:t>
      </w:r>
      <w:r>
        <w:rPr>
          <w:rFonts w:hint="eastAsia"/>
        </w:rPr>
        <w:t>整的议案》，同意对东莞大岭山（南雄）产业转移工业园区</w:t>
      </w:r>
      <w:r>
        <w:t>G323线以西西南角地块用地性质进行调</w:t>
      </w:r>
      <w:r>
        <w:rPr>
          <w:rFonts w:hint="eastAsia"/>
        </w:rPr>
        <w:t>整，调整面积为</w:t>
      </w:r>
      <w:r>
        <w:t>49.01亩，用地性质由园区配套综</w:t>
      </w:r>
      <w:r>
        <w:rPr>
          <w:rFonts w:hint="eastAsia"/>
        </w:rPr>
        <w:t>合用地调整为商住用地，由市人民政府依照相关法律法规使用；（</w:t>
      </w:r>
      <w:r>
        <w:t>11）决定任命曾风保为南雄市人民</w:t>
      </w:r>
      <w:r>
        <w:rPr>
          <w:rFonts w:hint="eastAsia"/>
        </w:rPr>
        <w:t>政府副市长；（</w:t>
      </w:r>
      <w:r>
        <w:t>12）决定接受刘清生辞去南雄市人</w:t>
      </w:r>
      <w:r>
        <w:rPr>
          <w:rFonts w:hint="eastAsia"/>
        </w:rPr>
        <w:t>民政府市长的职务，并报南雄市第十四届人民代表大会第四次会议备案；（</w:t>
      </w:r>
      <w:r>
        <w:t>14）决定曾风保代理南雄</w:t>
      </w:r>
      <w:r>
        <w:rPr>
          <w:rFonts w:hint="eastAsia"/>
        </w:rPr>
        <w:t>市人民政府市长职务；（</w:t>
      </w:r>
      <w:r>
        <w:t>15）审议了代表资格审</w:t>
      </w:r>
      <w:r>
        <w:rPr>
          <w:rFonts w:hint="eastAsia"/>
          <w:lang w:eastAsia="zh-CN"/>
        </w:rPr>
        <w:t>查</w:t>
      </w:r>
      <w:r>
        <w:rPr>
          <w:rFonts w:hint="eastAsia"/>
        </w:rPr>
        <w:t>委员会关于部分代表资格的审</w:t>
      </w:r>
      <w:r>
        <w:rPr>
          <w:rFonts w:hint="eastAsia"/>
          <w:lang w:eastAsia="zh-CN"/>
        </w:rPr>
        <w:t>查</w:t>
      </w:r>
      <w:r>
        <w:rPr>
          <w:rFonts w:hint="eastAsia"/>
        </w:rPr>
        <w:t>报告，确认近期补选的市十四届人大代表：曾风保、叶济熊、叶凌峰、王高峰、郭才标、曾智等</w:t>
      </w:r>
      <w:r>
        <w:t>6位的代表资格有</w:t>
      </w:r>
      <w:r>
        <w:rPr>
          <w:rFonts w:hint="eastAsia"/>
        </w:rPr>
        <w:t>效，予以公告，并报南雄市第十四届人民代表大会第四次会议备案；（</w:t>
      </w:r>
      <w:r>
        <w:t>16）根据地方组织法和《广东</w:t>
      </w:r>
      <w:r>
        <w:rPr>
          <w:rFonts w:hint="eastAsia"/>
        </w:rPr>
        <w:t>省各级人民大会常务委员会人事任免办法》的有关规定，会议采取民主投票，以“同意</w:t>
      </w:r>
      <w:r>
        <w:t>17票，反对0</w:t>
      </w:r>
      <w:r>
        <w:rPr>
          <w:rFonts w:hint="eastAsia"/>
        </w:rPr>
        <w:t>票，弃权</w:t>
      </w:r>
      <w:r>
        <w:t>0票”票决结果，补选曾风保为韶关市第</w:t>
      </w:r>
      <w:r>
        <w:rPr>
          <w:rFonts w:hint="eastAsia"/>
        </w:rPr>
        <w:t>十三届人民代表大会代表，并报韶关市人民代表大会常务委员会审</w:t>
      </w:r>
      <w:r>
        <w:rPr>
          <w:rFonts w:hint="eastAsia"/>
          <w:lang w:eastAsia="zh-CN"/>
        </w:rPr>
        <w:t>查</w:t>
      </w:r>
      <w:r>
        <w:rPr>
          <w:rFonts w:hint="eastAsia"/>
        </w:rPr>
        <w:t>确认；（</w:t>
      </w:r>
      <w:r>
        <w:t>17）对南雄市珠玑纸业</w:t>
      </w:r>
      <w:r>
        <w:rPr>
          <w:rFonts w:hint="eastAsia"/>
        </w:rPr>
        <w:t>排污管控</w:t>
      </w:r>
      <w:r>
        <w:rPr>
          <w:rFonts w:hint="eastAsia"/>
          <w:lang w:val="en-US" w:eastAsia="zh-CN"/>
        </w:rPr>
        <w:t>治</w:t>
      </w:r>
      <w:r>
        <w:rPr>
          <w:rFonts w:hint="eastAsia"/>
        </w:rPr>
        <w:t>理工作进行专题询问，相关部门对珠玑纸业排污管控治理工作作出郑重承诺；（</w:t>
      </w:r>
      <w:r>
        <w:t>18）根据</w:t>
      </w:r>
      <w:r>
        <w:rPr>
          <w:rFonts w:hint="eastAsia"/>
        </w:rPr>
        <w:t>市人民政府所作的提请，决定免去周宏忠南雄市人民政府办公室主任职务，董圣国南雄市人力资源和社会保障局局长职务，邓朝东南雄市旅游局局长职务；（</w:t>
      </w:r>
      <w:r>
        <w:t>19）决定任命刘先辉为南雄市人民政府办公</w:t>
      </w:r>
      <w:r>
        <w:rPr>
          <w:rFonts w:hint="eastAsia"/>
        </w:rPr>
        <w:t>室主任，周宏忠为南雄市旅游局局长；（</w:t>
      </w:r>
      <w:r>
        <w:t>20）审议</w:t>
      </w:r>
      <w:r>
        <w:rPr>
          <w:rFonts w:hint="eastAsia"/>
        </w:rPr>
        <w:t>决定召开南雄市第十四届人民代表大会第四次会议的有关事项，决定南雄市第十四届人民代表大会第四次会议召开时间为</w:t>
      </w:r>
      <w:r>
        <w:t>2014年1月21日。</w:t>
      </w:r>
    </w:p>
    <w:p w14:paraId="7F19006B">
      <w:pPr>
        <w:pStyle w:val="4"/>
        <w:bidi w:val="0"/>
        <w:rPr>
          <w:rFonts w:hint="eastAsia"/>
        </w:rPr>
      </w:pPr>
      <w:r>
        <w:rPr>
          <w:rFonts w:hint="eastAsia"/>
        </w:rPr>
        <w:t>【</w:t>
      </w:r>
      <w:r>
        <w:rPr>
          <w:rFonts w:hint="eastAsia"/>
          <w:lang w:eastAsia="zh-CN"/>
        </w:rPr>
        <w:t>人大常委会会议</w:t>
      </w:r>
      <w:r>
        <w:rPr>
          <w:rFonts w:hint="eastAsia"/>
        </w:rPr>
        <w:t>】</w:t>
      </w:r>
    </w:p>
    <w:p w14:paraId="68D577A3">
      <w:pPr>
        <w:rPr>
          <w:rFonts w:hint="eastAsia"/>
        </w:rPr>
      </w:pPr>
      <w:r>
        <w:t>2013年，市人大常委会共召开9次常委会会议。会议审议和决定的主要事项有</w:t>
      </w:r>
      <w:r>
        <w:rPr>
          <w:rFonts w:hint="eastAsia"/>
          <w:lang w:eastAsia="zh-CN"/>
        </w:rPr>
        <w:t>：</w:t>
      </w:r>
      <w:r>
        <w:rPr>
          <w:rFonts w:hint="eastAsia"/>
        </w:rPr>
        <w:t>听取和审议市人大常委会主任会议《关于提请确认许可逮捕叶常寿的议案》，决定确认</w:t>
      </w:r>
      <w:r>
        <w:t>2013年1月17</w:t>
      </w:r>
      <w:r>
        <w:rPr>
          <w:rFonts w:hint="eastAsia"/>
        </w:rPr>
        <w:t>日市人大常委会主任会议许可对南雄市第十四届人民代表大会代表叶常寿采取逮捕措施；审议通过关于召开南雄市第十四届人民代表大会第三次会议的有关事项，决定南雄市第十四届人民代表大会第三次会议于</w:t>
      </w:r>
      <w:r>
        <w:t>2013年2月21日至22日在市区南雄大会</w:t>
      </w:r>
      <w:r>
        <w:rPr>
          <w:rFonts w:hint="eastAsia"/>
        </w:rPr>
        <w:t>堂举行；审议通过《南雄市人民代表大会常务委员会</w:t>
      </w:r>
      <w:r>
        <w:t>2013年工作计划》；对市十四届人大三次会议代</w:t>
      </w:r>
      <w:r>
        <w:rPr>
          <w:rFonts w:hint="eastAsia"/>
        </w:rPr>
        <w:t>表测评“一府两院”各单位以及其他市直有关单位（含垂直管理单位）工作情况进行通报；审议通过南雄市第十四届人民代表大会常务委员会《关于常委会表决（测评）方式的暂行规定》；根据《南雄市第十四届人民代表大会第三次会议代表测评</w:t>
      </w:r>
      <w:r>
        <w:rPr>
          <w:rFonts w:hint="eastAsia"/>
          <w:lang w:eastAsia="zh-CN"/>
        </w:rPr>
        <w:t>“</w:t>
      </w:r>
      <w:r>
        <w:rPr>
          <w:rFonts w:hint="eastAsia"/>
          <w:lang w:val="en-US" w:eastAsia="zh-CN"/>
        </w:rPr>
        <w:t>一</w:t>
      </w:r>
      <w:r>
        <w:rPr>
          <w:rFonts w:hint="eastAsia"/>
        </w:rPr>
        <w:t>府两院”各单位及其他市直有关单位工作办法》的有关规定，确定南雄市水务局、南雄市汽车站、人民保险南雄市支公司等</w:t>
      </w:r>
      <w:r>
        <w:t>3个单位为2013年度市人</w:t>
      </w:r>
      <w:r>
        <w:rPr>
          <w:rFonts w:hint="eastAsia"/>
        </w:rPr>
        <w:t>大常委会工作评议对象单位；审议通过《关于评议南雄市水务局等单位工作的报告（草案）》；审议通过《南雄市人民代表大会常务委员会主任会议工作程序（试行）》、《南雄市人民代表大会常务委员会会议工作程序（试行）》、《南雄市人民代表大会会议工作程序（试行）》和《南雄市人民代表大会常务委员会规范性文件备案审</w:t>
      </w:r>
      <w:r>
        <w:rPr>
          <w:rFonts w:hint="eastAsia"/>
          <w:lang w:eastAsia="zh-CN"/>
        </w:rPr>
        <w:t>查</w:t>
      </w:r>
      <w:r>
        <w:rPr>
          <w:rFonts w:hint="eastAsia"/>
        </w:rPr>
        <w:t>办法（试行）》；审议通过南雄市人民法院提请的重新确定人民陪审员名额的有关事项；听取市国土资源局《关于贯彻落实</w:t>
      </w:r>
      <w:r>
        <w:t>&lt;中华人民共和国土地管理法&gt;的情况报告》、市</w:t>
      </w:r>
      <w:r>
        <w:rPr>
          <w:rFonts w:hint="eastAsia"/>
        </w:rPr>
        <w:t>住房和城乡规划建设局《关于规范建筑用地容积率管理工作的情况报告》，市人民法院《关于贯彻执行</w:t>
      </w:r>
      <w:r>
        <w:t>&lt;中华人民共和国法官法&gt;的情况报告》，市人</w:t>
      </w:r>
      <w:r>
        <w:rPr>
          <w:rFonts w:hint="eastAsia"/>
        </w:rPr>
        <w:t>民检察院《关于派驻镇（街）检察室工作情况报告》；听取和审议市水务局、市汽车站和财保南雄支公司工作评议等</w:t>
      </w:r>
      <w:r>
        <w:t>3个单位的整改工作报告，根据</w:t>
      </w:r>
      <w:r>
        <w:rPr>
          <w:rFonts w:hint="eastAsia"/>
        </w:rPr>
        <w:t>《南雄市人大常委会关于开展工作评议实施方案》要求，结合整改情况报告，对市水务局、市汽车站和财保南雄支公司工作评议结果最终确定为满意；听取和审议市人民政府关于办理南雄市第十四届人民代表大会第三次会议议案、建议和批评意见情况的报告，市人民政府关于办理</w:t>
      </w:r>
      <w:r>
        <w:t>2013年市人大常委</w:t>
      </w:r>
      <w:r>
        <w:rPr>
          <w:rFonts w:hint="eastAsia"/>
        </w:rPr>
        <w:t>会会议提出意见建议的落实情况报告，市人民政府关于落实民生实事的进展情况报告，并进行民主测评；审议决定有关补选南雄市人大代表的有关事项。</w:t>
      </w:r>
    </w:p>
    <w:p w14:paraId="37BE1A03">
      <w:pPr>
        <w:pStyle w:val="4"/>
        <w:bidi w:val="0"/>
        <w:rPr>
          <w:rFonts w:hint="eastAsia"/>
        </w:rPr>
      </w:pPr>
      <w:r>
        <w:rPr>
          <w:rFonts w:hint="eastAsia"/>
        </w:rPr>
        <w:t>【人事任</w:t>
      </w:r>
      <w:r>
        <w:rPr>
          <w:rFonts w:hint="eastAsia"/>
          <w:lang w:eastAsia="zh-CN"/>
        </w:rPr>
        <w:t>免</w:t>
      </w:r>
      <w:r>
        <w:rPr>
          <w:rFonts w:hint="eastAsia"/>
        </w:rPr>
        <w:t>】</w:t>
      </w:r>
    </w:p>
    <w:p w14:paraId="0ECD3856">
      <w:pPr>
        <w:rPr>
          <w:rFonts w:hint="eastAsia"/>
        </w:rPr>
      </w:pPr>
      <w:r>
        <w:t>2013年，常委会依法任免国家机关</w:t>
      </w:r>
      <w:r>
        <w:rPr>
          <w:rFonts w:hint="eastAsia"/>
        </w:rPr>
        <w:t>工作人员</w:t>
      </w:r>
      <w:r>
        <w:t>26人次，接受辞职8人次。其中，任命</w:t>
      </w:r>
      <w:r>
        <w:rPr>
          <w:rFonts w:hint="eastAsia"/>
        </w:rPr>
        <w:t>人大常委会及机关相关人员职务</w:t>
      </w:r>
      <w:r>
        <w:t>3人次，决定任命</w:t>
      </w:r>
      <w:r>
        <w:rPr>
          <w:rFonts w:hint="eastAsia"/>
        </w:rPr>
        <w:t>市政府组成人员职务</w:t>
      </w:r>
      <w:r>
        <w:t>7人次，任命市人民法院工作</w:t>
      </w:r>
      <w:r>
        <w:rPr>
          <w:rFonts w:hint="eastAsia"/>
        </w:rPr>
        <w:t>人员职务</w:t>
      </w:r>
      <w:r>
        <w:t>5人次。免去或接受人大常委会相关人员</w:t>
      </w:r>
      <w:r>
        <w:rPr>
          <w:rFonts w:hint="eastAsia"/>
        </w:rPr>
        <w:t>辞去职务</w:t>
      </w:r>
      <w:r>
        <w:t>9人次；决定免去或接受市政府组成人员</w:t>
      </w:r>
      <w:r>
        <w:rPr>
          <w:rFonts w:hint="eastAsia"/>
        </w:rPr>
        <w:t>辞去职务</w:t>
      </w:r>
      <w:r>
        <w:t>9人；免去市人民法院工作人员职务1</w:t>
      </w:r>
      <w:r>
        <w:rPr>
          <w:rFonts w:hint="eastAsia"/>
        </w:rPr>
        <w:t>人次。</w:t>
      </w:r>
    </w:p>
    <w:p w14:paraId="7C95E3BC">
      <w:pPr>
        <w:pStyle w:val="4"/>
        <w:bidi w:val="0"/>
        <w:rPr>
          <w:rFonts w:hint="eastAsia"/>
        </w:rPr>
      </w:pPr>
      <w:r>
        <w:rPr>
          <w:rFonts w:hint="eastAsia"/>
        </w:rPr>
        <w:t>【调研活动）】</w:t>
      </w:r>
    </w:p>
    <w:p w14:paraId="5B3478C5">
      <w:pPr>
        <w:rPr>
          <w:rFonts w:hint="eastAsia"/>
        </w:rPr>
      </w:pPr>
      <w:r>
        <w:t>4月11日，韶关市人大常委会常务</w:t>
      </w:r>
      <w:r>
        <w:rPr>
          <w:rFonts w:hint="eastAsia"/>
        </w:rPr>
        <w:t>副主任李石保率调研组到南雄市，围绕“如何进</w:t>
      </w:r>
      <w:r>
        <w:rPr>
          <w:rFonts w:hint="eastAsia"/>
          <w:lang w:val="en-US" w:eastAsia="zh-CN"/>
        </w:rPr>
        <w:t>一</w:t>
      </w:r>
      <w:r>
        <w:rPr>
          <w:rFonts w:hint="eastAsia"/>
        </w:rPr>
        <w:t>步加强和改进镇级人大建设工作”开展专题调研。南雄市人大常委会常务副主任罗勇新，副主任陈玉英、刘宏伟、陈培兰、张宗财，党组成员涂运发，市人大常委会机关“一室四委”主任，市依法治市办主任，珠玑镇人大、雄州街道人大工委负责人等陪同调研。</w:t>
      </w:r>
      <w:r>
        <w:t>5月8日，省人大常委会委员、省人大</w:t>
      </w:r>
      <w:r>
        <w:rPr>
          <w:rFonts w:hint="eastAsia"/>
        </w:rPr>
        <w:t>法制委员会副主任委员，省人大常委会法工委主任王波率调研组一行到该市开展立法调研工作，南雄市人大常委会常务副主任罗勇新等领导陪同调研。</w:t>
      </w:r>
      <w:r>
        <w:t>5月8日至10日，市人大常委会副主任陈玉英率领</w:t>
      </w:r>
      <w:r>
        <w:rPr>
          <w:rFonts w:hint="eastAsia"/>
        </w:rPr>
        <w:t>部分人大常委，深入邓坊镇、雄州街道、社会保险南雄办事处等单位，对全市新型农村合作医疗工作进行专项调研。根据《南雄市第十四届人大常委会</w:t>
      </w:r>
      <w:r>
        <w:t>2013年工作要点》安排，5月至6月份，市人大常</w:t>
      </w:r>
      <w:r>
        <w:rPr>
          <w:rFonts w:hint="eastAsia"/>
        </w:rPr>
        <w:t>委会组织多个调研组对</w:t>
      </w:r>
      <w:r>
        <w:t>2013年度人大常委会开展</w:t>
      </w:r>
      <w:r>
        <w:rPr>
          <w:rFonts w:hint="eastAsia"/>
        </w:rPr>
        <w:t>专题询问议题拟定进行专项调研。市人大常委会副主任张宗财率调研组，先后深入坪田镇、珠玑镇</w:t>
      </w:r>
      <w:r>
        <w:rPr>
          <w:rFonts w:hint="eastAsia"/>
          <w:lang w:eastAsia="zh-CN"/>
        </w:rPr>
        <w:t>、</w:t>
      </w:r>
      <w:r>
        <w:rPr>
          <w:rFonts w:hint="eastAsia"/>
        </w:rPr>
        <w:t>帽子峰镇、交通局、汽车站、市纪委监察局等单位对汽车站工作进行评议调研，广泛听取意见和建议。市人大常委会副主任陈培兰率调研组，就开展水务局工作评议进行专项调研，先后前往主田镇</w:t>
      </w:r>
      <w:r>
        <w:rPr>
          <w:rFonts w:hint="eastAsia"/>
          <w:lang w:eastAsia="zh-CN"/>
        </w:rPr>
        <w:t>、</w:t>
      </w:r>
      <w:r>
        <w:rPr>
          <w:rFonts w:hint="eastAsia"/>
        </w:rPr>
        <w:t>湖口镇、古市镇、市农业局及市水务局等单位，</w:t>
      </w:r>
      <w:r>
        <w:rPr>
          <w:rFonts w:hint="eastAsia"/>
          <w:lang w:val="en-US" w:eastAsia="zh-CN"/>
        </w:rPr>
        <w:t>广</w:t>
      </w:r>
      <w:r>
        <w:rPr>
          <w:rFonts w:hint="eastAsia"/>
        </w:rPr>
        <w:t>泛收集意见建议。</w:t>
      </w:r>
      <w:r>
        <w:t>6月6日，市委副书记、市长刘</w:t>
      </w:r>
      <w:r>
        <w:rPr>
          <w:rFonts w:hint="eastAsia"/>
        </w:rPr>
        <w:t>清生率分管园区工作副市长以及市外经、经信、食药监等单位负责，到广东南雄圣莲红景天保健品有限公司，视察企业运行情况，作为挂点联系单位领导代表，市人大常委会常务副主任罗勇新、市人大常委会党组成员涂运发陪同视察调研活动。市人大常委会副主任刘宏伟带领由部分常委会委员，市人大代表及经济工作专业人士组成的专题调研组，开展对南雄市</w:t>
      </w:r>
      <w:r>
        <w:t>2012年度本级预算执行和其他财政收</w:t>
      </w:r>
      <w:r>
        <w:rPr>
          <w:rFonts w:hint="eastAsia"/>
        </w:rPr>
        <w:t>支的审计情况进行调</w:t>
      </w:r>
      <w:r>
        <w:rPr>
          <w:rFonts w:hint="eastAsia"/>
          <w:lang w:eastAsia="zh-CN"/>
        </w:rPr>
        <w:t>查</w:t>
      </w:r>
      <w:r>
        <w:rPr>
          <w:rFonts w:hint="eastAsia"/>
        </w:rPr>
        <w:t>研究。根据《南雄市第十四届人大常委会</w:t>
      </w:r>
      <w:r>
        <w:t>2013年工作要点》安排，市人大常</w:t>
      </w:r>
      <w:r>
        <w:rPr>
          <w:rFonts w:hint="eastAsia"/>
        </w:rPr>
        <w:t>委会副主任李冰和市人大常委会党组成员涂运发率调研组，先后到市教育局、南雄中学、新城中学</w:t>
      </w:r>
      <w:r>
        <w:rPr>
          <w:rFonts w:hint="eastAsia"/>
          <w:lang w:eastAsia="zh-CN"/>
        </w:rPr>
        <w:t>、</w:t>
      </w:r>
      <w:r>
        <w:rPr>
          <w:rFonts w:hint="eastAsia"/>
        </w:rPr>
        <w:t>市农业局和市发改局等单位，就珠玑纸业排污管控</w:t>
      </w:r>
      <w:r>
        <w:rPr>
          <w:rFonts w:hint="eastAsia"/>
          <w:lang w:eastAsia="zh-CN"/>
        </w:rPr>
        <w:t>，</w:t>
      </w:r>
      <w:r>
        <w:rPr>
          <w:rFonts w:hint="eastAsia"/>
          <w:lang w:val="en-US" w:eastAsia="zh-CN"/>
        </w:rPr>
        <w:t>治</w:t>
      </w:r>
      <w:r>
        <w:rPr>
          <w:rFonts w:hint="eastAsia"/>
        </w:rPr>
        <w:t>理情况进行专项调研。</w:t>
      </w:r>
      <w:r>
        <w:t>7月22日至8月2日，市</w:t>
      </w:r>
      <w:r>
        <w:rPr>
          <w:rFonts w:hint="eastAsia"/>
        </w:rPr>
        <w:t>人大常委会副主任刘宏伟率由部分</w:t>
      </w:r>
      <w:r>
        <w:rPr>
          <w:rFonts w:hint="eastAsia"/>
          <w:lang w:eastAsia="zh-CN"/>
        </w:rPr>
        <w:t>人大常委会委员</w:t>
      </w:r>
      <w:r>
        <w:rPr>
          <w:rFonts w:hint="eastAsia"/>
        </w:rPr>
        <w:t>和人大代表组成的调研组到发改局、经信局等</w:t>
      </w:r>
      <w:r>
        <w:t>13个</w:t>
      </w:r>
      <w:r>
        <w:rPr>
          <w:rFonts w:hint="eastAsia"/>
        </w:rPr>
        <w:t>单位和部门就南雄市</w:t>
      </w:r>
      <w:r>
        <w:t>2012年决算草案编制工作</w:t>
      </w:r>
      <w:r>
        <w:rPr>
          <w:rFonts w:hint="eastAsia"/>
          <w:lang w:eastAsia="zh-CN"/>
        </w:rPr>
        <w:t>、</w:t>
      </w:r>
      <w:r>
        <w:t>2013年上半年国民经济和社会发展计划和预算执行</w:t>
      </w:r>
      <w:r>
        <w:rPr>
          <w:rFonts w:hint="eastAsia"/>
        </w:rPr>
        <w:t>情况进行调</w:t>
      </w:r>
      <w:r>
        <w:rPr>
          <w:rFonts w:hint="eastAsia"/>
          <w:lang w:eastAsia="zh-CN"/>
        </w:rPr>
        <w:t>查</w:t>
      </w:r>
      <w:r>
        <w:rPr>
          <w:rFonts w:hint="eastAsia"/>
        </w:rPr>
        <w:t>研究。</w:t>
      </w:r>
      <w:r>
        <w:t>8月2日上午，市人大常委会</w:t>
      </w:r>
      <w:r>
        <w:rPr>
          <w:rFonts w:hint="eastAsia"/>
        </w:rPr>
        <w:t>副主任陈玉英率市人大常委会组成人员，韶关市</w:t>
      </w:r>
      <w:r>
        <w:rPr>
          <w:rFonts w:hint="eastAsia"/>
          <w:lang w:eastAsia="zh-CN"/>
        </w:rPr>
        <w:t>、</w:t>
      </w:r>
      <w:r>
        <w:rPr>
          <w:rFonts w:hint="eastAsia"/>
        </w:rPr>
        <w:t>南雄市两级人大代表，环保专业人士等组成的调研组，到雄州街道郊区村就珠玑纸业排污管控治理情况开展专题调研。</w:t>
      </w:r>
      <w:r>
        <w:t>9月13日，市人大常委会代理主</w:t>
      </w:r>
      <w:r>
        <w:rPr>
          <w:rFonts w:hint="eastAsia"/>
        </w:rPr>
        <w:t>任罗勇新，率领办公室和内司工委领导，分别到全安、帽子峰、珠玑、邓坊、湖口等镇，调研乡镇人大工作。</w:t>
      </w:r>
      <w:r>
        <w:t>9月25日上午，韶关市人大常委会副秘书</w:t>
      </w:r>
      <w:r>
        <w:rPr>
          <w:rFonts w:hint="eastAsia"/>
        </w:rPr>
        <w:t>长陈早霞率选联任工委以及研究室有关负责同志，到该市检</w:t>
      </w:r>
      <w:r>
        <w:rPr>
          <w:rFonts w:hint="eastAsia"/>
          <w:lang w:eastAsia="zh-CN"/>
        </w:rPr>
        <w:t>查</w:t>
      </w:r>
      <w:r>
        <w:rPr>
          <w:rFonts w:hint="eastAsia"/>
        </w:rPr>
        <w:t>镇（街）人大规范化建设工作。南雄市人大常委会副主任陈玉英、陈培兰等领导陪同检</w:t>
      </w:r>
      <w:r>
        <w:rPr>
          <w:rFonts w:hint="eastAsia"/>
          <w:lang w:eastAsia="zh-CN"/>
        </w:rPr>
        <w:t>查</w:t>
      </w:r>
      <w:r>
        <w:rPr>
          <w:rFonts w:hint="eastAsia"/>
        </w:rPr>
        <w:t>。</w:t>
      </w:r>
      <w:r>
        <w:t>9月29日，韶关市人大常委会研究室主任陈建</w:t>
      </w:r>
      <w:r>
        <w:rPr>
          <w:rFonts w:hint="eastAsia"/>
        </w:rPr>
        <w:t>平，率该室综合科和信息中心等部门负责同志，到南雄调研人大工作。</w:t>
      </w:r>
      <w:r>
        <w:t>10月10日至11日，市人大常</w:t>
      </w:r>
      <w:r>
        <w:rPr>
          <w:rFonts w:hint="eastAsia"/>
        </w:rPr>
        <w:t>委会副主任陈培兰带领调研组，先后前往黄坑镇</w:t>
      </w:r>
      <w:r>
        <w:rPr>
          <w:rFonts w:hint="eastAsia"/>
          <w:lang w:eastAsia="zh-CN"/>
        </w:rPr>
        <w:t>、</w:t>
      </w:r>
      <w:r>
        <w:rPr>
          <w:rFonts w:hint="eastAsia"/>
        </w:rPr>
        <w:t>乌迳镇及国土局召开座谈会，对南雄市土地管理工作进行专项调研。</w:t>
      </w:r>
      <w:r>
        <w:t>10月11日至12日，市人大常委</w:t>
      </w:r>
      <w:r>
        <w:rPr>
          <w:rFonts w:hint="eastAsia"/>
        </w:rPr>
        <w:t>会副主任陈玉英率领部分人大常委，深入雄州街道、地税局和经信局，对《中华人民共和国土地管理法》贯彻实施情况开展执法检</w:t>
      </w:r>
      <w:r>
        <w:rPr>
          <w:rFonts w:hint="eastAsia"/>
          <w:lang w:eastAsia="zh-CN"/>
        </w:rPr>
        <w:t>查</w:t>
      </w:r>
      <w:r>
        <w:rPr>
          <w:rFonts w:hint="eastAsia"/>
        </w:rPr>
        <w:t>，并对市政府规范建筑用地容积率管理情况开展调研视察。为了解南雄市《土地管理法》贯彻落实情况和建筑用地容积率管理工作情况，市人大常委会党组成员涂运发带领调研组，先后深入到市发改局、市监察局和市审计局等单位开展专项调研。</w:t>
      </w:r>
      <w:r>
        <w:t>10月16日上午，市</w:t>
      </w:r>
      <w:r>
        <w:rPr>
          <w:rFonts w:hint="eastAsia"/>
        </w:rPr>
        <w:t>人大常委会代理主任罗勇新到挂点联系企业南雄市艾科化学有限公司和古寨沟酒业调研，深入了解企业当前建设发展状况，协调解决企业发展中遇到的问题。</w:t>
      </w:r>
      <w:r>
        <w:t>11月6日，市人大常委会代理主任罗勇新前</w:t>
      </w:r>
      <w:r>
        <w:rPr>
          <w:rFonts w:hint="eastAsia"/>
        </w:rPr>
        <w:t>往江头镇江头村调研扶贫“双到”工作。</w:t>
      </w:r>
      <w:r>
        <w:t>11月6</w:t>
      </w:r>
      <w:r>
        <w:rPr>
          <w:rFonts w:hint="eastAsia"/>
        </w:rPr>
        <w:t>日，市人大常委会副主任张宗财率内司工委、依法治市办有关负责同志到挂点贫困村—珠玑镇罗田村委会，就如何更好开展扶贫“双到”工作进行调研。</w:t>
      </w:r>
      <w:r>
        <w:t>12月10日，市人大常委会常务副主任罗勇新</w:t>
      </w:r>
      <w:r>
        <w:rPr>
          <w:rFonts w:hint="eastAsia"/>
          <w:lang w:eastAsia="zh-CN"/>
        </w:rPr>
        <w:t>、</w:t>
      </w:r>
      <w:r>
        <w:rPr>
          <w:rFonts w:hint="eastAsia"/>
        </w:rPr>
        <w:t>市政协副主席陈尚妹率领帮扶责任单位有关负责人</w:t>
      </w:r>
      <w:r>
        <w:rPr>
          <w:rFonts w:hint="eastAsia"/>
          <w:lang w:val="en-US" w:eastAsia="zh-CN"/>
        </w:rPr>
        <w:t>一</w:t>
      </w:r>
      <w:r>
        <w:rPr>
          <w:rFonts w:hint="eastAsia"/>
        </w:rPr>
        <w:t>行前往挂点联系镇江头镇和水口石庄村督</w:t>
      </w:r>
      <w:r>
        <w:rPr>
          <w:rFonts w:hint="eastAsia"/>
          <w:lang w:eastAsia="zh-CN"/>
        </w:rPr>
        <w:t>查</w:t>
      </w:r>
      <w:r>
        <w:rPr>
          <w:rFonts w:hint="eastAsia"/>
        </w:rPr>
        <w:t>指导扶贫工作。</w:t>
      </w:r>
    </w:p>
    <w:p w14:paraId="326DE130">
      <w:pPr>
        <w:pStyle w:val="4"/>
        <w:bidi w:val="0"/>
        <w:rPr>
          <w:rFonts w:hint="eastAsia"/>
        </w:rPr>
      </w:pPr>
      <w:r>
        <w:rPr>
          <w:rFonts w:hint="eastAsia"/>
        </w:rPr>
        <w:t>【视察工作】</w:t>
      </w:r>
    </w:p>
    <w:p w14:paraId="6071B64C">
      <w:pPr>
        <w:rPr>
          <w:rFonts w:hint="eastAsia"/>
        </w:rPr>
      </w:pPr>
      <w:r>
        <w:t>10月22日上午，韶关市人大常委</w:t>
      </w:r>
      <w:r>
        <w:rPr>
          <w:rFonts w:hint="eastAsia"/>
        </w:rPr>
        <w:t>会常务副主任李石保率韶关市人大代表视察组到南雄市视察封山育林工作，韶关市人大常委会秘书长高振忠，该市人大常委会代理主任罗勇新、副主任刘宏伟、市政府副市长罗战勇等领导陪同视察。</w:t>
      </w:r>
      <w:r>
        <w:t>11</w:t>
      </w:r>
      <w:r>
        <w:rPr>
          <w:rFonts w:hint="eastAsia"/>
        </w:rPr>
        <w:t>月</w:t>
      </w:r>
      <w:r>
        <w:t>22日，市人大常委会组织韶关市、南雄市两级</w:t>
      </w:r>
      <w:r>
        <w:rPr>
          <w:rFonts w:hint="eastAsia"/>
        </w:rPr>
        <w:t>人大代表一行</w:t>
      </w:r>
      <w:r>
        <w:t>70多人，对市政府在市十四届人大</w:t>
      </w:r>
      <w:r>
        <w:rPr>
          <w:rFonts w:hint="eastAsia"/>
        </w:rPr>
        <w:t>三次会议上承诺的“九件实事”落实进展情况进行视察。</w:t>
      </w:r>
      <w:r>
        <w:t>12月17日下午，市委副书记、代市长曾风</w:t>
      </w:r>
      <w:r>
        <w:rPr>
          <w:rFonts w:hint="eastAsia"/>
        </w:rPr>
        <w:t>保率分管园区工作副市长以及市外经、经信、食药监等单位负责同志，到广东南雄圣莲红景天保健品有限公司，视察企业运行情况。作为挂点联系单位领导代表，市人大常委会副主任刘宏伟、李冰，市人大常委会党组成员涂运发、张新陪同视察调研活动。</w:t>
      </w:r>
    </w:p>
    <w:p w14:paraId="1EB06969">
      <w:pPr>
        <w:jc w:val="right"/>
        <w:rPr>
          <w:rFonts w:hint="eastAsia"/>
          <w:b/>
          <w:bCs/>
        </w:rPr>
      </w:pPr>
      <w:r>
        <w:rPr>
          <w:rFonts w:hint="eastAsia"/>
          <w:b/>
          <w:bCs/>
          <w:lang w:eastAsia="zh-CN"/>
        </w:rPr>
        <w:t>（</w:t>
      </w:r>
      <w:r>
        <w:rPr>
          <w:rFonts w:hint="eastAsia"/>
          <w:b/>
          <w:bCs/>
        </w:rPr>
        <w:t>江继宽）</w:t>
      </w:r>
    </w:p>
    <w:p w14:paraId="69ECA37E">
      <w:pPr>
        <w:pStyle w:val="10"/>
        <w:bidi w:val="0"/>
        <w:rPr>
          <w:rFonts w:hint="eastAsia"/>
          <w:b/>
          <w:bCs/>
        </w:rPr>
      </w:pPr>
      <w:r>
        <w:rPr>
          <w:rFonts w:hint="eastAsia"/>
          <w:b/>
          <w:bCs/>
        </w:rPr>
        <w:t>附：</w:t>
      </w:r>
      <w:r>
        <w:rPr>
          <w:b/>
          <w:bCs/>
        </w:rPr>
        <w:t>2013年市人大办公室、各工委领导班子成员</w:t>
      </w:r>
      <w:r>
        <w:rPr>
          <w:rFonts w:hint="eastAsia"/>
          <w:b/>
          <w:bCs/>
        </w:rPr>
        <w:t>名单</w:t>
      </w:r>
    </w:p>
    <w:p w14:paraId="096809FD">
      <w:pPr>
        <w:pStyle w:val="10"/>
        <w:bidi w:val="0"/>
        <w:rPr>
          <w:rFonts w:hint="eastAsia"/>
        </w:rPr>
      </w:pPr>
      <w:r>
        <w:rPr>
          <w:rFonts w:hint="eastAsia"/>
          <w:b/>
          <w:bCs/>
        </w:rPr>
        <w:t>办公室主任：</w:t>
      </w:r>
      <w:r>
        <w:rPr>
          <w:rFonts w:hint="eastAsia"/>
        </w:rPr>
        <w:t>张</w:t>
      </w:r>
      <w:r>
        <w:rPr>
          <w:rFonts w:hint="eastAsia"/>
          <w:lang w:val="en-US" w:eastAsia="zh-CN"/>
        </w:rPr>
        <w:t xml:space="preserve">  </w:t>
      </w:r>
      <w:r>
        <w:rPr>
          <w:rFonts w:hint="eastAsia"/>
        </w:rPr>
        <w:t>新</w:t>
      </w:r>
    </w:p>
    <w:p w14:paraId="70246642">
      <w:pPr>
        <w:pStyle w:val="10"/>
        <w:bidi w:val="0"/>
        <w:rPr>
          <w:rFonts w:hint="eastAsia"/>
        </w:rPr>
      </w:pPr>
      <w:r>
        <w:rPr>
          <w:rFonts w:hint="eastAsia"/>
          <w:b/>
          <w:bCs/>
        </w:rPr>
        <w:t>副主任：</w:t>
      </w:r>
      <w:r>
        <w:rPr>
          <w:rFonts w:hint="eastAsia"/>
        </w:rPr>
        <w:t>曾昭雄杨珂</w:t>
      </w:r>
    </w:p>
    <w:p w14:paraId="7F04591D">
      <w:pPr>
        <w:pStyle w:val="10"/>
        <w:bidi w:val="0"/>
        <w:rPr>
          <w:rFonts w:hint="eastAsia"/>
        </w:rPr>
      </w:pPr>
      <w:r>
        <w:rPr>
          <w:rFonts w:hint="eastAsia"/>
          <w:b/>
          <w:bCs/>
        </w:rPr>
        <w:t>内司工委主任：</w:t>
      </w:r>
      <w:r>
        <w:rPr>
          <w:rFonts w:hint="eastAsia"/>
        </w:rPr>
        <w:t>陈焱煌</w:t>
      </w:r>
    </w:p>
    <w:p w14:paraId="25CE411F">
      <w:pPr>
        <w:pStyle w:val="10"/>
        <w:bidi w:val="0"/>
        <w:rPr>
          <w:rFonts w:hint="eastAsia"/>
        </w:rPr>
      </w:pPr>
      <w:r>
        <w:rPr>
          <w:rFonts w:hint="eastAsia"/>
          <w:b/>
          <w:bCs/>
        </w:rPr>
        <w:t>副主任：</w:t>
      </w:r>
      <w:r>
        <w:rPr>
          <w:rFonts w:hint="eastAsia"/>
        </w:rPr>
        <w:t>刘</w:t>
      </w:r>
      <w:r>
        <w:rPr>
          <w:rFonts w:hint="eastAsia"/>
          <w:lang w:val="en-US" w:eastAsia="zh-CN"/>
        </w:rPr>
        <w:t xml:space="preserve">  </w:t>
      </w:r>
      <w:r>
        <w:rPr>
          <w:rFonts w:hint="eastAsia"/>
        </w:rPr>
        <w:t>军</w:t>
      </w:r>
    </w:p>
    <w:p w14:paraId="34AE7C58">
      <w:pPr>
        <w:pStyle w:val="10"/>
        <w:bidi w:val="0"/>
        <w:rPr>
          <w:rFonts w:hint="eastAsia"/>
        </w:rPr>
      </w:pPr>
      <w:r>
        <w:rPr>
          <w:rFonts w:hint="eastAsia"/>
          <w:b/>
          <w:bCs/>
        </w:rPr>
        <w:t>经工委主任：</w:t>
      </w:r>
      <w:r>
        <w:rPr>
          <w:rFonts w:hint="eastAsia"/>
        </w:rPr>
        <w:t>刘运平</w:t>
      </w:r>
    </w:p>
    <w:p w14:paraId="05FF979F">
      <w:pPr>
        <w:pStyle w:val="10"/>
        <w:bidi w:val="0"/>
        <w:rPr>
          <w:rFonts w:hint="eastAsia"/>
        </w:rPr>
      </w:pPr>
      <w:r>
        <w:rPr>
          <w:rFonts w:hint="eastAsia"/>
          <w:b/>
          <w:bCs/>
        </w:rPr>
        <w:t>教科文卫工委主任：</w:t>
      </w:r>
      <w:r>
        <w:rPr>
          <w:rFonts w:hint="eastAsia"/>
        </w:rPr>
        <w:t>沈学福</w:t>
      </w:r>
    </w:p>
    <w:p w14:paraId="53754A4B">
      <w:pPr>
        <w:pStyle w:val="10"/>
        <w:bidi w:val="0"/>
        <w:rPr>
          <w:rFonts w:hint="eastAsia"/>
        </w:rPr>
      </w:pPr>
      <w:r>
        <w:rPr>
          <w:rFonts w:hint="eastAsia"/>
          <w:b/>
          <w:bCs/>
          <w:lang w:eastAsia="zh-CN"/>
        </w:rPr>
        <w:t>选</w:t>
      </w:r>
      <w:r>
        <w:rPr>
          <w:rFonts w:hint="eastAsia"/>
          <w:b/>
          <w:bCs/>
        </w:rPr>
        <w:t>联任工委主任：</w:t>
      </w:r>
      <w:r>
        <w:rPr>
          <w:rFonts w:hint="eastAsia"/>
        </w:rPr>
        <w:t>赖长林</w:t>
      </w:r>
    </w:p>
    <w:p w14:paraId="6441D878">
      <w:pPr>
        <w:pStyle w:val="10"/>
        <w:bidi w:val="0"/>
        <w:rPr>
          <w:rFonts w:hint="eastAsia"/>
        </w:rPr>
      </w:pPr>
      <w:r>
        <w:rPr>
          <w:rFonts w:hint="eastAsia"/>
          <w:b/>
          <w:bCs/>
        </w:rPr>
        <w:t>副主任：</w:t>
      </w:r>
      <w:r>
        <w:rPr>
          <w:rFonts w:hint="eastAsia"/>
        </w:rPr>
        <w:t>李文丽</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1DB00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805FBC8">
            <w:pPr>
              <w:pStyle w:val="10"/>
              <w:bidi w:val="0"/>
              <w:jc w:val="center"/>
              <w:rPr>
                <w:rFonts w:hint="eastAsia" w:eastAsia="宋体"/>
                <w:vertAlign w:val="baseline"/>
                <w:lang w:eastAsia="zh-CN"/>
              </w:rPr>
            </w:pPr>
            <w:r>
              <w:rPr>
                <w:rFonts w:hint="eastAsia" w:eastAsia="宋体"/>
                <w:vertAlign w:val="baseline"/>
                <w:lang w:eastAsia="zh-CN"/>
              </w:rPr>
              <w:drawing>
                <wp:inline distT="0" distB="0" distL="114300" distR="114300">
                  <wp:extent cx="6184265" cy="3897630"/>
                  <wp:effectExtent l="0" t="0" r="6985" b="7620"/>
                  <wp:docPr id="48" name="图片 48" descr="南雄年鉴2014-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南雄年鉴2014-048"/>
                          <pic:cNvPicPr>
                            <a:picLocks noChangeAspect="1"/>
                          </pic:cNvPicPr>
                        </pic:nvPicPr>
                        <pic:blipFill>
                          <a:blip r:embed="rId118"/>
                          <a:stretch>
                            <a:fillRect/>
                          </a:stretch>
                        </pic:blipFill>
                        <pic:spPr>
                          <a:xfrm>
                            <a:off x="0" y="0"/>
                            <a:ext cx="6184265" cy="3897630"/>
                          </a:xfrm>
                          <a:prstGeom prst="rect">
                            <a:avLst/>
                          </a:prstGeom>
                        </pic:spPr>
                      </pic:pic>
                    </a:graphicData>
                  </a:graphic>
                </wp:inline>
              </w:drawing>
            </w:r>
          </w:p>
        </w:tc>
      </w:tr>
    </w:tbl>
    <w:p w14:paraId="6EB891D1">
      <w:pPr>
        <w:pStyle w:val="2"/>
        <w:bidi w:val="0"/>
        <w:rPr>
          <w:rFonts w:hint="eastAsia"/>
        </w:rPr>
      </w:pPr>
      <w:r>
        <w:rPr>
          <w:rFonts w:hint="eastAsia"/>
        </w:rPr>
        <w:t>南雄市人民政府</w:t>
      </w:r>
    </w:p>
    <w:p w14:paraId="1286AA49">
      <w:pPr>
        <w:pStyle w:val="3"/>
        <w:bidi w:val="0"/>
        <w:rPr>
          <w:rFonts w:hint="eastAsia"/>
          <w:lang w:val="en-US" w:eastAsia="zh-CN"/>
        </w:rPr>
      </w:pPr>
      <w:r>
        <w:rPr>
          <w:rFonts w:hint="eastAsia"/>
          <w:lang w:val="en-US" w:eastAsia="zh-CN"/>
        </w:rPr>
        <w:t>综述</w:t>
      </w:r>
    </w:p>
    <w:p w14:paraId="6BAE8C68">
      <w:r>
        <w:t>2013年，市人民政府深入贯彻党的十八大精</w:t>
      </w:r>
      <w:r>
        <w:rPr>
          <w:rFonts w:hint="eastAsia"/>
        </w:rPr>
        <w:t>神，以务实创新的精神风貌和攻坚克难的工作举措，开创南雄科学发展新局面，较好完成各项工作任务。</w:t>
      </w:r>
      <w:r>
        <w:t>2013年，全市完成地区生产总值（GDP）100.8亿元、增长12.7%；完成固定资产投资82.4</w:t>
      </w:r>
      <w:r>
        <w:rPr>
          <w:rFonts w:hint="eastAsia"/>
        </w:rPr>
        <w:t>亿元、增长</w:t>
      </w:r>
      <w:r>
        <w:t>16%，完成地方公共财政预算收入4.8</w:t>
      </w:r>
      <w:r>
        <w:rPr>
          <w:rFonts w:hint="eastAsia"/>
        </w:rPr>
        <w:t>亿元、增长</w:t>
      </w:r>
      <w:r>
        <w:t>18.87%。</w:t>
      </w:r>
    </w:p>
    <w:p w14:paraId="37E20092">
      <w:pPr>
        <w:pStyle w:val="3"/>
        <w:bidi w:val="0"/>
        <w:rPr>
          <w:rFonts w:hint="default"/>
          <w:lang w:val="en-US" w:eastAsia="zh-CN"/>
        </w:rPr>
      </w:pPr>
      <w:r>
        <w:rPr>
          <w:rFonts w:hint="eastAsia"/>
          <w:lang w:val="en-US" w:eastAsia="zh-CN"/>
        </w:rPr>
        <w:t>重要政务</w:t>
      </w:r>
    </w:p>
    <w:p w14:paraId="20E8C2E5">
      <w:pPr>
        <w:pStyle w:val="4"/>
        <w:bidi w:val="0"/>
        <w:rPr>
          <w:rFonts w:hint="eastAsia"/>
        </w:rPr>
      </w:pPr>
      <w:r>
        <w:rPr>
          <w:rFonts w:hint="eastAsia"/>
        </w:rPr>
        <w:t>【经济发展总量突破百亿元】</w:t>
      </w:r>
    </w:p>
    <w:p w14:paraId="441A6BD4">
      <w:r>
        <w:rPr>
          <w:rFonts w:hint="eastAsia"/>
        </w:rPr>
        <w:t>地区生产总值完成</w:t>
      </w:r>
      <w:r>
        <w:t>100.8亿元，创历史新高。三次产业结构为23.4</w:t>
      </w:r>
      <w:r>
        <w:rPr>
          <w:rFonts w:hint="eastAsia"/>
          <w:lang w:eastAsia="zh-CN"/>
        </w:rPr>
        <w:t>：</w:t>
      </w:r>
      <w:r>
        <w:t>36.8</w:t>
      </w:r>
      <w:r>
        <w:rPr>
          <w:rFonts w:hint="eastAsia"/>
          <w:lang w:eastAsia="zh-CN"/>
        </w:rPr>
        <w:t>：</w:t>
      </w:r>
      <w:r>
        <w:t>39.8，产业结构进一步优化。</w:t>
      </w:r>
    </w:p>
    <w:p w14:paraId="5E7C5047">
      <w:pPr>
        <w:pStyle w:val="4"/>
        <w:bidi w:val="0"/>
        <w:rPr>
          <w:rFonts w:hint="eastAsia"/>
        </w:rPr>
      </w:pPr>
      <w:r>
        <w:rPr>
          <w:rFonts w:hint="eastAsia"/>
          <w:lang w:eastAsia="zh-CN"/>
        </w:rPr>
        <w:t>【</w:t>
      </w:r>
      <w:r>
        <w:rPr>
          <w:rFonts w:hint="eastAsia"/>
        </w:rPr>
        <w:t>工业经济总量超百亿元】</w:t>
      </w:r>
    </w:p>
    <w:p w14:paraId="2D574A8D">
      <w:r>
        <w:rPr>
          <w:rFonts w:hint="eastAsia"/>
        </w:rPr>
        <w:t>完成工业总产值</w:t>
      </w:r>
      <w:r>
        <w:t>109.2亿元、增长28.9%；实现工业增加值28.6亿</w:t>
      </w:r>
      <w:r>
        <w:rPr>
          <w:rFonts w:hint="eastAsia"/>
        </w:rPr>
        <w:t>元、增长</w:t>
      </w:r>
      <w:r>
        <w:t>25.9%，其中规模以上工业实现增加值24.5亿元、增长29.6%。新增规上企业9家，总数</w:t>
      </w:r>
      <w:r>
        <w:rPr>
          <w:rFonts w:hint="eastAsia"/>
        </w:rPr>
        <w:t>达</w:t>
      </w:r>
      <w:r>
        <w:t>82家。园区已经成为南雄市工业经济支柱，有66家企业投（试）产，完成工业产值70.4亿元、</w:t>
      </w:r>
      <w:r>
        <w:rPr>
          <w:rFonts w:hint="eastAsia"/>
        </w:rPr>
        <w:t>增长</w:t>
      </w:r>
      <w:r>
        <w:t>49.6%，实现工业增加值18亿元、增长50%，</w:t>
      </w:r>
      <w:r>
        <w:rPr>
          <w:rFonts w:hint="eastAsia"/>
        </w:rPr>
        <w:t>占全市工业总产值和增加值的比重分别为</w:t>
      </w:r>
      <w:r>
        <w:t>64.5%和62.9%，获评省“四星级服务园区”，连续第三年</w:t>
      </w:r>
      <w:r>
        <w:rPr>
          <w:rFonts w:hint="eastAsia"/>
        </w:rPr>
        <w:t>在省双转移目标责任考核中取得优秀等次；园区二期扩园成功，基础设施建设投入资金</w:t>
      </w:r>
      <w:r>
        <w:t>4亿元。</w:t>
      </w:r>
    </w:p>
    <w:p w14:paraId="3113F749">
      <w:pPr>
        <w:pStyle w:val="4"/>
        <w:bidi w:val="0"/>
        <w:rPr>
          <w:rFonts w:hint="eastAsia"/>
        </w:rPr>
      </w:pPr>
      <w:r>
        <w:rPr>
          <w:rFonts w:hint="eastAsia"/>
        </w:rPr>
        <w:t>【农业农村工作稳步发展】</w:t>
      </w:r>
    </w:p>
    <w:p w14:paraId="216F5857">
      <w:pPr>
        <w:rPr>
          <w:rFonts w:hint="eastAsia"/>
        </w:rPr>
      </w:pPr>
      <w:r>
        <w:rPr>
          <w:rFonts w:hint="eastAsia"/>
        </w:rPr>
        <w:t>完成农业总产值</w:t>
      </w:r>
      <w:r>
        <w:t>38.6</w:t>
      </w:r>
      <w:r>
        <w:rPr>
          <w:rFonts w:hint="eastAsia"/>
        </w:rPr>
        <w:t>亿元、增长</w:t>
      </w:r>
      <w:r>
        <w:t>4.9%，增加值23.6亿元、增长4.8%。</w:t>
      </w:r>
      <w:r>
        <w:rPr>
          <w:rFonts w:hint="eastAsia"/>
        </w:rPr>
        <w:t>创办</w:t>
      </w:r>
      <w:r>
        <w:t>4个万亩水稻高产示范片，粮食产量增长2.2%，储备流通体系进一步完善，有效保障了粮</w:t>
      </w:r>
      <w:r>
        <w:rPr>
          <w:rFonts w:hint="eastAsia"/>
        </w:rPr>
        <w:t>食安全，荣获“全国粮食流通监督检</w:t>
      </w:r>
      <w:r>
        <w:rPr>
          <w:rFonts w:hint="eastAsia"/>
          <w:lang w:eastAsia="zh-CN"/>
        </w:rPr>
        <w:t>查</w:t>
      </w:r>
      <w:r>
        <w:rPr>
          <w:rFonts w:hint="eastAsia"/>
        </w:rPr>
        <w:t>示范县”称号。烟叶种植成为农民增收稳定来源，收购烟叶</w:t>
      </w:r>
      <w:r>
        <w:t>29</w:t>
      </w:r>
      <w:r>
        <w:rPr>
          <w:rFonts w:hint="eastAsia"/>
        </w:rPr>
        <w:t>万担，收购资金</w:t>
      </w:r>
      <w:r>
        <w:t>3.5亿元，平均价格增长12.5%。</w:t>
      </w:r>
      <w:r>
        <w:rPr>
          <w:rFonts w:hint="eastAsia"/>
        </w:rPr>
        <w:t>新一轮扶贫“双到”工作取得新进展，</w:t>
      </w:r>
      <w:r>
        <w:t>59个省重</w:t>
      </w:r>
      <w:r>
        <w:rPr>
          <w:rFonts w:hint="eastAsia"/>
        </w:rPr>
        <w:t>点帮扶村已全面对接，落实帮扶资金</w:t>
      </w:r>
      <w:r>
        <w:t>1.5亿元，改</w:t>
      </w:r>
      <w:r>
        <w:rPr>
          <w:rFonts w:hint="eastAsia"/>
        </w:rPr>
        <w:t>造</w:t>
      </w:r>
      <w:r>
        <w:t>250户困难户住房。农产品安全工作扎实推进，</w:t>
      </w:r>
      <w:r>
        <w:rPr>
          <w:rFonts w:hint="eastAsia"/>
        </w:rPr>
        <w:t>市农产品质量安全监督检测站资质通过省级认定。农业企业发展壮大，</w:t>
      </w:r>
      <w:r>
        <w:t>7家农业龙头企业达到韶关市</w:t>
      </w:r>
      <w:r>
        <w:rPr>
          <w:rFonts w:hint="eastAsia"/>
        </w:rPr>
        <w:t>级标准。</w:t>
      </w:r>
    </w:p>
    <w:p w14:paraId="5A038888">
      <w:pPr>
        <w:pStyle w:val="4"/>
        <w:bidi w:val="0"/>
        <w:rPr>
          <w:rFonts w:hint="eastAsia"/>
        </w:rPr>
      </w:pPr>
      <w:r>
        <w:rPr>
          <w:rFonts w:hint="eastAsia"/>
        </w:rPr>
        <w:t>【对外开放水平全面提升】</w:t>
      </w:r>
    </w:p>
    <w:p w14:paraId="2E0682B1">
      <w:r>
        <w:rPr>
          <w:rFonts w:hint="eastAsia"/>
        </w:rPr>
        <w:t>利用首届“世广会”，成功举办“南雄旅游投资环境推介会”，签约资金</w:t>
      </w:r>
      <w:r>
        <w:t>28.7亿元。全年引进投资项目27个，投资总额8.8</w:t>
      </w:r>
      <w:r>
        <w:rPr>
          <w:rFonts w:hint="eastAsia"/>
        </w:rPr>
        <w:t>亿元。合同利用外资</w:t>
      </w:r>
      <w:r>
        <w:t>3200万美元，实际利用外资2220万美元，外贸出口3415万美元。</w:t>
      </w:r>
    </w:p>
    <w:p w14:paraId="1171E709">
      <w:pPr>
        <w:pStyle w:val="4"/>
        <w:bidi w:val="0"/>
        <w:rPr>
          <w:rFonts w:hint="eastAsia"/>
        </w:rPr>
      </w:pPr>
      <w:r>
        <w:rPr>
          <w:rFonts w:hint="eastAsia"/>
        </w:rPr>
        <w:t>【第三产业持续兴旺】</w:t>
      </w:r>
    </w:p>
    <w:p w14:paraId="4531BE79">
      <w:r>
        <w:rPr>
          <w:rFonts w:hint="eastAsia"/>
        </w:rPr>
        <w:t>珠玑古巷、梅岭梅花、帽子峰景区及坪田银杏等特色旅游知名度全面提升，全年接待游客</w:t>
      </w:r>
      <w:r>
        <w:t>220.9万人次，旅游总收入15.5亿</w:t>
      </w:r>
      <w:r>
        <w:rPr>
          <w:rFonts w:hint="eastAsia"/>
        </w:rPr>
        <w:t>元，分别增长</w:t>
      </w:r>
      <w:r>
        <w:t>28%和32.7%。城乡消费市场兴旺，</w:t>
      </w:r>
      <w:r>
        <w:rPr>
          <w:rFonts w:hint="eastAsia"/>
        </w:rPr>
        <w:t>全年实现社会消费品零售总额</w:t>
      </w:r>
      <w:r>
        <w:t>35.6亿元、增</w:t>
      </w:r>
      <w:r>
        <w:rPr>
          <w:rFonts w:hint="eastAsia"/>
        </w:rPr>
        <w:t>长</w:t>
      </w:r>
      <w:r>
        <w:t>15.1%。</w:t>
      </w:r>
    </w:p>
    <w:p w14:paraId="6655573B">
      <w:pPr>
        <w:pStyle w:val="4"/>
        <w:bidi w:val="0"/>
        <w:rPr>
          <w:rFonts w:hint="eastAsia"/>
          <w:lang w:eastAsia="zh-CN"/>
        </w:rPr>
      </w:pPr>
      <w:r>
        <w:rPr>
          <w:rFonts w:hint="eastAsia"/>
          <w:lang w:eastAsia="zh-CN"/>
        </w:rPr>
        <w:t>【</w:t>
      </w:r>
      <w:r>
        <w:rPr>
          <w:rFonts w:hint="eastAsia"/>
        </w:rPr>
        <w:t>重点建设项目加快推进</w:t>
      </w:r>
      <w:r>
        <w:rPr>
          <w:rFonts w:hint="eastAsia"/>
          <w:lang w:eastAsia="zh-CN"/>
        </w:rPr>
        <w:t>】</w:t>
      </w:r>
    </w:p>
    <w:p w14:paraId="093F6E3F">
      <w:pPr>
        <w:rPr>
          <w:rFonts w:hint="eastAsia"/>
        </w:rPr>
      </w:pPr>
      <w:r>
        <w:rPr>
          <w:rFonts w:hint="eastAsia"/>
        </w:rPr>
        <w:t>“三农”项目方面，湖口镇、邓坊镇</w:t>
      </w:r>
      <w:r>
        <w:t>2个农综项目已竣工，分别完成投资1320万元和1500万元；烟叶基础设施完成投资3983</w:t>
      </w:r>
      <w:r>
        <w:rPr>
          <w:rFonts w:hint="eastAsia"/>
        </w:rPr>
        <w:t>万元；水利投入资金</w:t>
      </w:r>
      <w:r>
        <w:t>1.6亿元，8个重点项目扎实推</w:t>
      </w:r>
      <w:r>
        <w:rPr>
          <w:rFonts w:hint="eastAsia"/>
        </w:rPr>
        <w:t>进；</w:t>
      </w:r>
      <w:r>
        <w:t>44个村级“一事一议”项目、2个名村、5个示</w:t>
      </w:r>
      <w:r>
        <w:rPr>
          <w:rFonts w:hint="eastAsia"/>
        </w:rPr>
        <w:t>范村建设全面完成。工业企业方面，乐华二期洁具工程投资</w:t>
      </w:r>
      <w:r>
        <w:t>9500万元，正在进行设备安装调试；绿洲公司</w:t>
      </w:r>
      <w:r>
        <w:rPr>
          <w:rFonts w:hint="eastAsia"/>
        </w:rPr>
        <w:t>扩产技改项目完成投资</w:t>
      </w:r>
      <w:r>
        <w:t>2000万元，已经完成土建工</w:t>
      </w:r>
      <w:r>
        <w:rPr>
          <w:rFonts w:hint="eastAsia"/>
        </w:rPr>
        <w:t>程；彤置富水泥生产线主体工程建设加快。交通基础设施方面，赣韶铁路南雄段完成铺轨，预计</w:t>
      </w:r>
      <w:r>
        <w:t>2014年6</w:t>
      </w:r>
      <w:r>
        <w:rPr>
          <w:rFonts w:hint="eastAsia"/>
        </w:rPr>
        <w:t>月将正式通车；投资</w:t>
      </w:r>
      <w:r>
        <w:t>2075万元，完成83公里自然村</w:t>
      </w:r>
      <w:r>
        <w:rPr>
          <w:rFonts w:hint="eastAsia"/>
        </w:rPr>
        <w:t>水泥公路建设，超过原计划</w:t>
      </w:r>
      <w:r>
        <w:t>23公里；X342线湖口至</w:t>
      </w:r>
      <w:r>
        <w:rPr>
          <w:rFonts w:hint="eastAsia"/>
        </w:rPr>
        <w:t>南亩段改造，春节前可完成主路面工程。旅游配套项目方面，珠玑古巷停车场建设已完成，广东奥威斯乐园完成投资</w:t>
      </w:r>
      <w:r>
        <w:t>1亿元，元升生态观光休闲农场完成投资5000万元，锦绣花园酒店完成投资3000）元，国际会</w:t>
      </w:r>
      <w:r>
        <w:rPr>
          <w:rFonts w:hint="eastAsia"/>
        </w:rPr>
        <w:t>展中心酒店已封顶。信息化建设卓有成效，城市宽带、</w:t>
      </w:r>
      <w:r>
        <w:t>C网新建等项目建设完成投资974万元。电力、能源</w:t>
      </w:r>
      <w:r>
        <w:rPr>
          <w:rFonts w:hint="eastAsia"/>
        </w:rPr>
        <w:t>等基础设施建设不断完善，农村电网改造完成投资</w:t>
      </w:r>
      <w:r>
        <w:t>3726万元，佛燃天然气公司完成20公里燃气管道</w:t>
      </w:r>
      <w:r>
        <w:rPr>
          <w:rFonts w:hint="eastAsia"/>
        </w:rPr>
        <w:t>铺设。</w:t>
      </w:r>
    </w:p>
    <w:p w14:paraId="53D262B7">
      <w:pPr>
        <w:pStyle w:val="4"/>
        <w:bidi w:val="0"/>
        <w:rPr>
          <w:rFonts w:hint="eastAsia"/>
        </w:rPr>
      </w:pPr>
      <w:r>
        <w:rPr>
          <w:rFonts w:hint="eastAsia"/>
        </w:rPr>
        <w:t>【城市建设步伐加快】</w:t>
      </w:r>
    </w:p>
    <w:p w14:paraId="0C37E57B">
      <w:pPr>
        <w:rPr>
          <w:rFonts w:hint="eastAsia"/>
          <w:lang w:eastAsia="zh-CN"/>
        </w:rPr>
      </w:pPr>
      <w:r>
        <w:rPr>
          <w:rFonts w:hint="eastAsia"/>
        </w:rPr>
        <w:t>城市总体规划修改和镇村规划编制工作顺利进行。南雄·东方（大润发）项目一期工程完成投资</w:t>
      </w:r>
      <w:r>
        <w:t>3亿元，并建成开业。大福国</w:t>
      </w:r>
      <w:r>
        <w:rPr>
          <w:rFonts w:hint="eastAsia"/>
        </w:rPr>
        <w:t>际名城一期完成投资</w:t>
      </w:r>
      <w:r>
        <w:t>1.1亿元，6栋商住楼和商业</w:t>
      </w:r>
      <w:r>
        <w:rPr>
          <w:rFonts w:hint="eastAsia"/>
        </w:rPr>
        <w:t>中心已经建成，建筑面积</w:t>
      </w:r>
      <w:r>
        <w:t>10.1万平方米。100套廉</w:t>
      </w:r>
      <w:r>
        <w:rPr>
          <w:rFonts w:hint="eastAsia"/>
        </w:rPr>
        <w:t>租房建成并完成配租，公租房一期</w:t>
      </w:r>
      <w:r>
        <w:t>54套基本完工，</w:t>
      </w:r>
      <w:r>
        <w:rPr>
          <w:rFonts w:hint="eastAsia"/>
        </w:rPr>
        <w:t>二期项目已开工建设。雄州新城、时代广场、新雄州公园等城市亮点工程加快推进</w:t>
      </w:r>
      <w:r>
        <w:rPr>
          <w:rFonts w:hint="eastAsia"/>
          <w:lang w:eastAsia="zh-CN"/>
        </w:rPr>
        <w:t>。</w:t>
      </w:r>
    </w:p>
    <w:p w14:paraId="3A3A0597">
      <w:pPr>
        <w:pStyle w:val="4"/>
        <w:bidi w:val="0"/>
        <w:rPr>
          <w:rFonts w:hint="eastAsia"/>
        </w:rPr>
      </w:pPr>
      <w:r>
        <w:rPr>
          <w:rFonts w:hint="eastAsia"/>
          <w:lang w:eastAsia="zh-CN"/>
        </w:rPr>
        <w:t>【</w:t>
      </w:r>
      <w:r>
        <w:rPr>
          <w:rFonts w:hint="eastAsia"/>
        </w:rPr>
        <w:t>生态文明建设全面加强】</w:t>
      </w:r>
    </w:p>
    <w:p w14:paraId="2B8CED46">
      <w:pPr>
        <w:rPr>
          <w:rFonts w:hint="eastAsia"/>
        </w:rPr>
      </w:pPr>
      <w:r>
        <w:rPr>
          <w:rFonts w:hint="eastAsia"/>
        </w:rPr>
        <w:t>成功竞得省生态公益林激励性补助资金</w:t>
      </w:r>
      <w:r>
        <w:t>2744万元、省森林碳汇重点生</w:t>
      </w:r>
      <w:r>
        <w:rPr>
          <w:rFonts w:hint="eastAsia"/>
        </w:rPr>
        <w:t>态工程建设资金</w:t>
      </w:r>
      <w:r>
        <w:t>928万元。掀起新一轮绿化南雄大</w:t>
      </w:r>
      <w:r>
        <w:rPr>
          <w:rFonts w:hint="eastAsia"/>
        </w:rPr>
        <w:t>行动，全市完成造林</w:t>
      </w:r>
      <w:r>
        <w:t>5.</w:t>
      </w:r>
      <w:r>
        <w:rPr>
          <w:rFonts w:hint="eastAsia"/>
          <w:lang w:val="en-US" w:eastAsia="zh-CN"/>
        </w:rPr>
        <w:t>9</w:t>
      </w:r>
      <w:r>
        <w:t>6万亩。市林业局获得</w:t>
      </w:r>
      <w:r>
        <w:rPr>
          <w:rFonts w:hint="eastAsia"/>
        </w:rPr>
        <w:t>“全国林业系统先进集体”荣誉称号。土地资源得到合理保护利用，雄州街道、百顺、珠玑、古市等城乡建设用地增减挂钩项目拆旧复垦顺利进行。大力抓好城乡清洁工作，苍石垃圾填埋场完成投资</w:t>
      </w:r>
      <w:r>
        <w:t>1622万元，镇级垃圾转运站全部建成；城市排污管</w:t>
      </w:r>
      <w:r>
        <w:rPr>
          <w:rFonts w:hint="eastAsia"/>
        </w:rPr>
        <w:t>网建设完成投资</w:t>
      </w:r>
      <w:r>
        <w:t>1000万元，建成雨污管网6900多</w:t>
      </w:r>
      <w:r>
        <w:rPr>
          <w:rFonts w:hint="eastAsia"/>
        </w:rPr>
        <w:t>米；</w:t>
      </w:r>
      <w:r>
        <w:t>1个省级、4个韶关市级卫生村通过验收。加</w:t>
      </w:r>
      <w:r>
        <w:rPr>
          <w:rFonts w:hint="eastAsia"/>
        </w:rPr>
        <w:t>强重点排污企业监管，</w:t>
      </w:r>
      <w:r>
        <w:t>2家国控企业、园区污水处</w:t>
      </w:r>
      <w:r>
        <w:rPr>
          <w:rFonts w:hint="eastAsia"/>
        </w:rPr>
        <w:t>理厂和禽畜养殖业落实污染减排与防治措施。</w:t>
      </w:r>
    </w:p>
    <w:p w14:paraId="687AA258">
      <w:pPr>
        <w:pStyle w:val="4"/>
        <w:bidi w:val="0"/>
        <w:rPr>
          <w:rFonts w:hint="eastAsia"/>
        </w:rPr>
      </w:pPr>
      <w:r>
        <w:rPr>
          <w:rFonts w:hint="eastAsia"/>
        </w:rPr>
        <w:t>【财税保障能力增强】</w:t>
      </w:r>
    </w:p>
    <w:p w14:paraId="70568DFD">
      <w:pPr>
        <w:rPr>
          <w:rFonts w:hint="eastAsia"/>
        </w:rPr>
      </w:pPr>
      <w:r>
        <w:rPr>
          <w:rFonts w:hint="eastAsia"/>
        </w:rPr>
        <w:t>国税税收收入完成</w:t>
      </w:r>
      <w:r>
        <w:t>2亿元、</w:t>
      </w:r>
      <w:r>
        <w:rPr>
          <w:rFonts w:hint="eastAsia"/>
        </w:rPr>
        <w:t>增长</w:t>
      </w:r>
      <w:r>
        <w:t>22.3%，地税税收收入完成3.8亿元、增长11%。财政总收入16.5亿元、增长5.7%，公共财</w:t>
      </w:r>
      <w:r>
        <w:rPr>
          <w:rFonts w:hint="eastAsia"/>
        </w:rPr>
        <w:t>政预算收入完成</w:t>
      </w:r>
      <w:r>
        <w:t>4.8亿元、增长18.87%，公共财</w:t>
      </w:r>
      <w:r>
        <w:rPr>
          <w:rFonts w:hint="eastAsia"/>
        </w:rPr>
        <w:t>政预算支出完成</w:t>
      </w:r>
      <w:r>
        <w:t>16亿元、增长9.9%。重点加大对</w:t>
      </w:r>
      <w:r>
        <w:rPr>
          <w:rFonts w:hint="eastAsia"/>
        </w:rPr>
        <w:t>民生项目支出，民生类资金支出</w:t>
      </w:r>
      <w:r>
        <w:t>11亿元，占公共</w:t>
      </w:r>
      <w:r>
        <w:rPr>
          <w:rFonts w:hint="eastAsia"/>
        </w:rPr>
        <w:t>财政预算支出的</w:t>
      </w:r>
      <w:r>
        <w:t>69%。金融对地方经济支持力度增</w:t>
      </w:r>
      <w:r>
        <w:rPr>
          <w:rFonts w:hint="eastAsia"/>
        </w:rPr>
        <w:t>大，成立中小微企业贷款风险补偿基金，为中小微企业提供临时性资金支持</w:t>
      </w:r>
      <w:r>
        <w:t>2400万元；农村惠农手</w:t>
      </w:r>
      <w:r>
        <w:rPr>
          <w:rFonts w:hint="eastAsia"/>
        </w:rPr>
        <w:t>机支付业务实现乡镇全覆盖；金融机构本外币存款余额</w:t>
      </w:r>
      <w:r>
        <w:t>91.7亿元、比年初增长21.6%，贷款余额37.2亿元、比年初增长61.2%，为加快发展提供</w:t>
      </w:r>
      <w:r>
        <w:rPr>
          <w:rFonts w:hint="eastAsia"/>
        </w:rPr>
        <w:t>强劲的资金保障。</w:t>
      </w:r>
    </w:p>
    <w:p w14:paraId="603DCF89">
      <w:pPr>
        <w:pStyle w:val="4"/>
        <w:bidi w:val="0"/>
        <w:rPr>
          <w:rFonts w:hint="eastAsia"/>
        </w:rPr>
      </w:pPr>
      <w:r>
        <w:rPr>
          <w:rFonts w:hint="eastAsia"/>
          <w:lang w:eastAsia="zh-CN"/>
        </w:rPr>
        <w:t>【</w:t>
      </w:r>
      <w:r>
        <w:rPr>
          <w:rFonts w:hint="eastAsia"/>
        </w:rPr>
        <w:t>城乡居民收入提高】</w:t>
      </w:r>
    </w:p>
    <w:p w14:paraId="75F2899C">
      <w:r>
        <w:rPr>
          <w:rFonts w:hint="eastAsia"/>
        </w:rPr>
        <w:t>城镇居民人均可支配收入</w:t>
      </w:r>
      <w:r>
        <w:t>1.8万元、增长14.5%，农村居民家庭人均现金收</w:t>
      </w:r>
      <w:r>
        <w:rPr>
          <w:rFonts w:hint="eastAsia"/>
          <w:lang w:val="en-US" w:eastAsia="zh-CN"/>
        </w:rPr>
        <w:t>入</w:t>
      </w:r>
      <w:r>
        <w:t>1.3万元、增长16.8%，城镇单位在岗职工年均</w:t>
      </w:r>
      <w:r>
        <w:rPr>
          <w:rFonts w:hint="eastAsia"/>
        </w:rPr>
        <w:t>工资</w:t>
      </w:r>
      <w:r>
        <w:t>3.6万元、增长10%。年末城乡居民储蓄存款</w:t>
      </w:r>
      <w:r>
        <w:rPr>
          <w:rFonts w:hint="eastAsia"/>
        </w:rPr>
        <w:t>余额</w:t>
      </w:r>
      <w:r>
        <w:t>69.7亿元、比年初增长16.3%。</w:t>
      </w:r>
    </w:p>
    <w:p w14:paraId="7BA8CCF1">
      <w:pPr>
        <w:pStyle w:val="4"/>
        <w:bidi w:val="0"/>
        <w:rPr>
          <w:rFonts w:hint="eastAsia"/>
        </w:rPr>
      </w:pPr>
      <w:r>
        <w:rPr>
          <w:rFonts w:hint="eastAsia"/>
        </w:rPr>
        <w:t>【社会保障体系健全】</w:t>
      </w:r>
    </w:p>
    <w:p w14:paraId="79AFD9FD">
      <w:pPr>
        <w:rPr>
          <w:rFonts w:hint="eastAsia"/>
        </w:rPr>
      </w:pPr>
      <w:r>
        <w:rPr>
          <w:rFonts w:hint="eastAsia"/>
        </w:rPr>
        <w:t>城乡就业和社会保障服务均等化不断加强，镇级和园区人力资源社会保障服务平台建成使用。城镇新增就业</w:t>
      </w:r>
      <w:r>
        <w:t>4613人，新增农</w:t>
      </w:r>
      <w:r>
        <w:rPr>
          <w:rFonts w:hint="eastAsia"/>
        </w:rPr>
        <w:t>村劳动力转移就业</w:t>
      </w:r>
      <w:r>
        <w:t>7257人，城镇登记失业率为2.4%。社会保险覆盖面扩大，16.5万人参加城乡</w:t>
      </w:r>
      <w:r>
        <w:rPr>
          <w:rFonts w:hint="eastAsia"/>
        </w:rPr>
        <w:t>居民养老保险，</w:t>
      </w:r>
      <w:r>
        <w:t>35.5万人参加城乡居民医疗保险。</w:t>
      </w:r>
      <w:r>
        <w:rPr>
          <w:rFonts w:hint="eastAsia"/>
        </w:rPr>
        <w:t>社会救助体系完善，支出低保资金</w:t>
      </w:r>
      <w:r>
        <w:t>1020万元，为4820户8100名困难群众提供基本生活保障；五保</w:t>
      </w:r>
      <w:r>
        <w:rPr>
          <w:rFonts w:hint="eastAsia"/>
        </w:rPr>
        <w:t>老人生活标准每人每月增加</w:t>
      </w:r>
      <w:r>
        <w:t>50元；医疗救助支出190万元，救助640人次，有暴力倾向64名精神病</w:t>
      </w:r>
      <w:r>
        <w:rPr>
          <w:rFonts w:hint="eastAsia"/>
        </w:rPr>
        <w:t>人由市财政全额出资治疗。</w:t>
      </w:r>
    </w:p>
    <w:p w14:paraId="62A2B386">
      <w:pPr>
        <w:pStyle w:val="4"/>
        <w:bidi w:val="0"/>
        <w:rPr>
          <w:rFonts w:hint="eastAsia"/>
        </w:rPr>
      </w:pPr>
      <w:r>
        <w:rPr>
          <w:rFonts w:hint="eastAsia"/>
        </w:rPr>
        <w:t>【社会各项事业】</w:t>
      </w:r>
    </w:p>
    <w:p w14:paraId="0C9F4B58">
      <w:pPr>
        <w:rPr>
          <w:rFonts w:hint="eastAsia"/>
        </w:rPr>
      </w:pPr>
      <w:r>
        <w:rPr>
          <w:rFonts w:hint="eastAsia"/>
        </w:rPr>
        <w:t>市政府承诺的“九件实事”已经完成</w:t>
      </w:r>
      <w:r>
        <w:t>7件，其余2件将在2014年上半年完成。教</w:t>
      </w:r>
      <w:r>
        <w:rPr>
          <w:rFonts w:hint="eastAsia"/>
        </w:rPr>
        <w:t>育事业加快发展，创建省“教育强市”和全国义务教育发展基本均衡县（市）通过省级督导评估，农村地区学校教师享受人均每月</w:t>
      </w:r>
      <w:r>
        <w:t>502元岗位津贴，投</w:t>
      </w:r>
      <w:r>
        <w:rPr>
          <w:rFonts w:hint="eastAsia"/>
        </w:rPr>
        <w:t>入</w:t>
      </w:r>
      <w:r>
        <w:t>3亿多元南雄第一小学等教育四大“民生工程”</w:t>
      </w:r>
      <w:r>
        <w:rPr>
          <w:rFonts w:hint="eastAsia"/>
        </w:rPr>
        <w:t>启用。市疾控中心新业务楼投入使用，传染病报告与处理、儿童保健等“十一大基本公共卫生服务项目”全面落实，启动公立医院改革工作。精神文明创建水平进一步提高，珠玑镇通过“省文明镇”考评。文化广电事业繁荣发展，新城影剧院建成开业，完成数字电视整体转换工作，博物馆、文化馆、图书馆的异地重建前期工作正在进行；“南</w:t>
      </w:r>
      <w:r>
        <w:rPr>
          <w:rFonts w:hint="eastAsia"/>
          <w:lang w:eastAsia="zh-CN"/>
        </w:rPr>
        <w:t>粤</w:t>
      </w:r>
      <w:r>
        <w:rPr>
          <w:rFonts w:hint="eastAsia"/>
          <w:lang w:val="en-US" w:eastAsia="zh-CN"/>
        </w:rPr>
        <w:t>雄</w:t>
      </w:r>
      <w:r>
        <w:rPr>
          <w:rFonts w:hint="eastAsia"/>
        </w:rPr>
        <w:t>关与古道”成为第七批全国重点文物保护单位，大成殿等</w:t>
      </w:r>
      <w:r>
        <w:t>3处文物成为第七批省级文物保护单位，</w:t>
      </w:r>
      <w:r>
        <w:rPr>
          <w:rFonts w:hint="eastAsia"/>
        </w:rPr>
        <w:t>恐龙自然保护区获批“省级地质公园”。科技创新能力增强，完成专利申报</w:t>
      </w:r>
      <w:r>
        <w:t>116件，阳普医疗被认定</w:t>
      </w:r>
      <w:r>
        <w:rPr>
          <w:rFonts w:hint="eastAsia"/>
        </w:rPr>
        <w:t>为</w:t>
      </w:r>
      <w:r>
        <w:t>2013年广东省第一批高新技术企业。全民健身</w:t>
      </w:r>
      <w:r>
        <w:rPr>
          <w:rFonts w:hint="eastAsia"/>
        </w:rPr>
        <w:t>运动蓬勃发展，完成黄坑等</w:t>
      </w:r>
      <w:r>
        <w:t>4个镇农民健身工程建</w:t>
      </w:r>
      <w:r>
        <w:rPr>
          <w:rFonts w:hint="eastAsia"/>
        </w:rPr>
        <w:t>设。人口计生创“国优”工作扎实推进。</w:t>
      </w:r>
    </w:p>
    <w:p w14:paraId="69EFD64C">
      <w:pPr>
        <w:pStyle w:val="4"/>
        <w:bidi w:val="0"/>
        <w:rPr>
          <w:rFonts w:hint="eastAsia"/>
        </w:rPr>
      </w:pPr>
      <w:r>
        <w:rPr>
          <w:rFonts w:hint="eastAsia"/>
        </w:rPr>
        <w:t>【社会管理加强】</w:t>
      </w:r>
    </w:p>
    <w:p w14:paraId="23CDE0A1">
      <w:pPr>
        <w:rPr>
          <w:rFonts w:hint="eastAsia"/>
          <w:lang w:eastAsia="zh-CN"/>
        </w:rPr>
      </w:pPr>
      <w:r>
        <w:rPr>
          <w:rFonts w:hint="eastAsia"/>
        </w:rPr>
        <w:t>全力推进平安南雄建设，开展“打四黑除四害”等系列专项整治工作，视频监控系统“一类点”</w:t>
      </w:r>
      <w:r>
        <w:t>274个高清视频监控探头建成使</w:t>
      </w:r>
      <w:r>
        <w:rPr>
          <w:rFonts w:hint="eastAsia"/>
        </w:rPr>
        <w:t>用，二期视频监控系统建设已经启动。重拳整治“两违”，依法拆除“两违”建筑</w:t>
      </w:r>
      <w:r>
        <w:t>26宗3610平方</w:t>
      </w:r>
      <w:r>
        <w:rPr>
          <w:rFonts w:hint="eastAsia"/>
        </w:rPr>
        <w:t>米。开展综治信访维稳工作，各类矛盾纠纷得到有效化解。完成食品药品安全监督管理改革，构建市镇村三级监管网络，“餐饮食品安全示范县”创建工作通过省级考评验收。落实安全监管主体责任，安全生产标准化工作得到加强</w:t>
      </w:r>
      <w:r>
        <w:rPr>
          <w:rFonts w:hint="eastAsia"/>
          <w:lang w:eastAsia="zh-CN"/>
        </w:rPr>
        <w:t>。</w:t>
      </w:r>
    </w:p>
    <w:p w14:paraId="5833A070">
      <w:pPr>
        <w:pStyle w:val="4"/>
        <w:bidi w:val="0"/>
        <w:rPr>
          <w:rFonts w:hint="eastAsia"/>
        </w:rPr>
      </w:pPr>
      <w:r>
        <w:rPr>
          <w:rFonts w:hint="eastAsia"/>
        </w:rPr>
        <w:t>【政府自身建设强化】</w:t>
      </w:r>
    </w:p>
    <w:p w14:paraId="7EAA9E8C">
      <w:pPr>
        <w:rPr>
          <w:rFonts w:hint="eastAsia"/>
        </w:rPr>
      </w:pPr>
      <w:r>
        <w:rPr>
          <w:rFonts w:hint="eastAsia"/>
        </w:rPr>
        <w:t>贯彻落实中央八项规定，深入开展“面向基层、整顿作风、服务群众”主题学习教育活动，公职人员的群众观念、服务意识和机关作风加强。自觉接受市人大监督和市政协参政议政</w:t>
      </w:r>
      <w:r>
        <w:rPr>
          <w:rFonts w:hint="eastAsia"/>
          <w:lang w:eastAsia="zh-CN"/>
        </w:rPr>
        <w:t>，</w:t>
      </w:r>
      <w:r>
        <w:rPr>
          <w:rFonts w:hint="eastAsia"/>
        </w:rPr>
        <w:t>办理人大议案及建议</w:t>
      </w:r>
      <w:r>
        <w:t>19件、政协提案57件，办复率100%。重点项目、重要工作督</w:t>
      </w:r>
      <w:r>
        <w:rPr>
          <w:rFonts w:hint="eastAsia"/>
          <w:lang w:eastAsia="zh-CN"/>
        </w:rPr>
        <w:t>查</w:t>
      </w:r>
      <w:r>
        <w:t>督办机制健全。民主</w:t>
      </w:r>
      <w:r>
        <w:rPr>
          <w:rFonts w:hint="eastAsia"/>
        </w:rPr>
        <w:t>法制建设、廉政建设深入，依法行政水平提高。全面推行政务公开，电子政务办公业务系统建设顺利推进。深化行政审批制度改革，</w:t>
      </w:r>
      <w:r>
        <w:t>58个部门6</w:t>
      </w:r>
      <w:r>
        <w:rPr>
          <w:rFonts w:hint="eastAsia"/>
          <w:lang w:val="en-US" w:eastAsia="zh-CN"/>
        </w:rPr>
        <w:t>5</w:t>
      </w:r>
      <w:r>
        <w:t>7项服务事项进</w:t>
      </w:r>
      <w:r>
        <w:rPr>
          <w:rFonts w:hint="eastAsia"/>
          <w:lang w:val="en-US" w:eastAsia="zh-CN"/>
        </w:rPr>
        <w:t>入</w:t>
      </w:r>
      <w:r>
        <w:rPr>
          <w:rFonts w:hint="eastAsia"/>
        </w:rPr>
        <w:t>网上办事大厅，完成</w:t>
      </w:r>
      <w:r>
        <w:t>18个镇级便民服务中心建设</w:t>
      </w:r>
      <w:r>
        <w:rPr>
          <w:rFonts w:hint="eastAsia"/>
        </w:rPr>
        <w:t>权力真正在阳光下运行。</w:t>
      </w:r>
    </w:p>
    <w:p w14:paraId="01285DD2">
      <w:pPr>
        <w:pStyle w:val="4"/>
        <w:bidi w:val="0"/>
        <w:rPr>
          <w:rFonts w:hint="eastAsia"/>
        </w:rPr>
      </w:pPr>
      <w:r>
        <w:rPr>
          <w:rFonts w:hint="eastAsia"/>
        </w:rPr>
        <w:t>【市政府常务会议】</w:t>
      </w:r>
    </w:p>
    <w:p w14:paraId="11A387AF">
      <w:pPr>
        <w:rPr>
          <w:rFonts w:hint="eastAsia"/>
        </w:rPr>
      </w:pPr>
      <w:r>
        <w:t>2013年，召开市府常务会议5次，会议主要讨论研究以下内容：住宅小区管道</w:t>
      </w:r>
      <w:r>
        <w:rPr>
          <w:rFonts w:hint="eastAsia"/>
        </w:rPr>
        <w:t>天然气附属设施建设费标准和管道天然气销售价格；取消</w:t>
      </w:r>
      <w:r>
        <w:t>2010年度社会资金补充耕地指标转让限</w:t>
      </w:r>
      <w:r>
        <w:rPr>
          <w:rFonts w:hint="eastAsia"/>
        </w:rPr>
        <w:t>制问题；广东奥威斯乐园规划区控制性保护问题；整体流转流水石林场问题；提高环卫临时工工资待遇问题；农村生活垃圾处理工作试点问题；园区污水处理收费问题；</w:t>
      </w:r>
      <w:r>
        <w:t>2013年市府重点工作任务分解问</w:t>
      </w:r>
      <w:r>
        <w:rPr>
          <w:rFonts w:hint="eastAsia"/>
        </w:rPr>
        <w:t>题；知识产权工作；对全市封山育林护林员考核奖；解决</w:t>
      </w:r>
      <w:r>
        <w:t>97名护林员社保遗留问题；沿河镇、村</w:t>
      </w:r>
      <w:r>
        <w:rPr>
          <w:rFonts w:hint="eastAsia"/>
        </w:rPr>
        <w:t>河砂管理工作经费问题；调整殡葬服务价格标准</w:t>
      </w:r>
      <w:r>
        <w:rPr>
          <w:rFonts w:hint="eastAsia"/>
          <w:lang w:val="en-US" w:eastAsia="zh-CN"/>
        </w:rPr>
        <w:t>问</w:t>
      </w:r>
      <w:r>
        <w:rPr>
          <w:rFonts w:hint="eastAsia"/>
        </w:rPr>
        <w:t>题；提</w:t>
      </w:r>
      <w:r>
        <w:rPr>
          <w:rFonts w:hint="eastAsia"/>
          <w:lang w:val="en-US" w:eastAsia="zh-CN"/>
        </w:rPr>
        <w:t>高</w:t>
      </w:r>
      <w:r>
        <w:rPr>
          <w:rFonts w:hint="eastAsia"/>
        </w:rPr>
        <w:t>城乡居（村）民最低生活保障标准及农村五保户供养标准问题；解决国土资源局办公用房问题；三枫电站划入国资办监管问题；重新签订珠玑大酒店租赁经营合同问题；县域经济社会发展考核奖励；民营规模以上工业企业设立技改奖励基金问题；按照户籍人口投保自然灾害公众责任保险问题；鼓励在职在编工作人员参加高层次学位教育；落实雄州街道、园区人力资源和社会保障服务所工作用房问题；珠影文化广场项目房屋征收补偿方案；成立项目工作专门机构；房屋征收与拆迁工作；推进珠影文化广场建设工作；解决珠玑及其他镇（街道）开发建设中的历史遗留问题；加快推进“三旧”改造工作；帽子峰林场危旧房改造项目异地新建和有偿划拨土地问题；高层次人才子女入学（园）安置办法；高层次人才公寓管理办法；解决中心镇推进城镇化建设所需资金问题；各镇土地出让金分成问题；对高考成绩优异学校进行表彰奖励问题；调整污水处理费征收标准；社会治安视频监控系统（二类点）建设问题；卫生和计生机构改革以及改革完善食品药品监督管理体制问题；黄履斌死亡一次性抚恤金问题；河塘至园区（二期）公路延长线建设资金增加问题；市木材公司下属林场</w:t>
      </w:r>
      <w:r>
        <w:rPr>
          <w:rFonts w:hint="eastAsia"/>
          <w:lang w:eastAsia="zh-CN"/>
        </w:rPr>
        <w:t>、</w:t>
      </w:r>
      <w:r>
        <w:rPr>
          <w:rFonts w:hint="eastAsia"/>
        </w:rPr>
        <w:t>主田联办林场及南亩林果场经营方式转变问题；南雄国际会展服务中心综合大楼超高费用问题；闲置土地等资产处置和收入分配及土地出让金分成具体实施问题。</w:t>
      </w:r>
    </w:p>
    <w:p w14:paraId="71A41B70">
      <w:pPr>
        <w:pStyle w:val="4"/>
        <w:bidi w:val="0"/>
        <w:rPr>
          <w:rFonts w:hint="eastAsia"/>
        </w:rPr>
      </w:pPr>
      <w:r>
        <w:rPr>
          <w:rFonts w:hint="eastAsia"/>
        </w:rPr>
        <w:t>【市长办公会议】</w:t>
      </w:r>
    </w:p>
    <w:p w14:paraId="71F23543">
      <w:pPr>
        <w:rPr>
          <w:rFonts w:hint="eastAsia"/>
        </w:rPr>
      </w:pPr>
      <w:r>
        <w:t>2013年，召开市长办公会议20</w:t>
      </w:r>
      <w:r>
        <w:rPr>
          <w:rFonts w:hint="eastAsia"/>
        </w:rPr>
        <w:t>次，主要研究部署以下工作：研究水口农贸市场改造工作；协调推进华电南雄热电联产项目；研究园区经济运行及经费保障问题、研究香港基业创新投资有限公司闲置土地处置问题；加快推进大福名城项目；推进大润发广场项目建设工作；部署繁荣市场改造工作；研究部署市区道路改造和绿化建设；筹备首届世界广府人恳亲大会；研究大润发广场土石方平整工程项目；推进雄州公园项目建设；部署全市人口计生工作会议；调度园区二期建设工作</w:t>
      </w:r>
      <w:r>
        <w:rPr>
          <w:rFonts w:hint="eastAsia"/>
          <w:lang w:eastAsia="zh-CN"/>
        </w:rPr>
        <w:t>；</w:t>
      </w:r>
      <w:r>
        <w:rPr>
          <w:rFonts w:hint="eastAsia"/>
        </w:rPr>
        <w:t>气象现代化建设；高标准农田建设；推进广东奥威斯乐园项目建设；研究大润发供电线路设计方案</w:t>
      </w:r>
      <w:r>
        <w:rPr>
          <w:rFonts w:hint="eastAsia"/>
          <w:lang w:eastAsia="zh-CN"/>
        </w:rPr>
        <w:t>；</w:t>
      </w:r>
      <w:r>
        <w:rPr>
          <w:rFonts w:hint="eastAsia"/>
        </w:rPr>
        <w:t>研究农村义务教育学校教师岗位津贴标准；明确政府班子成员分工；研究珠玑古巷姓氏宗祠项目。</w:t>
      </w:r>
    </w:p>
    <w:p w14:paraId="455334DD">
      <w:pPr>
        <w:pStyle w:val="4"/>
        <w:bidi w:val="0"/>
        <w:rPr>
          <w:rFonts w:hint="eastAsia"/>
        </w:rPr>
      </w:pPr>
      <w:r>
        <w:rPr>
          <w:rFonts w:hint="eastAsia"/>
        </w:rPr>
        <w:t>【市政府工作会议】</w:t>
      </w:r>
    </w:p>
    <w:p w14:paraId="207D691F">
      <w:pPr>
        <w:rPr>
          <w:rFonts w:hint="eastAsia"/>
        </w:rPr>
      </w:pPr>
      <w:r>
        <w:t>2013年，召开市府工作会议35次，会议主要部署以下工作：城市规划违法违章</w:t>
      </w:r>
      <w:r>
        <w:rPr>
          <w:rFonts w:hint="eastAsia"/>
        </w:rPr>
        <w:t>处置；协调大福名城项目供地问题；住房保障工作；帽子峰林场危旧房改造项目建设用地问题；研究园区部分化工企业存在问题；筹备建设珠玑镇农业科技园；筹备珠玑镇长鹿农庄项目；协调园区建设工作；研究园区道路建设问题；研究对外贸易总公司转制有关问题；研究彤置富水泥建设项目有关问题；研究奥威斯酒店有限公司安全隐患整改问题；部署</w:t>
      </w:r>
      <w:r>
        <w:rPr>
          <w:rFonts w:hint="eastAsia"/>
          <w:lang w:eastAsia="zh-CN"/>
        </w:rPr>
        <w:t>查</w:t>
      </w:r>
      <w:r>
        <w:rPr>
          <w:rFonts w:hint="eastAsia"/>
        </w:rPr>
        <w:t>处违章建筑与用地专项工作；研究里东粮所地块出让问题；组建统一规范公共资源交易市场；部署河砂管理工作；研究韶赣铁路南雄站前丿场及连接道路工程建设；研究道路改造工程项目软路基处理问题；研究火车站站前广场项目土石方问题；筹备江头镇婴童用品项目；筹备花生育种生</w:t>
      </w:r>
      <w:r>
        <w:rPr>
          <w:rFonts w:hint="eastAsia"/>
          <w:lang w:val="en-US" w:eastAsia="zh-CN"/>
        </w:rPr>
        <w:t>产</w:t>
      </w:r>
      <w:r>
        <w:rPr>
          <w:rFonts w:hint="eastAsia"/>
        </w:rPr>
        <w:t>基地；促进锦绣花园项目加快建设；</w:t>
      </w:r>
      <w:r>
        <w:t>2013年保障性</w:t>
      </w:r>
      <w:r>
        <w:rPr>
          <w:rFonts w:hint="eastAsia"/>
        </w:rPr>
        <w:t>住房工作会议；研究生猪养殖治污减排问题；调度水厂扩建项目建设；部署村级便民服务站建设工作；协调广东电网金质样板工程；通自然村公路硬底化工程建设；推进新雄州公园建设；华电联产项目前期协调会；推进新雄州公园石方工程；研究彤置富水泥厂征地拆迁有关问题；部署冬修水利工作；协调竹博园项目建设；研究黄坑等乡镇生活污水处理厂建设问题。</w:t>
      </w:r>
    </w:p>
    <w:p w14:paraId="6113E0C2">
      <w:pPr>
        <w:pStyle w:val="4"/>
        <w:bidi w:val="0"/>
        <w:rPr>
          <w:rFonts w:hint="eastAsia"/>
        </w:rPr>
      </w:pPr>
      <w:r>
        <w:rPr>
          <w:rFonts w:hint="eastAsia"/>
        </w:rPr>
        <w:t>【市政府经济形势分析会】</w:t>
      </w:r>
    </w:p>
    <w:p w14:paraId="3EA6DEF1">
      <w:pPr>
        <w:rPr>
          <w:rFonts w:hint="eastAsia"/>
        </w:rPr>
      </w:pPr>
      <w:r>
        <w:t>2013年，南雄市政府召</w:t>
      </w:r>
      <w:r>
        <w:rPr>
          <w:rFonts w:hint="eastAsia"/>
        </w:rPr>
        <w:t>开其他重要会议有：全市经济形势分析会，全年召开</w:t>
      </w:r>
      <w:r>
        <w:t>3次，分别为第一季度、上半年和第三季度，主要研</w:t>
      </w:r>
      <w:r>
        <w:rPr>
          <w:rFonts w:hint="eastAsia"/>
        </w:rPr>
        <w:t>究分析前一季度全市经济运行情况，部署下一阶段经济工作，</w:t>
      </w:r>
      <w:r>
        <w:rPr>
          <w:rFonts w:hint="eastAsia"/>
          <w:lang w:eastAsia="zh-CN"/>
        </w:rPr>
        <w:t>查</w:t>
      </w:r>
      <w:r>
        <w:rPr>
          <w:rFonts w:hint="eastAsia"/>
        </w:rPr>
        <w:t>找经济发展中存在问题，提出解决办法，推动全市经济持续快速发展。经济形势分析会由市政府主持召开，市委主要领导、市政府市长、副市长</w:t>
      </w:r>
      <w:r>
        <w:rPr>
          <w:rFonts w:hint="eastAsia"/>
          <w:lang w:eastAsia="zh-CN"/>
        </w:rPr>
        <w:t>、</w:t>
      </w:r>
      <w:r>
        <w:rPr>
          <w:rFonts w:hint="eastAsia"/>
        </w:rPr>
        <w:t>市直副科以上单位一把手，各镇镇长（街道办事处主任）参加会议。会议一般由重要经济部门汇报分析上</w:t>
      </w:r>
      <w:r>
        <w:rPr>
          <w:rFonts w:hint="eastAsia"/>
          <w:lang w:val="en-US" w:eastAsia="zh-CN"/>
        </w:rPr>
        <w:t>一</w:t>
      </w:r>
      <w:r>
        <w:rPr>
          <w:rFonts w:hint="eastAsia"/>
        </w:rPr>
        <w:t>季度全市经济运行情况，市长做全市经济形势分析</w:t>
      </w:r>
      <w:r>
        <w:rPr>
          <w:rFonts w:hint="eastAsia"/>
          <w:lang w:eastAsia="zh-CN"/>
        </w:rPr>
        <w:t>，</w:t>
      </w:r>
      <w:r>
        <w:rPr>
          <w:rFonts w:hint="eastAsia"/>
        </w:rPr>
        <w:t>市委书记做总结发言。会议要求全市上下紧密围绕市委、市政府经济发展目标，强化责任、狠抓落实，全力推动经济社会跨越发展。</w:t>
      </w:r>
    </w:p>
    <w:p w14:paraId="24E4F164">
      <w:pPr>
        <w:pStyle w:val="3"/>
        <w:bidi w:val="0"/>
        <w:rPr>
          <w:rFonts w:hint="default"/>
          <w:lang w:val="en-US" w:eastAsia="zh-CN"/>
        </w:rPr>
      </w:pPr>
      <w:r>
        <w:rPr>
          <w:rFonts w:hint="eastAsia"/>
          <w:lang w:val="en-US" w:eastAsia="zh-CN"/>
        </w:rPr>
        <w:t>2013年南雄市人民政府领导职务变动</w:t>
      </w:r>
    </w:p>
    <w:p w14:paraId="49B1A168">
      <w:pPr>
        <w:pStyle w:val="10"/>
        <w:bidi w:val="0"/>
      </w:pPr>
      <w:r>
        <w:rPr>
          <w:rFonts w:hint="eastAsia"/>
          <w:b/>
          <w:bCs/>
          <w:lang w:val="en-US" w:eastAsia="zh-CN"/>
        </w:rPr>
        <w:t xml:space="preserve">市  </w:t>
      </w:r>
      <w:r>
        <w:rPr>
          <w:rFonts w:hint="eastAsia"/>
          <w:b/>
          <w:bCs/>
        </w:rPr>
        <w:t>长：</w:t>
      </w:r>
      <w:r>
        <w:rPr>
          <w:rFonts w:hint="eastAsia"/>
        </w:rPr>
        <w:t>刘清生（任至</w:t>
      </w:r>
      <w:r>
        <w:t>2013年8月）</w:t>
      </w:r>
    </w:p>
    <w:p w14:paraId="6CD652DA">
      <w:pPr>
        <w:pStyle w:val="10"/>
        <w:bidi w:val="0"/>
      </w:pPr>
      <w:r>
        <w:rPr>
          <w:rFonts w:hint="eastAsia"/>
          <w:b/>
          <w:bCs/>
        </w:rPr>
        <w:t>代市长：</w:t>
      </w:r>
      <w:r>
        <w:rPr>
          <w:rFonts w:hint="eastAsia"/>
        </w:rPr>
        <w:t>曾风保（</w:t>
      </w:r>
      <w:r>
        <w:t>2013年10月任）</w:t>
      </w:r>
    </w:p>
    <w:p w14:paraId="545DAA21">
      <w:pPr>
        <w:pStyle w:val="10"/>
        <w:bidi w:val="0"/>
        <w:rPr>
          <w:rFonts w:hint="eastAsia"/>
        </w:rPr>
      </w:pPr>
      <w:r>
        <w:rPr>
          <w:rFonts w:hint="eastAsia"/>
          <w:b/>
          <w:bCs/>
        </w:rPr>
        <w:t>常务副市长：</w:t>
      </w:r>
      <w:r>
        <w:rPr>
          <w:rFonts w:hint="eastAsia"/>
        </w:rPr>
        <w:t>何人平</w:t>
      </w:r>
    </w:p>
    <w:p w14:paraId="18CD5CF5">
      <w:pPr>
        <w:pStyle w:val="10"/>
        <w:bidi w:val="0"/>
        <w:rPr>
          <w:rFonts w:hint="eastAsia"/>
          <w:lang w:eastAsia="zh-CN"/>
        </w:rPr>
      </w:pPr>
      <w:r>
        <w:rPr>
          <w:rFonts w:hint="eastAsia"/>
          <w:b/>
          <w:bCs/>
        </w:rPr>
        <w:t>副市长：</w:t>
      </w:r>
      <w:r>
        <w:rPr>
          <w:rFonts w:hint="eastAsia"/>
        </w:rPr>
        <w:t>邓小强（任至</w:t>
      </w:r>
      <w:r>
        <w:t>2013年8月</w:t>
      </w:r>
      <w:r>
        <w:rPr>
          <w:rFonts w:hint="eastAsia"/>
          <w:lang w:eastAsia="zh-CN"/>
        </w:rPr>
        <w:t>）</w:t>
      </w:r>
    </w:p>
    <w:p w14:paraId="71770662">
      <w:pPr>
        <w:pStyle w:val="10"/>
        <w:bidi w:val="0"/>
        <w:ind w:leftChars="400"/>
        <w:rPr>
          <w:rFonts w:hint="eastAsia"/>
          <w:lang w:val="en-US" w:eastAsia="zh-CN"/>
        </w:rPr>
      </w:pPr>
      <w:r>
        <w:rPr>
          <w:rFonts w:hint="eastAsia"/>
        </w:rPr>
        <w:t>刘悦明</w:t>
      </w:r>
      <w:r>
        <w:rPr>
          <w:rFonts w:hint="eastAsia"/>
          <w:lang w:val="en-US" w:eastAsia="zh-CN"/>
        </w:rPr>
        <w:t xml:space="preserve">   </w:t>
      </w:r>
      <w:r>
        <w:rPr>
          <w:rFonts w:hint="eastAsia"/>
        </w:rPr>
        <w:t>罗战勇</w:t>
      </w:r>
      <w:r>
        <w:rPr>
          <w:rFonts w:hint="eastAsia"/>
          <w:lang w:val="en-US" w:eastAsia="zh-CN"/>
        </w:rPr>
        <w:t xml:space="preserve">   </w:t>
      </w:r>
      <w:r>
        <w:rPr>
          <w:rFonts w:hint="eastAsia"/>
        </w:rPr>
        <w:t>吕道宏</w:t>
      </w:r>
    </w:p>
    <w:p w14:paraId="706EA587">
      <w:pPr>
        <w:pStyle w:val="10"/>
        <w:bidi w:val="0"/>
        <w:ind w:leftChars="400"/>
        <w:rPr>
          <w:rFonts w:hint="eastAsia"/>
        </w:rPr>
      </w:pPr>
      <w:r>
        <w:rPr>
          <w:rFonts w:hint="eastAsia"/>
        </w:rPr>
        <w:t>马细妹</w:t>
      </w:r>
      <w:r>
        <w:rPr>
          <w:rFonts w:hint="eastAsia"/>
          <w:lang w:val="en-US" w:eastAsia="zh-CN"/>
        </w:rPr>
        <w:t xml:space="preserve">   </w:t>
      </w:r>
      <w:r>
        <w:rPr>
          <w:rFonts w:hint="eastAsia"/>
        </w:rPr>
        <w:t>袁元桃</w:t>
      </w:r>
    </w:p>
    <w:p w14:paraId="4B448CD0">
      <w:pPr>
        <w:pStyle w:val="3"/>
        <w:bidi w:val="0"/>
        <w:rPr>
          <w:rFonts w:hint="eastAsia"/>
          <w:lang w:val="en-US" w:eastAsia="zh-CN"/>
        </w:rPr>
      </w:pPr>
      <w:r>
        <w:rPr>
          <w:rFonts w:hint="eastAsia"/>
        </w:rPr>
        <w:t>政府办公室</w:t>
      </w:r>
      <w:r>
        <w:rPr>
          <w:rFonts w:hint="eastAsia"/>
          <w:lang w:val="en-US" w:eastAsia="zh-CN"/>
        </w:rPr>
        <w:t>工作</w:t>
      </w:r>
    </w:p>
    <w:p w14:paraId="30137ABB">
      <w:pPr>
        <w:pStyle w:val="4"/>
        <w:bidi w:val="0"/>
        <w:rPr>
          <w:rFonts w:hint="eastAsia"/>
        </w:rPr>
      </w:pPr>
      <w:r>
        <w:rPr>
          <w:rFonts w:hint="eastAsia"/>
        </w:rPr>
        <w:t>【概况】</w:t>
      </w:r>
    </w:p>
    <w:p w14:paraId="7177A9E7">
      <w:r>
        <w:rPr>
          <w:rFonts w:hint="eastAsia"/>
        </w:rPr>
        <w:t>南雄市政府办公室，正科级行政单位，是市政府的综合办事机构，主要负责文字材料、上呈下达、会议筹备、督</w:t>
      </w:r>
      <w:r>
        <w:rPr>
          <w:rFonts w:hint="eastAsia"/>
          <w:lang w:eastAsia="zh-CN"/>
        </w:rPr>
        <w:t>查</w:t>
      </w:r>
      <w:r>
        <w:rPr>
          <w:rFonts w:hint="eastAsia"/>
        </w:rPr>
        <w:t>落实、信息调研、应急人防、后勤服务等“三服务”（服务领导、服务基层</w:t>
      </w:r>
      <w:r>
        <w:rPr>
          <w:rFonts w:hint="eastAsia"/>
          <w:lang w:eastAsia="zh-CN"/>
        </w:rPr>
        <w:t>、</w:t>
      </w:r>
      <w:r>
        <w:rPr>
          <w:rFonts w:hint="eastAsia"/>
        </w:rPr>
        <w:t>服务群众）工作。办公室内设机构有人秘股、调研股、督</w:t>
      </w:r>
      <w:r>
        <w:rPr>
          <w:rFonts w:hint="eastAsia"/>
          <w:lang w:eastAsia="zh-CN"/>
        </w:rPr>
        <w:t>查</w:t>
      </w:r>
      <w:r>
        <w:rPr>
          <w:rFonts w:hint="eastAsia"/>
        </w:rPr>
        <w:t>室、综合协调股、建议提案股、应急办</w:t>
      </w:r>
      <w:r>
        <w:rPr>
          <w:rFonts w:hint="eastAsia"/>
          <w:lang w:eastAsia="zh-CN"/>
        </w:rPr>
        <w:t>、</w:t>
      </w:r>
      <w:r>
        <w:rPr>
          <w:rFonts w:hint="eastAsia"/>
        </w:rPr>
        <w:t>人防办、政府纪检中心组。行政编制</w:t>
      </w:r>
      <w:r>
        <w:t>19人，工勤</w:t>
      </w:r>
      <w:r>
        <w:rPr>
          <w:rFonts w:hint="eastAsia"/>
        </w:rPr>
        <w:t>编制</w:t>
      </w:r>
      <w:r>
        <w:t>3人。</w:t>
      </w:r>
    </w:p>
    <w:p w14:paraId="4609DFDE">
      <w:pPr>
        <w:pStyle w:val="4"/>
        <w:bidi w:val="0"/>
        <w:rPr>
          <w:rFonts w:hint="eastAsia"/>
        </w:rPr>
      </w:pPr>
      <w:r>
        <w:rPr>
          <w:rFonts w:hint="eastAsia"/>
        </w:rPr>
        <w:t>【协调服务】</w:t>
      </w:r>
    </w:p>
    <w:p w14:paraId="6CD735EA">
      <w:pPr>
        <w:rPr>
          <w:rFonts w:hint="eastAsia"/>
        </w:rPr>
      </w:pPr>
      <w:r>
        <w:rPr>
          <w:rFonts w:hint="eastAsia"/>
        </w:rPr>
        <w:t>树立“高效率、规范化、零缺陷”理念，强化“三服务”意识，推动政府工作高效运转。一是抓会务。全年组织协调各类会议</w:t>
      </w:r>
      <w:r>
        <w:t>300余</w:t>
      </w:r>
      <w:r>
        <w:rPr>
          <w:rFonts w:hint="eastAsia"/>
        </w:rPr>
        <w:t>次，对市府常务会、市长碰头会等高规格会议，坚持牵头筹备，做到周密部署、全程无纰漏，为市政府圆满完成各项议事决策提供保障。二是勤协调。主动加强与上级部门的联系及与各镇各部门的合作，稳妥处理好各种关系，推动政府工作顺利开展。三是优服务。完成省、市领导调研、视察及其它方面重要的政务接待活动。</w:t>
      </w:r>
    </w:p>
    <w:p w14:paraId="379463F7">
      <w:pPr>
        <w:pStyle w:val="4"/>
        <w:bidi w:val="0"/>
        <w:rPr>
          <w:rFonts w:hint="eastAsia"/>
        </w:rPr>
      </w:pPr>
      <w:r>
        <w:rPr>
          <w:rFonts w:hint="eastAsia"/>
        </w:rPr>
        <w:t>【文稿纂写】</w:t>
      </w:r>
    </w:p>
    <w:p w14:paraId="60D1D9D2">
      <w:r>
        <w:rPr>
          <w:rFonts w:hint="eastAsia"/>
        </w:rPr>
        <w:t>一是坚持从全市工作大局出发，加强形势研究和市情分析，先后围绕新型城镇化建设、旅游产业发展、社会经济发展等重点工作进行深</w:t>
      </w:r>
      <w:r>
        <w:rPr>
          <w:rFonts w:hint="eastAsia"/>
          <w:lang w:val="en-US" w:eastAsia="zh-CN"/>
        </w:rPr>
        <w:t>入</w:t>
      </w:r>
      <w:r>
        <w:rPr>
          <w:rFonts w:hint="eastAsia"/>
        </w:rPr>
        <w:t>调研，为领导科学决策提供参考依据；二是起草、审核各类文稿</w:t>
      </w:r>
      <w:r>
        <w:t>260余件，发文370次，高质量</w:t>
      </w:r>
      <w:r>
        <w:rPr>
          <w:rFonts w:hint="eastAsia"/>
        </w:rPr>
        <w:t>完成政府工作报告、经济工作会议等各类领导讲话、综合性汇报材料的起草工作；三是向韶关市政府报送南雄市经济社会发展的新做法、新亮点，政务信息采用量在韶关各县（市、区）中排名前列；四是编发内刊《政府工作》</w:t>
      </w:r>
      <w:r>
        <w:t>10期。</w:t>
      </w:r>
    </w:p>
    <w:p w14:paraId="0AF14FAB">
      <w:pPr>
        <w:pStyle w:val="4"/>
        <w:bidi w:val="0"/>
        <w:rPr>
          <w:rFonts w:hint="eastAsia"/>
        </w:rPr>
      </w:pPr>
      <w:r>
        <w:rPr>
          <w:rFonts w:hint="eastAsia"/>
          <w:lang w:eastAsia="zh-CN"/>
        </w:rPr>
        <w:t>【</w:t>
      </w:r>
      <w:r>
        <w:rPr>
          <w:rFonts w:hint="eastAsia"/>
        </w:rPr>
        <w:t>督察督办】</w:t>
      </w:r>
    </w:p>
    <w:p w14:paraId="7FF9041D">
      <w:pPr>
        <w:rPr>
          <w:rFonts w:hint="eastAsia"/>
          <w:lang w:eastAsia="zh-CN"/>
        </w:rPr>
      </w:pPr>
      <w:r>
        <w:rPr>
          <w:rFonts w:hint="eastAsia"/>
        </w:rPr>
        <w:t>对市委、市政府的重大决策和重点工作，每周一调度、半月一汇总、每月一通报。下发督办通知</w:t>
      </w:r>
      <w:r>
        <w:t>8期，办结率达到100%；印发督办专</w:t>
      </w:r>
      <w:r>
        <w:rPr>
          <w:rFonts w:hint="eastAsia"/>
        </w:rPr>
        <w:t>报</w:t>
      </w:r>
      <w:r>
        <w:t>3期，督办通报2期；对市政府承诺民生实事、</w:t>
      </w:r>
      <w:r>
        <w:rPr>
          <w:rFonts w:hint="eastAsia"/>
        </w:rPr>
        <w:t>挂点联系企业、重点项目等重点工作进行联合督办</w:t>
      </w:r>
      <w:r>
        <w:t>2次；对城区及各镇（街道）违章建筑整治进行专</w:t>
      </w:r>
      <w:r>
        <w:rPr>
          <w:rFonts w:hint="eastAsia"/>
        </w:rPr>
        <w:t>项督办</w:t>
      </w:r>
      <w:r>
        <w:t>8次</w:t>
      </w:r>
      <w:r>
        <w:rPr>
          <w:rFonts w:hint="eastAsia"/>
          <w:lang w:eastAsia="zh-CN"/>
        </w:rPr>
        <w:t>。</w:t>
      </w:r>
    </w:p>
    <w:p w14:paraId="6950694D">
      <w:r>
        <w:rPr>
          <w:rFonts w:hint="eastAsia"/>
        </w:rPr>
        <w:t>对市十四届人大三次会议</w:t>
      </w:r>
      <w:r>
        <w:t>17件代表议案建议</w:t>
      </w:r>
      <w:r>
        <w:rPr>
          <w:rFonts w:hint="eastAsia"/>
        </w:rPr>
        <w:t>进行交办，通过限期反馈、现场督办等方式强化督</w:t>
      </w:r>
      <w:r>
        <w:rPr>
          <w:rFonts w:hint="eastAsia"/>
          <w:lang w:eastAsia="zh-CN"/>
        </w:rPr>
        <w:t>查</w:t>
      </w:r>
      <w:r>
        <w:rPr>
          <w:rFonts w:hint="eastAsia"/>
        </w:rPr>
        <w:t>，确保承办单位按时办复率、与代表见面率、代表满意率均达</w:t>
      </w:r>
      <w:r>
        <w:t>100%。</w:t>
      </w:r>
    </w:p>
    <w:p w14:paraId="67AE3FF1">
      <w:r>
        <w:rPr>
          <w:rFonts w:hint="eastAsia"/>
        </w:rPr>
        <w:t>完成</w:t>
      </w:r>
      <w:r>
        <w:t>2013年市人民政府承办的议案建议办理</w:t>
      </w:r>
      <w:r>
        <w:rPr>
          <w:rFonts w:hint="eastAsia"/>
        </w:rPr>
        <w:t>任务，答复各类议案建议</w:t>
      </w:r>
      <w:r>
        <w:t>6件（其中韶关市人大代</w:t>
      </w:r>
      <w:r>
        <w:rPr>
          <w:rFonts w:hint="eastAsia"/>
        </w:rPr>
        <w:t>表建议</w:t>
      </w:r>
      <w:r>
        <w:t>2件，本市人大代表议案1件、建议1件，</w:t>
      </w:r>
      <w:r>
        <w:rPr>
          <w:rFonts w:hint="eastAsia"/>
        </w:rPr>
        <w:t>“代表之声”论坛建议</w:t>
      </w:r>
      <w:r>
        <w:t>2件）。</w:t>
      </w:r>
    </w:p>
    <w:p w14:paraId="3561C733">
      <w:pPr>
        <w:rPr>
          <w:rFonts w:hint="eastAsia"/>
        </w:rPr>
      </w:pPr>
      <w:r>
        <w:rPr>
          <w:rFonts w:hint="eastAsia"/>
        </w:rPr>
        <w:t>做好群众来信来访的转办、接待工作，共转办来信来电</w:t>
      </w:r>
      <w:r>
        <w:t>215件（其中市长信箱3件，OA系统127</w:t>
      </w:r>
      <w:r>
        <w:rPr>
          <w:rFonts w:hint="eastAsia"/>
        </w:rPr>
        <w:t>件，韶关民声热线</w:t>
      </w:r>
      <w:r>
        <w:t>85件），接待上访人员69人</w:t>
      </w:r>
      <w:r>
        <w:rPr>
          <w:rFonts w:hint="eastAsia"/>
        </w:rPr>
        <w:t>（次）；四是切实做好本单位挂点联系服务企业和扶贫“双到”工作。</w:t>
      </w:r>
    </w:p>
    <w:p w14:paraId="590E3887">
      <w:pPr>
        <w:pStyle w:val="4"/>
        <w:bidi w:val="0"/>
        <w:rPr>
          <w:rFonts w:hint="eastAsia"/>
        </w:rPr>
      </w:pPr>
      <w:r>
        <w:rPr>
          <w:rFonts w:hint="eastAsia"/>
        </w:rPr>
        <w:t>【应急管理】</w:t>
      </w:r>
    </w:p>
    <w:p w14:paraId="2A0020D6">
      <w:r>
        <w:rPr>
          <w:rFonts w:hint="eastAsia"/>
        </w:rPr>
        <w:t>开展应急宣讲到基层活动，组织全市进行应急排</w:t>
      </w:r>
      <w:r>
        <w:rPr>
          <w:rFonts w:hint="eastAsia"/>
          <w:lang w:eastAsia="zh-CN"/>
        </w:rPr>
        <w:t>查</w:t>
      </w:r>
      <w:r>
        <w:rPr>
          <w:rFonts w:hint="eastAsia"/>
        </w:rPr>
        <w:t>和隐患排</w:t>
      </w:r>
      <w:r>
        <w:rPr>
          <w:rFonts w:hint="eastAsia"/>
          <w:lang w:eastAsia="zh-CN"/>
        </w:rPr>
        <w:t>查</w:t>
      </w:r>
      <w:r>
        <w:rPr>
          <w:rFonts w:hint="eastAsia"/>
        </w:rPr>
        <w:t>各</w:t>
      </w:r>
      <w:r>
        <w:t>2次。</w:t>
      </w:r>
    </w:p>
    <w:p w14:paraId="4403CEEE">
      <w:pPr>
        <w:pStyle w:val="4"/>
        <w:bidi w:val="0"/>
        <w:rPr>
          <w:rFonts w:hint="eastAsia"/>
        </w:rPr>
      </w:pPr>
      <w:r>
        <w:rPr>
          <w:rFonts w:hint="eastAsia"/>
        </w:rPr>
        <w:t>【人民防空】</w:t>
      </w:r>
    </w:p>
    <w:p w14:paraId="5F2AB131">
      <w:pPr>
        <w:rPr>
          <w:rFonts w:hint="eastAsia"/>
        </w:rPr>
      </w:pPr>
      <w:r>
        <w:rPr>
          <w:rFonts w:hint="eastAsia"/>
        </w:rPr>
        <w:t>收取防空地下室易地建设费</w:t>
      </w:r>
      <w:r>
        <w:t>678万</w:t>
      </w:r>
      <w:r>
        <w:rPr>
          <w:rFonts w:hint="eastAsia"/>
        </w:rPr>
        <w:t>元，加快建设地下人防设施，开展防空警报试鸣。</w:t>
      </w:r>
    </w:p>
    <w:p w14:paraId="6CF37318">
      <w:pPr>
        <w:jc w:val="right"/>
        <w:rPr>
          <w:rFonts w:hint="eastAsia"/>
          <w:b/>
          <w:bCs/>
          <w:lang w:eastAsia="zh-CN"/>
        </w:rPr>
      </w:pPr>
      <w:r>
        <w:rPr>
          <w:rFonts w:hint="eastAsia"/>
          <w:b/>
          <w:bCs/>
        </w:rPr>
        <w:t>（潘</w:t>
      </w:r>
      <w:r>
        <w:rPr>
          <w:rFonts w:hint="eastAsia"/>
          <w:b/>
          <w:bCs/>
          <w:lang w:val="en-US" w:eastAsia="zh-CN"/>
        </w:rPr>
        <w:t xml:space="preserve">  </w:t>
      </w:r>
      <w:r>
        <w:rPr>
          <w:rFonts w:hint="eastAsia"/>
          <w:b/>
          <w:bCs/>
        </w:rPr>
        <w:t>粤</w:t>
      </w:r>
      <w:r>
        <w:rPr>
          <w:rFonts w:hint="eastAsia"/>
          <w:b/>
          <w:bCs/>
          <w:lang w:eastAsia="zh-CN"/>
        </w:rPr>
        <w:t>）</w:t>
      </w:r>
    </w:p>
    <w:p w14:paraId="59B68D04">
      <w:pPr>
        <w:pStyle w:val="10"/>
        <w:bidi w:val="0"/>
        <w:rPr>
          <w:b/>
          <w:bCs/>
        </w:rPr>
      </w:pPr>
      <w:r>
        <w:rPr>
          <w:rFonts w:hint="eastAsia"/>
          <w:b/>
          <w:bCs/>
        </w:rPr>
        <w:t>附：</w:t>
      </w:r>
      <w:r>
        <w:rPr>
          <w:b/>
          <w:bCs/>
        </w:rPr>
        <w:t>2013年市政府办领导班子成员名单</w:t>
      </w:r>
    </w:p>
    <w:p w14:paraId="779267DE">
      <w:pPr>
        <w:pStyle w:val="10"/>
        <w:bidi w:val="0"/>
      </w:pPr>
      <w:r>
        <w:rPr>
          <w:rFonts w:hint="eastAsia"/>
          <w:b/>
          <w:bCs/>
        </w:rPr>
        <w:t>主</w:t>
      </w:r>
      <w:r>
        <w:rPr>
          <w:rFonts w:hint="eastAsia"/>
          <w:b/>
          <w:bCs/>
          <w:lang w:val="en-US" w:eastAsia="zh-CN"/>
        </w:rPr>
        <w:t xml:space="preserve">  </w:t>
      </w:r>
      <w:r>
        <w:rPr>
          <w:rFonts w:hint="eastAsia"/>
          <w:b/>
          <w:bCs/>
        </w:rPr>
        <w:t>任：</w:t>
      </w:r>
      <w:r>
        <w:rPr>
          <w:rFonts w:hint="eastAsia"/>
        </w:rPr>
        <w:t>周宏忠（任至</w:t>
      </w:r>
      <w:r>
        <w:t>12月）</w:t>
      </w:r>
    </w:p>
    <w:p w14:paraId="0C861066">
      <w:pPr>
        <w:pStyle w:val="10"/>
        <w:bidi w:val="0"/>
        <w:ind w:leftChars="400"/>
      </w:pPr>
      <w:r>
        <w:rPr>
          <w:rFonts w:hint="eastAsia"/>
        </w:rPr>
        <w:t>刘先辉（</w:t>
      </w:r>
      <w:r>
        <w:t>12月任）</w:t>
      </w:r>
    </w:p>
    <w:p w14:paraId="46199D9A">
      <w:pPr>
        <w:pStyle w:val="10"/>
        <w:bidi w:val="0"/>
        <w:rPr>
          <w:rFonts w:hint="eastAsia"/>
        </w:rPr>
      </w:pPr>
      <w:r>
        <w:rPr>
          <w:rFonts w:hint="eastAsia"/>
          <w:b/>
          <w:bCs/>
        </w:rPr>
        <w:t>政府中心纪检监察组长：</w:t>
      </w:r>
      <w:r>
        <w:rPr>
          <w:rFonts w:hint="eastAsia"/>
        </w:rPr>
        <w:t>梁斌</w:t>
      </w:r>
    </w:p>
    <w:p w14:paraId="33E81DE2">
      <w:pPr>
        <w:pStyle w:val="10"/>
        <w:bidi w:val="0"/>
        <w:rPr>
          <w:rFonts w:hint="eastAsia"/>
        </w:rPr>
      </w:pPr>
      <w:r>
        <w:rPr>
          <w:rFonts w:hint="eastAsia"/>
          <w:b/>
          <w:bCs/>
        </w:rPr>
        <w:t>副主任：</w:t>
      </w:r>
      <w:r>
        <w:rPr>
          <w:rFonts w:hint="eastAsia"/>
        </w:rPr>
        <w:t>曾</w:t>
      </w:r>
      <w:r>
        <w:rPr>
          <w:rFonts w:hint="eastAsia"/>
          <w:lang w:val="en-US" w:eastAsia="zh-CN"/>
        </w:rPr>
        <w:t xml:space="preserve">  </w:t>
      </w:r>
      <w:r>
        <w:rPr>
          <w:rFonts w:hint="eastAsia"/>
        </w:rPr>
        <w:t>炳</w:t>
      </w:r>
      <w:r>
        <w:rPr>
          <w:rFonts w:hint="eastAsia"/>
          <w:lang w:val="en-US" w:eastAsia="zh-CN"/>
        </w:rPr>
        <w:t xml:space="preserve">   </w:t>
      </w:r>
      <w:r>
        <w:rPr>
          <w:rFonts w:hint="eastAsia"/>
        </w:rPr>
        <w:t>刘光彬</w:t>
      </w:r>
      <w:r>
        <w:rPr>
          <w:rFonts w:hint="eastAsia"/>
          <w:lang w:val="en-US" w:eastAsia="zh-CN"/>
        </w:rPr>
        <w:t xml:space="preserve">   </w:t>
      </w:r>
      <w:r>
        <w:rPr>
          <w:rFonts w:hint="eastAsia"/>
        </w:rPr>
        <w:t>陈宝林</w:t>
      </w:r>
      <w:r>
        <w:rPr>
          <w:rFonts w:hint="eastAsia"/>
          <w:lang w:val="en-US" w:eastAsia="zh-CN"/>
        </w:rPr>
        <w:t xml:space="preserve">   </w:t>
      </w:r>
      <w:r>
        <w:rPr>
          <w:rFonts w:hint="eastAsia"/>
        </w:rPr>
        <w:t>钟爱莲</w:t>
      </w:r>
    </w:p>
    <w:p w14:paraId="46FB31BE">
      <w:pPr>
        <w:pStyle w:val="10"/>
        <w:bidi w:val="0"/>
        <w:ind w:leftChars="400"/>
      </w:pPr>
      <w:r>
        <w:rPr>
          <w:rFonts w:hint="eastAsia"/>
        </w:rPr>
        <w:t>陈志雄</w:t>
      </w:r>
      <w:r>
        <w:rPr>
          <w:rFonts w:hint="eastAsia"/>
          <w:lang w:val="en-US" w:eastAsia="zh-CN"/>
        </w:rPr>
        <w:t xml:space="preserve">   </w:t>
      </w:r>
      <w:r>
        <w:rPr>
          <w:rFonts w:hint="eastAsia"/>
        </w:rPr>
        <w:t>孔永明</w:t>
      </w:r>
      <w:r>
        <w:rPr>
          <w:rFonts w:hint="eastAsia"/>
          <w:lang w:val="en-US" w:eastAsia="zh-CN"/>
        </w:rPr>
        <w:t xml:space="preserve">   </w:t>
      </w:r>
      <w:r>
        <w:rPr>
          <w:rFonts w:hint="eastAsia"/>
        </w:rPr>
        <w:t>徐学辉（</w:t>
      </w:r>
      <w:r>
        <w:t>12月任）</w:t>
      </w:r>
    </w:p>
    <w:p w14:paraId="3774F103">
      <w:pPr>
        <w:pStyle w:val="10"/>
        <w:bidi w:val="0"/>
        <w:rPr>
          <w:rFonts w:hint="eastAsia"/>
        </w:rPr>
      </w:pPr>
      <w:r>
        <w:rPr>
          <w:rFonts w:hint="eastAsia"/>
          <w:b/>
          <w:bCs/>
        </w:rPr>
        <w:t>应急办主任：</w:t>
      </w:r>
      <w:r>
        <w:rPr>
          <w:rFonts w:hint="eastAsia"/>
        </w:rPr>
        <w:t>刘海标</w:t>
      </w:r>
    </w:p>
    <w:p w14:paraId="6F6984D8">
      <w:pPr>
        <w:pStyle w:val="3"/>
        <w:bidi w:val="0"/>
        <w:rPr>
          <w:rFonts w:hint="default"/>
          <w:lang w:val="en-US" w:eastAsia="zh-CN"/>
        </w:rPr>
      </w:pPr>
      <w:r>
        <w:rPr>
          <w:rFonts w:hint="eastAsia"/>
          <w:lang w:val="en-US" w:eastAsia="zh-CN"/>
        </w:rPr>
        <w:t>外事侨务</w:t>
      </w:r>
    </w:p>
    <w:p w14:paraId="48C27FB8">
      <w:pPr>
        <w:pStyle w:val="4"/>
        <w:bidi w:val="0"/>
        <w:rPr>
          <w:rFonts w:hint="eastAsia"/>
        </w:rPr>
      </w:pPr>
      <w:r>
        <w:rPr>
          <w:rFonts w:hint="eastAsia"/>
        </w:rPr>
        <w:t>【概况】</w:t>
      </w:r>
    </w:p>
    <w:p w14:paraId="130F6F83">
      <w:r>
        <w:rPr>
          <w:rFonts w:hint="eastAsia"/>
        </w:rPr>
        <w:t>南雄市外事侨务局，正科机构，为市政府工作部门，在市政府办公室挂牌，设</w:t>
      </w:r>
      <w:r>
        <w:t>2个内设机</w:t>
      </w:r>
      <w:r>
        <w:rPr>
          <w:rFonts w:hint="eastAsia"/>
        </w:rPr>
        <w:t>构：办公室、签证股，机关行政编制</w:t>
      </w:r>
      <w:r>
        <w:t>3名。其中局</w:t>
      </w:r>
      <w:r>
        <w:rPr>
          <w:rFonts w:hint="eastAsia"/>
        </w:rPr>
        <w:t>长</w:t>
      </w:r>
      <w:r>
        <w:t>1名，副局长1名，股长职数1名。</w:t>
      </w:r>
    </w:p>
    <w:p w14:paraId="70D1A2F4">
      <w:pPr>
        <w:pStyle w:val="4"/>
        <w:bidi w:val="0"/>
        <w:rPr>
          <w:rFonts w:hint="eastAsia"/>
        </w:rPr>
      </w:pPr>
      <w:r>
        <w:rPr>
          <w:rFonts w:hint="eastAsia"/>
        </w:rPr>
        <w:t>【签证工作】</w:t>
      </w:r>
    </w:p>
    <w:p w14:paraId="64C890DB">
      <w:r>
        <w:t>2013年，全市办理因公出境一批</w:t>
      </w:r>
      <w:r>
        <w:rPr>
          <w:rFonts w:hint="eastAsia"/>
          <w:lang w:eastAsia="zh-CN"/>
        </w:rPr>
        <w:t>，</w:t>
      </w:r>
      <w:r>
        <w:t>5人，出境签证17批次，23人次。</w:t>
      </w:r>
    </w:p>
    <w:p w14:paraId="009CE024">
      <w:pPr>
        <w:pStyle w:val="4"/>
        <w:bidi w:val="0"/>
        <w:rPr>
          <w:rFonts w:hint="eastAsia"/>
        </w:rPr>
      </w:pPr>
      <w:r>
        <w:rPr>
          <w:rFonts w:hint="eastAsia"/>
        </w:rPr>
        <w:t>【外事侨务工作】</w:t>
      </w:r>
    </w:p>
    <w:p w14:paraId="0A706352">
      <w:r>
        <w:rPr>
          <w:rFonts w:hint="eastAsia"/>
        </w:rPr>
        <w:t>一是加强海外社团、重点人士的沟通与联系。建立海外社团、重点人士联系图，利用节日通过电话、电子邮件和信函加强联系和沟通，通过常态的联系促进彼此的了解和感情。二是做到仔细热接待来访的海外团体（组织）及重点客人，固牢交往平台。</w:t>
      </w:r>
      <w:r>
        <w:t>2013年，接待韩国、美国、加</w:t>
      </w:r>
      <w:r>
        <w:rPr>
          <w:rFonts w:hint="eastAsia"/>
        </w:rPr>
        <w:t>拿大、澳大利亚等访问团，通过做好来访接待和服务工作，拓展联系交往的平台。三是参加海外华人华侨和港澳社团（宗亲）各类活动，丰富侨务资源。</w:t>
      </w:r>
      <w:r>
        <w:t>2013年，该局接待各类来访16批180人次。</w:t>
      </w:r>
    </w:p>
    <w:p w14:paraId="09F88CA6">
      <w:pPr>
        <w:pStyle w:val="4"/>
        <w:bidi w:val="0"/>
        <w:rPr>
          <w:rFonts w:hint="eastAsia"/>
        </w:rPr>
      </w:pPr>
      <w:r>
        <w:rPr>
          <w:rFonts w:hint="eastAsia"/>
        </w:rPr>
        <w:t>【友城工作】</w:t>
      </w:r>
    </w:p>
    <w:p w14:paraId="7AAAD0D8">
      <w:pPr>
        <w:rPr>
          <w:rFonts w:hint="eastAsia"/>
        </w:rPr>
      </w:pPr>
      <w:r>
        <w:t>2013年7月28日至8月6日，该市</w:t>
      </w:r>
      <w:r>
        <w:rPr>
          <w:rFonts w:hint="eastAsia"/>
        </w:rPr>
        <w:t>应澳大利亚高嘉华市的邀请，由韶关市副市长、南雄市委书记率南雄市政府代表团对高嘉华市进行回访，并签订《中华人民共和国南雄市与澳大利亚联邦新南威尔士州高嘉华市建立友好城市关系协议书》，</w:t>
      </w:r>
      <w:r>
        <w:t>2个隶属于不同国度的地区缔结为友好城市，</w:t>
      </w:r>
      <w:r>
        <w:rPr>
          <w:rFonts w:hint="eastAsia"/>
        </w:rPr>
        <w:t>是</w:t>
      </w:r>
      <w:r>
        <w:t>2地关系发展的一个新的里程碑，具有重要历史</w:t>
      </w:r>
      <w:r>
        <w:rPr>
          <w:rFonts w:hint="eastAsia"/>
        </w:rPr>
        <w:t>意义。</w:t>
      </w:r>
    </w:p>
    <w:p w14:paraId="4B3B6ECA">
      <w:pPr>
        <w:pStyle w:val="4"/>
        <w:bidi w:val="0"/>
        <w:rPr>
          <w:rFonts w:hint="eastAsia"/>
        </w:rPr>
      </w:pPr>
      <w:r>
        <w:rPr>
          <w:rFonts w:hint="eastAsia"/>
        </w:rPr>
        <w:t>【扶贫工作】</w:t>
      </w:r>
    </w:p>
    <w:p w14:paraId="31376626">
      <w:r>
        <w:t>2013年，争取省侨办扶持贫困归侨</w:t>
      </w:r>
      <w:r>
        <w:rPr>
          <w:rFonts w:hint="eastAsia"/>
        </w:rPr>
        <w:t>专项资金</w:t>
      </w:r>
      <w:r>
        <w:t>2万元，此项资金用于扶持贫困归侨补</w:t>
      </w:r>
      <w:r>
        <w:rPr>
          <w:rFonts w:hint="eastAsia"/>
        </w:rPr>
        <w:t>助，根据全市部分贫困归侨困难情况给予适当补助。合计发放省扶贫归侨专项资金</w:t>
      </w:r>
      <w:r>
        <w:t>2万元。</w:t>
      </w:r>
    </w:p>
    <w:p w14:paraId="4270DD7C">
      <w:pPr>
        <w:jc w:val="right"/>
        <w:rPr>
          <w:rFonts w:hint="eastAsia"/>
          <w:b/>
          <w:bCs/>
          <w:lang w:eastAsia="zh-CN"/>
        </w:rPr>
      </w:pPr>
      <w:r>
        <w:rPr>
          <w:rFonts w:hint="eastAsia"/>
          <w:b/>
          <w:bCs/>
        </w:rPr>
        <w:t>（肖秀华</w:t>
      </w:r>
      <w:r>
        <w:rPr>
          <w:rFonts w:hint="eastAsia"/>
          <w:b/>
          <w:bCs/>
          <w:lang w:eastAsia="zh-CN"/>
        </w:rPr>
        <w:t>）</w:t>
      </w:r>
    </w:p>
    <w:p w14:paraId="3FBD5D5E">
      <w:pPr>
        <w:pStyle w:val="10"/>
        <w:bidi w:val="0"/>
        <w:rPr>
          <w:b/>
          <w:bCs/>
        </w:rPr>
      </w:pPr>
      <w:r>
        <w:rPr>
          <w:rFonts w:hint="eastAsia"/>
          <w:b/>
          <w:bCs/>
        </w:rPr>
        <w:t>附：</w:t>
      </w:r>
      <w:r>
        <w:rPr>
          <w:b/>
          <w:bCs/>
        </w:rPr>
        <w:t>2013年市外事侨务局领导班子成员名单</w:t>
      </w:r>
    </w:p>
    <w:p w14:paraId="398BEBB9">
      <w:pPr>
        <w:pStyle w:val="10"/>
        <w:bidi w:val="0"/>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蔡</w:t>
      </w:r>
      <w:r>
        <w:rPr>
          <w:rFonts w:hint="eastAsia"/>
          <w:lang w:val="en-US" w:eastAsia="zh-CN"/>
        </w:rPr>
        <w:t xml:space="preserve">  </w:t>
      </w:r>
      <w:r>
        <w:rPr>
          <w:rFonts w:hint="eastAsia"/>
        </w:rPr>
        <w:t>富</w:t>
      </w:r>
    </w:p>
    <w:p w14:paraId="45C970CC">
      <w:pPr>
        <w:pStyle w:val="10"/>
        <w:bidi w:val="0"/>
        <w:rPr>
          <w:rFonts w:hint="eastAsia"/>
        </w:rPr>
      </w:pPr>
      <w:r>
        <w:rPr>
          <w:rFonts w:hint="eastAsia"/>
          <w:b/>
          <w:bCs/>
        </w:rPr>
        <w:t>副局长：</w:t>
      </w:r>
      <w:r>
        <w:rPr>
          <w:rFonts w:hint="eastAsia"/>
        </w:rPr>
        <w:t>肖秀华</w:t>
      </w:r>
    </w:p>
    <w:p w14:paraId="07FEC815">
      <w:pPr>
        <w:pStyle w:val="3"/>
        <w:bidi w:val="0"/>
        <w:rPr>
          <w:rFonts w:hint="default"/>
          <w:lang w:val="en-US" w:eastAsia="zh-CN"/>
        </w:rPr>
      </w:pPr>
      <w:r>
        <w:rPr>
          <w:rFonts w:hint="eastAsia"/>
          <w:lang w:val="en-US" w:eastAsia="zh-CN"/>
        </w:rPr>
        <w:t>机关事务</w:t>
      </w:r>
    </w:p>
    <w:p w14:paraId="5C1AE22D">
      <w:pPr>
        <w:pStyle w:val="4"/>
        <w:bidi w:val="0"/>
        <w:rPr>
          <w:rFonts w:hint="eastAsia"/>
        </w:rPr>
      </w:pPr>
      <w:r>
        <w:rPr>
          <w:rFonts w:hint="eastAsia"/>
        </w:rPr>
        <w:t>【概况】</w:t>
      </w:r>
    </w:p>
    <w:p w14:paraId="25717326">
      <w:pPr>
        <w:rPr>
          <w:rFonts w:hint="eastAsia"/>
        </w:rPr>
      </w:pPr>
      <w:r>
        <w:rPr>
          <w:rFonts w:hint="eastAsia"/>
        </w:rPr>
        <w:t>南雄市机关事务管理局是市政府直属正科级参照公务员管理事业单位。前身是南雄市机关事务中心，经市机构编制委员会讨论、同意，</w:t>
      </w:r>
      <w:r>
        <w:t>2013</w:t>
      </w:r>
      <w:r>
        <w:rPr>
          <w:rFonts w:hint="eastAsia"/>
        </w:rPr>
        <w:t>年</w:t>
      </w:r>
      <w:r>
        <w:t>3月6日更名为南雄市机关事务管理局。内设人</w:t>
      </w:r>
      <w:r>
        <w:rPr>
          <w:rFonts w:hint="eastAsia"/>
        </w:rPr>
        <w:t>秘股、财务股、物业管理股、保卫股、接待股，行政编制</w:t>
      </w:r>
      <w:r>
        <w:t>9人。直属单位有：市人民政府车队，事业</w:t>
      </w:r>
      <w:r>
        <w:rPr>
          <w:rFonts w:hint="eastAsia"/>
        </w:rPr>
        <w:t>编制</w:t>
      </w:r>
      <w:r>
        <w:t>36人；机关生活服务所，事业编制34人。机</w:t>
      </w:r>
      <w:r>
        <w:rPr>
          <w:rFonts w:hint="eastAsia"/>
        </w:rPr>
        <w:t>构人员经费由市财政核拨。</w:t>
      </w:r>
    </w:p>
    <w:p w14:paraId="2CF6A737">
      <w:pPr>
        <w:pStyle w:val="4"/>
        <w:bidi w:val="0"/>
        <w:rPr>
          <w:rFonts w:hint="eastAsia"/>
        </w:rPr>
      </w:pPr>
      <w:r>
        <w:rPr>
          <w:rFonts w:hint="eastAsia"/>
        </w:rPr>
        <w:t>【会议服务】</w:t>
      </w:r>
    </w:p>
    <w:p w14:paraId="764086E3">
      <w:pPr>
        <w:rPr>
          <w:rFonts w:hint="eastAsia"/>
        </w:rPr>
      </w:pPr>
      <w:r>
        <w:t>2013年接待市人代会、政协会议、</w:t>
      </w:r>
      <w:r>
        <w:rPr>
          <w:rFonts w:hint="eastAsia"/>
        </w:rPr>
        <w:t>党代会、市委全会、纪委全会等大小会议</w:t>
      </w:r>
      <w:r>
        <w:t>135场，</w:t>
      </w:r>
      <w:r>
        <w:rPr>
          <w:rFonts w:hint="eastAsia"/>
        </w:rPr>
        <w:t>人数约</w:t>
      </w:r>
      <w:r>
        <w:t>2万多人次。加强会务工作管理，分解落实</w:t>
      </w:r>
      <w:r>
        <w:rPr>
          <w:rFonts w:hint="eastAsia"/>
        </w:rPr>
        <w:t>任务，明确具体责任人，任务落实到个人，加强与各会议单位沟通协调，积极筹备，精心谋划，周密部署，确保会场布置、音响控制、卫生保洁、茶水供应等工作安全、顺利、有序，会务工作做到零差错。</w:t>
      </w:r>
    </w:p>
    <w:p w14:paraId="58CE8927">
      <w:pPr>
        <w:pStyle w:val="4"/>
        <w:bidi w:val="0"/>
        <w:rPr>
          <w:rFonts w:hint="eastAsia"/>
        </w:rPr>
      </w:pPr>
      <w:r>
        <w:rPr>
          <w:rFonts w:hint="eastAsia"/>
        </w:rPr>
        <w:t>【车辆管理】</w:t>
      </w:r>
    </w:p>
    <w:p w14:paraId="3A6C1AAC">
      <w:pPr>
        <w:rPr>
          <w:rFonts w:hint="eastAsia"/>
        </w:rPr>
      </w:pPr>
      <w:r>
        <w:rPr>
          <w:rFonts w:hint="eastAsia"/>
        </w:rPr>
        <w:t>执行中央八项规定，加强政府车队车辆管理，配合市纪委完成机关公车专项治理整顿工作，对全市公车使用情况进行摸</w:t>
      </w:r>
      <w:r>
        <w:rPr>
          <w:rFonts w:hint="eastAsia"/>
          <w:lang w:eastAsia="zh-CN"/>
        </w:rPr>
        <w:t>查</w:t>
      </w:r>
      <w:r>
        <w:rPr>
          <w:rFonts w:hint="eastAsia"/>
        </w:rPr>
        <w:t>、核实，对机关车辆建立“一车一档案”，规范完善车辆档案资料管理，禁止公车私用，规范车辆有序停放</w:t>
      </w:r>
      <w:r>
        <w:rPr>
          <w:rFonts w:hint="eastAsia"/>
          <w:lang w:eastAsia="zh-CN"/>
        </w:rPr>
        <w:t>；</w:t>
      </w:r>
      <w:r>
        <w:rPr>
          <w:rFonts w:hint="eastAsia"/>
        </w:rPr>
        <w:t>加强车辆安全管理，全年组织驾驶员学习培训</w:t>
      </w:r>
      <w:r>
        <w:t>12</w:t>
      </w:r>
      <w:r>
        <w:rPr>
          <w:rFonts w:hint="eastAsia"/>
        </w:rPr>
        <w:t>场次，以案例剖析等方式增强驾驶员安全行车意识，督促驾驶员认真维护保养车辆，及时排除机械事故隐患，对经常出现违章现象的驾驶员督促纠正。杜绝酒后驾车，克服麻痹思想和侥幸心理，时时做到安全警钟常鸣。完善奖罚制度，对于违反考勤制度和限油制度、交通规定制度的司机进行严格的处罚，对表现好、没有违反制度的司机通过民主评选为车队安全驾驶先进工作者。</w:t>
      </w:r>
    </w:p>
    <w:p w14:paraId="3DAB192E">
      <w:pPr>
        <w:pStyle w:val="4"/>
        <w:bidi w:val="0"/>
        <w:rPr>
          <w:rFonts w:hint="eastAsia"/>
        </w:rPr>
      </w:pPr>
      <w:r>
        <w:rPr>
          <w:rFonts w:hint="eastAsia"/>
        </w:rPr>
        <w:t>【安全保卫】</w:t>
      </w:r>
    </w:p>
    <w:p w14:paraId="6A4E7A8C">
      <w:pPr>
        <w:rPr>
          <w:rFonts w:hint="eastAsia"/>
          <w:lang w:eastAsia="zh-CN"/>
        </w:rPr>
      </w:pPr>
      <w:r>
        <w:rPr>
          <w:rFonts w:hint="eastAsia"/>
        </w:rPr>
        <w:t>加强保安培训和日常管理，按照相关的应急预案进行多次演练，全年协助市信访局有</w:t>
      </w:r>
      <w:r>
        <w:rPr>
          <w:rFonts w:hint="eastAsia"/>
          <w:lang w:val="en-US" w:eastAsia="zh-CN"/>
        </w:rPr>
        <w:t>效</w:t>
      </w:r>
      <w:r>
        <w:rPr>
          <w:rFonts w:hint="eastAsia"/>
        </w:rPr>
        <w:t>维持</w:t>
      </w:r>
      <w:r>
        <w:t>24次（20人以上）集体接访、156次（20</w:t>
      </w:r>
      <w:r>
        <w:rPr>
          <w:rFonts w:hint="eastAsia"/>
        </w:rPr>
        <w:t>人以下）接访的秩序，较好地维护市委、政府机关正常办公秩序</w:t>
      </w:r>
      <w:r>
        <w:rPr>
          <w:rFonts w:hint="eastAsia"/>
          <w:lang w:eastAsia="zh-CN"/>
        </w:rPr>
        <w:t>。</w:t>
      </w:r>
    </w:p>
    <w:p w14:paraId="342D4B28">
      <w:pPr>
        <w:pStyle w:val="4"/>
        <w:bidi w:val="0"/>
        <w:rPr>
          <w:rFonts w:hint="eastAsia"/>
        </w:rPr>
      </w:pPr>
      <w:r>
        <w:rPr>
          <w:rFonts w:hint="eastAsia"/>
        </w:rPr>
        <w:t>【环境卫生】</w:t>
      </w:r>
    </w:p>
    <w:p w14:paraId="0CAF012B">
      <w:r>
        <w:rPr>
          <w:rFonts w:hint="eastAsia"/>
        </w:rPr>
        <w:t>做好宣传发动工作，派发健康教育</w:t>
      </w:r>
      <w:r>
        <w:rPr>
          <w:rFonts w:hint="eastAsia"/>
          <w:lang w:eastAsia="zh-CN"/>
        </w:rPr>
        <w:t>、</w:t>
      </w:r>
      <w:r>
        <w:rPr>
          <w:rFonts w:hint="eastAsia"/>
        </w:rPr>
        <w:t>除“四害”、食品卫生、控烟等宣传资料</w:t>
      </w:r>
      <w:r>
        <w:t>600余份，</w:t>
      </w:r>
      <w:r>
        <w:rPr>
          <w:rFonts w:hint="eastAsia"/>
        </w:rPr>
        <w:t>在市政府机关大院张贴宣传海报</w:t>
      </w:r>
      <w:r>
        <w:t>30余张。开展环</w:t>
      </w:r>
      <w:r>
        <w:rPr>
          <w:rFonts w:hint="eastAsia"/>
        </w:rPr>
        <w:t>境卫生专项整治行动，组织市环卫所开展大型灭鼠灭蚊除害行动</w:t>
      </w:r>
      <w:r>
        <w:t>20余次，组织人员对公共环境范围</w:t>
      </w:r>
      <w:r>
        <w:rPr>
          <w:rFonts w:hint="eastAsia"/>
        </w:rPr>
        <w:t>排</w:t>
      </w:r>
      <w:r>
        <w:rPr>
          <w:rFonts w:hint="eastAsia"/>
          <w:lang w:eastAsia="zh-CN"/>
        </w:rPr>
        <w:t>查</w:t>
      </w:r>
      <w:r>
        <w:t>10次，清理沟渠、积水，清除楼道、天台的</w:t>
      </w:r>
      <w:r>
        <w:rPr>
          <w:rFonts w:hint="eastAsia"/>
        </w:rPr>
        <w:t>杂物，反复消杀公共环境卫生</w:t>
      </w:r>
      <w:r>
        <w:t>9万多平方米。</w:t>
      </w:r>
    </w:p>
    <w:p w14:paraId="0923804F">
      <w:pPr>
        <w:pStyle w:val="4"/>
        <w:bidi w:val="0"/>
        <w:rPr>
          <w:rFonts w:hint="eastAsia"/>
        </w:rPr>
      </w:pPr>
      <w:r>
        <w:rPr>
          <w:rFonts w:hint="eastAsia"/>
          <w:lang w:eastAsia="zh-CN"/>
        </w:rPr>
        <w:t>【</w:t>
      </w:r>
      <w:r>
        <w:rPr>
          <w:rFonts w:hint="eastAsia"/>
        </w:rPr>
        <w:t>绿化管理】</w:t>
      </w:r>
    </w:p>
    <w:p w14:paraId="0B5FC85C">
      <w:pPr>
        <w:rPr>
          <w:rFonts w:hint="eastAsia"/>
        </w:rPr>
      </w:pPr>
      <w:r>
        <w:rPr>
          <w:rFonts w:hint="eastAsia"/>
        </w:rPr>
        <w:t>定期对市政府机关大院各种观赏植物修剪、整形、美化和病虫害防治，进行室内盆景的更换、美化，对绿化植物设置植物名字提示牌等措施。定期对室内外绿化、时花进行更换及多次树苗补种。</w:t>
      </w:r>
    </w:p>
    <w:p w14:paraId="2853E19A">
      <w:pPr>
        <w:pStyle w:val="4"/>
        <w:bidi w:val="0"/>
        <w:rPr>
          <w:rFonts w:hint="eastAsia"/>
        </w:rPr>
      </w:pPr>
      <w:r>
        <w:rPr>
          <w:rFonts w:hint="eastAsia"/>
        </w:rPr>
        <w:t>【基建维修】</w:t>
      </w:r>
    </w:p>
    <w:p w14:paraId="7169A852">
      <w:r>
        <w:rPr>
          <w:rFonts w:hint="eastAsia"/>
        </w:rPr>
        <w:t>完成对市委大楼、市政府大楼、市人大政协大楼、南雄大会堂、信访局等机关大院大楼各项工程维修</w:t>
      </w:r>
      <w:r>
        <w:t>600余次，确保市委、政府等办公</w:t>
      </w:r>
      <w:r>
        <w:rPr>
          <w:rFonts w:hint="eastAsia"/>
        </w:rPr>
        <w:t>大楼的电力、供水、消防、空调等系统设备安全运行无事故。按照设备维保规范签订维保协议，协调专业公司为机关大院各系统设备提供有力保障。坚持工程人员</w:t>
      </w:r>
      <w:r>
        <w:t>24小时值班制，做好机关各类机电设</w:t>
      </w:r>
      <w:r>
        <w:rPr>
          <w:rFonts w:hint="eastAsia"/>
        </w:rPr>
        <w:t>备的运行服务工作，实行空调、消防、监控、安保、水电设备等维修项目“一条龙”服务，做到小修不过夜，维修响应率、成功率均达</w:t>
      </w:r>
      <w:r>
        <w:t>100%。</w:t>
      </w:r>
    </w:p>
    <w:p w14:paraId="682F32BD">
      <w:pPr>
        <w:pStyle w:val="4"/>
        <w:bidi w:val="0"/>
        <w:rPr>
          <w:rFonts w:hint="eastAsia"/>
        </w:rPr>
      </w:pPr>
      <w:r>
        <w:rPr>
          <w:rFonts w:hint="eastAsia"/>
        </w:rPr>
        <w:t>【接待工作】</w:t>
      </w:r>
    </w:p>
    <w:p w14:paraId="4E669691">
      <w:pPr>
        <w:rPr>
          <w:rFonts w:hint="eastAsia"/>
        </w:rPr>
      </w:pPr>
      <w:r>
        <w:t>2013年，完成接待任务76批次，1858人次。其中，接待省部级领导16批次，168</w:t>
      </w:r>
      <w:r>
        <w:rPr>
          <w:rFonts w:hint="eastAsia"/>
        </w:rPr>
        <w:t>人次；厅局级及以下的领导</w:t>
      </w:r>
      <w:r>
        <w:t>53批次，862人次；有</w:t>
      </w:r>
      <w:r>
        <w:rPr>
          <w:rFonts w:hint="eastAsia"/>
        </w:rPr>
        <w:t>中共中央政治局委员、广东省委书记胡春华，还有来该市考察的外来客商。</w:t>
      </w:r>
    </w:p>
    <w:p w14:paraId="65B54127">
      <w:pPr>
        <w:pStyle w:val="4"/>
        <w:bidi w:val="0"/>
        <w:rPr>
          <w:rFonts w:hint="eastAsia"/>
        </w:rPr>
      </w:pPr>
      <w:r>
        <w:rPr>
          <w:rFonts w:hint="eastAsia"/>
        </w:rPr>
        <w:t>【扶贫工作】</w:t>
      </w:r>
    </w:p>
    <w:p w14:paraId="138FA769">
      <w:r>
        <w:t>2013年，机关事务管理局挂钩帮扶</w:t>
      </w:r>
      <w:r>
        <w:rPr>
          <w:rFonts w:hint="eastAsia"/>
        </w:rPr>
        <w:t>珠玑镇长迳村的扶贫开发“双到”工作，投入扶贫开发资金</w:t>
      </w:r>
      <w:r>
        <w:t>4.75万元，争取县级扶贫资金3万元，</w:t>
      </w:r>
      <w:r>
        <w:rPr>
          <w:rFonts w:hint="eastAsia"/>
        </w:rPr>
        <w:t>贫困户人均纯收入达</w:t>
      </w:r>
      <w:r>
        <w:t>3340元，比上年增长14%。</w:t>
      </w:r>
    </w:p>
    <w:p w14:paraId="6BC0A6AB">
      <w:pPr>
        <w:jc w:val="right"/>
        <w:rPr>
          <w:rFonts w:hint="eastAsia"/>
          <w:b/>
          <w:bCs/>
        </w:rPr>
      </w:pPr>
      <w:r>
        <w:rPr>
          <w:rFonts w:hint="eastAsia"/>
          <w:b/>
          <w:bCs/>
          <w:lang w:eastAsia="zh-CN"/>
        </w:rPr>
        <w:t>（</w:t>
      </w:r>
      <w:r>
        <w:rPr>
          <w:rFonts w:hint="eastAsia"/>
          <w:b/>
          <w:bCs/>
        </w:rPr>
        <w:t>刘宏峰）</w:t>
      </w:r>
    </w:p>
    <w:p w14:paraId="709F356F">
      <w:pPr>
        <w:pStyle w:val="10"/>
        <w:bidi w:val="0"/>
        <w:rPr>
          <w:b/>
          <w:bCs/>
        </w:rPr>
      </w:pPr>
      <w:r>
        <w:rPr>
          <w:rFonts w:hint="eastAsia"/>
          <w:b/>
          <w:bCs/>
        </w:rPr>
        <w:t>附：</w:t>
      </w:r>
      <w:r>
        <w:rPr>
          <w:b/>
          <w:bCs/>
        </w:rPr>
        <w:t>2013年市机关事务管理局领导班子成员名单</w:t>
      </w:r>
    </w:p>
    <w:p w14:paraId="2EB29116">
      <w:pPr>
        <w:pStyle w:val="10"/>
        <w:bidi w:val="0"/>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邓昌忠</w:t>
      </w:r>
    </w:p>
    <w:p w14:paraId="7A6478E6">
      <w:pPr>
        <w:pStyle w:val="10"/>
        <w:bidi w:val="0"/>
        <w:rPr>
          <w:rFonts w:hint="eastAsia"/>
        </w:rPr>
      </w:pPr>
      <w:r>
        <w:rPr>
          <w:rFonts w:hint="eastAsia"/>
          <w:b/>
          <w:bCs/>
        </w:rPr>
        <w:t>副局长：</w:t>
      </w:r>
      <w:r>
        <w:rPr>
          <w:rFonts w:hint="eastAsia"/>
        </w:rPr>
        <w:t>温秀英</w:t>
      </w:r>
      <w:r>
        <w:rPr>
          <w:rFonts w:hint="eastAsia"/>
          <w:lang w:val="en-US" w:eastAsia="zh-CN"/>
        </w:rPr>
        <w:t xml:space="preserve">   </w:t>
      </w:r>
      <w:r>
        <w:rPr>
          <w:rFonts w:hint="eastAsia"/>
        </w:rPr>
        <w:t>陈川明</w:t>
      </w:r>
    </w:p>
    <w:p w14:paraId="1F1755A7">
      <w:pPr>
        <w:pStyle w:val="3"/>
        <w:bidi w:val="0"/>
        <w:rPr>
          <w:rFonts w:hint="default"/>
          <w:lang w:val="en-US" w:eastAsia="zh-CN"/>
        </w:rPr>
      </w:pPr>
      <w:r>
        <w:rPr>
          <w:rFonts w:hint="eastAsia"/>
          <w:lang w:val="en-US" w:eastAsia="zh-CN"/>
        </w:rPr>
        <w:t>档案工作</w:t>
      </w:r>
    </w:p>
    <w:p w14:paraId="4C464D41">
      <w:pPr>
        <w:pStyle w:val="4"/>
        <w:bidi w:val="0"/>
        <w:rPr>
          <w:rFonts w:hint="eastAsia"/>
        </w:rPr>
      </w:pPr>
      <w:r>
        <w:rPr>
          <w:rFonts w:hint="eastAsia"/>
        </w:rPr>
        <w:t>【概况】</w:t>
      </w:r>
    </w:p>
    <w:p w14:paraId="6F723299">
      <w:pPr>
        <w:rPr>
          <w:rFonts w:hint="eastAsia"/>
        </w:rPr>
      </w:pPr>
      <w:r>
        <w:rPr>
          <w:rFonts w:hint="eastAsia"/>
        </w:rPr>
        <w:t>南雄市档案局（馆）大楼坐落在市政府大院内，总建筑面积</w:t>
      </w:r>
      <w:r>
        <w:t>1185.96平方米，是市人民政</w:t>
      </w:r>
      <w:r>
        <w:rPr>
          <w:rFonts w:hint="eastAsia"/>
        </w:rPr>
        <w:t>府负责全市档案事业行政管理和档案保管利用工作的正科级事业单位。档案局与市档案馆实行局馆合</w:t>
      </w:r>
      <w:r>
        <w:rPr>
          <w:rFonts w:hint="eastAsia"/>
          <w:lang w:val="en-US" w:eastAsia="zh-CN"/>
        </w:rPr>
        <w:t>一</w:t>
      </w:r>
      <w:r>
        <w:rPr>
          <w:rFonts w:hint="eastAsia"/>
        </w:rPr>
        <w:t>体制，内设人秘股、业务指导股、档案管理股三个股室，定事业编制</w:t>
      </w:r>
      <w:r>
        <w:t>6名。至2013年底，局（馆）</w:t>
      </w:r>
      <w:r>
        <w:rPr>
          <w:rFonts w:hint="eastAsia"/>
        </w:rPr>
        <w:t>实有工作人员</w:t>
      </w:r>
      <w:r>
        <w:t>10人。其中，局（馆）长1人，副</w:t>
      </w:r>
      <w:r>
        <w:rPr>
          <w:rFonts w:hint="eastAsia"/>
        </w:rPr>
        <w:t>局（馆）长</w:t>
      </w:r>
      <w:r>
        <w:t>1人、其他工作人员6人、社会购买档</w:t>
      </w:r>
      <w:r>
        <w:rPr>
          <w:rFonts w:hint="eastAsia"/>
        </w:rPr>
        <w:t>案服务人员</w:t>
      </w:r>
      <w:r>
        <w:t>2名。南雄市档案局（馆）是省一级档</w:t>
      </w:r>
      <w:r>
        <w:rPr>
          <w:rFonts w:hint="eastAsia"/>
        </w:rPr>
        <w:t>案馆，也是南雄市集档案保管利用、爱国主义教育基地、青少年教育基地、现行文件阅览、政府公开信息</w:t>
      </w:r>
      <w:r>
        <w:rPr>
          <w:rFonts w:hint="eastAsia"/>
          <w:lang w:eastAsia="zh-CN"/>
        </w:rPr>
        <w:t>查</w:t>
      </w:r>
      <w:r>
        <w:rPr>
          <w:rFonts w:hint="eastAsia"/>
        </w:rPr>
        <w:t>阅中心、展览厅、旅游参观点等为一体的，多功能综合性档案馆。</w:t>
      </w:r>
    </w:p>
    <w:p w14:paraId="1A5DB00C">
      <w:pPr>
        <w:pStyle w:val="4"/>
        <w:bidi w:val="0"/>
        <w:rPr>
          <w:rFonts w:hint="eastAsia"/>
        </w:rPr>
      </w:pPr>
      <w:r>
        <w:rPr>
          <w:rFonts w:hint="eastAsia"/>
        </w:rPr>
        <w:t>【档案资源建设】</w:t>
      </w:r>
    </w:p>
    <w:p w14:paraId="5C94B543">
      <w:pPr>
        <w:rPr>
          <w:rFonts w:hint="eastAsia"/>
        </w:rPr>
      </w:pPr>
      <w:r>
        <w:rPr>
          <w:rFonts w:hint="eastAsia"/>
        </w:rPr>
        <w:t>南雄市档案馆馆藏档案至</w:t>
      </w:r>
      <w:r>
        <w:t>2013</w:t>
      </w:r>
      <w:r>
        <w:rPr>
          <w:rFonts w:hint="eastAsia"/>
        </w:rPr>
        <w:t>年止，有档案全宗</w:t>
      </w:r>
      <w:r>
        <w:t>130个，馆藏总量为54420卷5285件5816张968盘，包括文书档案、科技档案</w:t>
      </w:r>
      <w:r>
        <w:rPr>
          <w:rFonts w:hint="eastAsia"/>
          <w:lang w:eastAsia="zh-CN"/>
        </w:rPr>
        <w:t>、</w:t>
      </w:r>
      <w:r>
        <w:rPr>
          <w:rFonts w:hint="eastAsia"/>
        </w:rPr>
        <w:t>专门档案、声像档案、实物档案等</w:t>
      </w:r>
      <w:r>
        <w:t>7个大类的档</w:t>
      </w:r>
      <w:r>
        <w:rPr>
          <w:rFonts w:hint="eastAsia"/>
        </w:rPr>
        <w:t>案，总排架长</w:t>
      </w:r>
      <w:r>
        <w:t>762米。有志史资料、书籍、报刊期</w:t>
      </w:r>
      <w:r>
        <w:rPr>
          <w:rFonts w:hint="eastAsia"/>
        </w:rPr>
        <w:t>刊等各类资料</w:t>
      </w:r>
      <w:r>
        <w:t>67种，6200册。接收到各单位移交</w:t>
      </w:r>
      <w:r>
        <w:rPr>
          <w:rFonts w:hint="eastAsia"/>
        </w:rPr>
        <w:t>档案电子目录总量案卷级</w:t>
      </w:r>
      <w:r>
        <w:t>5.4万条，文件级44</w:t>
      </w:r>
      <w:r>
        <w:rPr>
          <w:rFonts w:hint="eastAsia"/>
        </w:rPr>
        <w:t>万条。</w:t>
      </w:r>
    </w:p>
    <w:p w14:paraId="57FD32C2">
      <w:pPr>
        <w:pStyle w:val="4"/>
        <w:bidi w:val="0"/>
        <w:rPr>
          <w:rFonts w:hint="eastAsia"/>
        </w:rPr>
      </w:pPr>
      <w:r>
        <w:rPr>
          <w:rFonts w:hint="eastAsia"/>
        </w:rPr>
        <w:t>【整理归档与档案接收】</w:t>
      </w:r>
    </w:p>
    <w:p w14:paraId="134B210D">
      <w:r>
        <w:rPr>
          <w:rFonts w:hint="eastAsia"/>
        </w:rPr>
        <w:t>从</w:t>
      </w:r>
      <w:r>
        <w:t>2013年4月1日开</w:t>
      </w:r>
      <w:r>
        <w:rPr>
          <w:rFonts w:hint="eastAsia"/>
        </w:rPr>
        <w:t>始，至</w:t>
      </w:r>
      <w:r>
        <w:t>5月31日止，分3批集中市直各单位、各镇</w:t>
      </w:r>
      <w:r>
        <w:rPr>
          <w:rFonts w:hint="eastAsia"/>
        </w:rPr>
        <w:t>档案员，到档案馆进行</w:t>
      </w:r>
      <w:r>
        <w:t>2012年度档案材料的整理</w:t>
      </w:r>
      <w:r>
        <w:rPr>
          <w:rFonts w:hint="eastAsia"/>
        </w:rPr>
        <w:t>归档和电子目录的输入等工作。有</w:t>
      </w:r>
      <w:r>
        <w:t>118个单位的档</w:t>
      </w:r>
      <w:r>
        <w:rPr>
          <w:rFonts w:hint="eastAsia"/>
        </w:rPr>
        <w:t>案员参加了集中整理归档，至</w:t>
      </w:r>
      <w:r>
        <w:t>12月份止，整理档</w:t>
      </w:r>
      <w:r>
        <w:rPr>
          <w:rFonts w:hint="eastAsia"/>
        </w:rPr>
        <w:t>案</w:t>
      </w:r>
      <w:r>
        <w:t>24卷又16956件。2013年该馆接收到各单位移</w:t>
      </w:r>
      <w:r>
        <w:rPr>
          <w:rFonts w:hint="eastAsia"/>
        </w:rPr>
        <w:t>交进馆各类档案</w:t>
      </w:r>
      <w:r>
        <w:t>1162卷1080件60张1盘，其中文</w:t>
      </w:r>
      <w:r>
        <w:rPr>
          <w:rFonts w:hint="eastAsia"/>
        </w:rPr>
        <w:t>书档案</w:t>
      </w:r>
      <w:r>
        <w:t>648卷1080件、专门档案511卷、基建档案3卷、照片档案60张、光碟1盘，接收到各单位移</w:t>
      </w:r>
      <w:r>
        <w:rPr>
          <w:rFonts w:hint="eastAsia"/>
        </w:rPr>
        <w:t>交档案电子目录案卷级</w:t>
      </w:r>
      <w:r>
        <w:t>1159条，文件级20647条。</w:t>
      </w:r>
    </w:p>
    <w:p w14:paraId="1C7C1546">
      <w:pPr>
        <w:pStyle w:val="4"/>
        <w:bidi w:val="0"/>
        <w:rPr>
          <w:rFonts w:hint="eastAsia"/>
        </w:rPr>
      </w:pPr>
      <w:r>
        <w:rPr>
          <w:rFonts w:hint="eastAsia"/>
        </w:rPr>
        <w:t>【档案服务利用】</w:t>
      </w:r>
    </w:p>
    <w:p w14:paraId="6F741BEF">
      <w:pPr>
        <w:rPr>
          <w:rFonts w:hint="eastAsia"/>
        </w:rPr>
      </w:pPr>
      <w:r>
        <w:t>2013年，该馆做好档案服务利</w:t>
      </w:r>
      <w:r>
        <w:rPr>
          <w:rFonts w:hint="eastAsia"/>
        </w:rPr>
        <w:t>用工作，接待各类</w:t>
      </w:r>
      <w:r>
        <w:rPr>
          <w:rFonts w:hint="eastAsia"/>
          <w:lang w:eastAsia="zh-CN"/>
        </w:rPr>
        <w:t>查</w:t>
      </w:r>
      <w:r>
        <w:rPr>
          <w:rFonts w:hint="eastAsia"/>
        </w:rPr>
        <w:t>档人员</w:t>
      </w:r>
      <w:r>
        <w:t>897人次，</w:t>
      </w:r>
      <w:r>
        <w:rPr>
          <w:rFonts w:hint="eastAsia"/>
          <w:lang w:eastAsia="zh-CN"/>
        </w:rPr>
        <w:t>查</w:t>
      </w:r>
      <w:r>
        <w:t>阅各类档</w:t>
      </w:r>
      <w:r>
        <w:rPr>
          <w:rFonts w:hint="eastAsia"/>
        </w:rPr>
        <w:t>案</w:t>
      </w:r>
      <w:r>
        <w:t>7</w:t>
      </w:r>
      <w:r>
        <w:rPr>
          <w:rFonts w:hint="eastAsia"/>
          <w:lang w:val="en-US" w:eastAsia="zh-CN"/>
        </w:rPr>
        <w:t>3</w:t>
      </w:r>
      <w:r>
        <w:t>3卷（册），为南雄市经济建设、招商引资、</w:t>
      </w:r>
      <w:r>
        <w:rPr>
          <w:rFonts w:hint="eastAsia"/>
        </w:rPr>
        <w:t>林权改革、土地征用、各类山林、土地、房屋纠纷解决等提供大量真实有效凭证材料。</w:t>
      </w:r>
    </w:p>
    <w:p w14:paraId="639816CA">
      <w:pPr>
        <w:pStyle w:val="4"/>
        <w:bidi w:val="0"/>
        <w:rPr>
          <w:rFonts w:hint="eastAsia"/>
        </w:rPr>
      </w:pPr>
      <w:r>
        <w:rPr>
          <w:rFonts w:hint="eastAsia"/>
          <w:lang w:eastAsia="zh-CN"/>
        </w:rPr>
        <w:t>【</w:t>
      </w:r>
      <w:r>
        <w:rPr>
          <w:rFonts w:hint="eastAsia"/>
        </w:rPr>
        <w:t>政府公开信息材料的接收管理】</w:t>
      </w:r>
    </w:p>
    <w:p w14:paraId="77781ED3">
      <w:r>
        <w:t>2013年，做好</w:t>
      </w:r>
      <w:r>
        <w:rPr>
          <w:rFonts w:hint="eastAsia"/>
        </w:rPr>
        <w:t>各单位政府公开信息材料的接受、管理和</w:t>
      </w:r>
      <w:r>
        <w:rPr>
          <w:rFonts w:hint="eastAsia"/>
          <w:lang w:eastAsia="zh-CN"/>
        </w:rPr>
        <w:t>查</w:t>
      </w:r>
      <w:r>
        <w:rPr>
          <w:rFonts w:hint="eastAsia"/>
        </w:rPr>
        <w:t>阅利用工作，做到专人专管、交接有序，并及时做好政府公开信息材料的统计和上报工作，至</w:t>
      </w:r>
      <w:r>
        <w:t>12月份止，</w:t>
      </w:r>
      <w:r>
        <w:rPr>
          <w:rFonts w:hint="eastAsia"/>
        </w:rPr>
        <w:t>该馆接收到各单位交来政府公开信息材料</w:t>
      </w:r>
      <w:r>
        <w:t>1636份。</w:t>
      </w:r>
    </w:p>
    <w:p w14:paraId="671C7B55">
      <w:pPr>
        <w:pStyle w:val="4"/>
        <w:bidi w:val="0"/>
        <w:rPr>
          <w:rFonts w:hint="eastAsia"/>
        </w:rPr>
      </w:pPr>
      <w:r>
        <w:rPr>
          <w:rFonts w:hint="eastAsia"/>
        </w:rPr>
        <w:t>【村（居）委会档案由镇代管工作】</w:t>
      </w:r>
    </w:p>
    <w:p w14:paraId="111C9DCC">
      <w:pPr>
        <w:rPr>
          <w:rFonts w:hint="eastAsia"/>
        </w:rPr>
      </w:pPr>
      <w:r>
        <w:t>2013年7月5日组织召开全市村（居）委会档案由镇（街道）</w:t>
      </w:r>
      <w:r>
        <w:rPr>
          <w:rFonts w:hint="eastAsia"/>
        </w:rPr>
        <w:t>代管工作动员大会，同时抽调业务人员对</w:t>
      </w:r>
      <w:r>
        <w:t>18个镇</w:t>
      </w:r>
      <w:r>
        <w:rPr>
          <w:rFonts w:hint="eastAsia"/>
          <w:lang w:eastAsia="zh-CN"/>
        </w:rPr>
        <w:t>（</w:t>
      </w:r>
      <w:r>
        <w:rPr>
          <w:rFonts w:hint="eastAsia"/>
        </w:rPr>
        <w:t>街道）</w:t>
      </w:r>
      <w:r>
        <w:t>232个村（居）委会约400多名档案人员</w:t>
      </w:r>
      <w:r>
        <w:rPr>
          <w:rFonts w:hint="eastAsia"/>
        </w:rPr>
        <w:t>进行集中培训，并申请政府拨出专款</w:t>
      </w:r>
      <w:r>
        <w:t>25万多元</w:t>
      </w:r>
      <w:r>
        <w:rPr>
          <w:rFonts w:hint="eastAsia"/>
          <w:lang w:eastAsia="zh-CN"/>
        </w:rPr>
        <w:t>，</w:t>
      </w:r>
      <w:r>
        <w:rPr>
          <w:rFonts w:hint="eastAsia"/>
        </w:rPr>
        <w:t>购置</w:t>
      </w:r>
      <w:r>
        <w:t>268只档案柜和36只档案目录柜统一配备到</w:t>
      </w:r>
      <w:r>
        <w:rPr>
          <w:rFonts w:hint="eastAsia"/>
        </w:rPr>
        <w:t>各镇（街道），还组织专人巡回对</w:t>
      </w:r>
      <w:r>
        <w:t>18个镇（街道）</w:t>
      </w:r>
      <w:r>
        <w:rPr>
          <w:rFonts w:hint="eastAsia"/>
        </w:rPr>
        <w:t>开展工作情况进行检</w:t>
      </w:r>
      <w:r>
        <w:rPr>
          <w:rFonts w:hint="eastAsia"/>
          <w:lang w:eastAsia="zh-CN"/>
        </w:rPr>
        <w:t>查</w:t>
      </w:r>
      <w:r>
        <w:rPr>
          <w:rFonts w:hint="eastAsia"/>
        </w:rPr>
        <w:t>督促和业务指导。由于该局工作措施落实到位，南雄市村（居）委会档案由镇（街道）代管工作进展顺利，并取得实质性的成效。</w:t>
      </w:r>
    </w:p>
    <w:p w14:paraId="54F47237">
      <w:pPr>
        <w:jc w:val="right"/>
        <w:rPr>
          <w:rFonts w:hint="eastAsia"/>
          <w:b/>
          <w:bCs/>
        </w:rPr>
      </w:pPr>
      <w:r>
        <w:rPr>
          <w:rFonts w:hint="eastAsia"/>
          <w:b/>
          <w:bCs/>
        </w:rPr>
        <w:t>（钟凌华）</w:t>
      </w:r>
    </w:p>
    <w:p w14:paraId="0D3B6CFC">
      <w:pPr>
        <w:pStyle w:val="10"/>
        <w:bidi w:val="0"/>
        <w:rPr>
          <w:b/>
          <w:bCs/>
        </w:rPr>
      </w:pPr>
      <w:r>
        <w:rPr>
          <w:rFonts w:hint="eastAsia"/>
          <w:b/>
          <w:bCs/>
        </w:rPr>
        <w:t>附：</w:t>
      </w:r>
      <w:r>
        <w:rPr>
          <w:b/>
          <w:bCs/>
        </w:rPr>
        <w:t>2013年市档案局领导班子成员名单</w:t>
      </w:r>
    </w:p>
    <w:p w14:paraId="3C3A4AA8">
      <w:pPr>
        <w:pStyle w:val="10"/>
        <w:bidi w:val="0"/>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李应军</w:t>
      </w:r>
    </w:p>
    <w:p w14:paraId="12D44A72">
      <w:pPr>
        <w:pStyle w:val="10"/>
        <w:bidi w:val="0"/>
        <w:rPr>
          <w:rFonts w:hint="eastAsia"/>
        </w:rPr>
      </w:pPr>
      <w:r>
        <w:rPr>
          <w:rFonts w:hint="eastAsia"/>
          <w:b/>
          <w:bCs/>
        </w:rPr>
        <w:t>副局长：</w:t>
      </w:r>
      <w:r>
        <w:rPr>
          <w:rFonts w:hint="eastAsia"/>
        </w:rPr>
        <w:t>叶呈发</w:t>
      </w:r>
    </w:p>
    <w:p w14:paraId="780B4D96">
      <w:pPr>
        <w:pStyle w:val="3"/>
        <w:bidi w:val="0"/>
        <w:rPr>
          <w:rFonts w:hint="default"/>
          <w:lang w:val="en-US" w:eastAsia="zh-CN"/>
        </w:rPr>
      </w:pPr>
      <w:r>
        <w:rPr>
          <w:rFonts w:hint="eastAsia"/>
          <w:lang w:val="en-US" w:eastAsia="zh-CN"/>
        </w:rPr>
        <w:t>行政服务</w:t>
      </w:r>
    </w:p>
    <w:p w14:paraId="2FA93E5B">
      <w:pPr>
        <w:pStyle w:val="4"/>
        <w:bidi w:val="0"/>
        <w:rPr>
          <w:rFonts w:hint="eastAsia"/>
        </w:rPr>
      </w:pPr>
      <w:r>
        <w:rPr>
          <w:rFonts w:hint="eastAsia"/>
        </w:rPr>
        <w:t>【概况】</w:t>
      </w:r>
    </w:p>
    <w:p w14:paraId="1A8063F0">
      <w:pPr>
        <w:rPr>
          <w:rFonts w:hint="eastAsia"/>
        </w:rPr>
      </w:pPr>
      <w:r>
        <w:t>2013年，中心紧紧围绕市委、市政府的</w:t>
      </w:r>
      <w:r>
        <w:rPr>
          <w:rFonts w:hint="eastAsia"/>
        </w:rPr>
        <w:t>工作部署，深入贯彻落实党的十八大精神，以深化行政审批制度改革为动力，打造优质、高效、廉洁的行政服务平台，在窗口管理、信息公开、便民服务、招商引资、网上办事分厅建设和公开资源交易中心组建等方面均取得显著成绩。</w:t>
      </w:r>
      <w:r>
        <w:t>3月，中心被南</w:t>
      </w:r>
      <w:r>
        <w:rPr>
          <w:rFonts w:hint="eastAsia"/>
        </w:rPr>
        <w:t>雄市委、市政府评为南雄市</w:t>
      </w:r>
      <w:r>
        <w:t>2012年度挂点联系企</w:t>
      </w:r>
      <w:r>
        <w:rPr>
          <w:rFonts w:hint="eastAsia"/>
        </w:rPr>
        <w:t>业工作先进单位；</w:t>
      </w:r>
      <w:r>
        <w:t>5月，被韶关市行政服务中心授</w:t>
      </w:r>
      <w:r>
        <w:rPr>
          <w:rFonts w:hint="eastAsia"/>
        </w:rPr>
        <w:t>予</w:t>
      </w:r>
      <w:r>
        <w:t>2012-—2013年度“示范中心”称号。全年受理</w:t>
      </w:r>
      <w:r>
        <w:rPr>
          <w:rFonts w:hint="eastAsia"/>
        </w:rPr>
        <w:t>办件</w:t>
      </w:r>
      <w:r>
        <w:t>43967件，办结率100%，收取各类税费6913</w:t>
      </w:r>
      <w:r>
        <w:rPr>
          <w:rFonts w:hint="eastAsia"/>
        </w:rPr>
        <w:t>多万元。</w:t>
      </w:r>
    </w:p>
    <w:p w14:paraId="53D074AD">
      <w:pPr>
        <w:pStyle w:val="4"/>
        <w:bidi w:val="0"/>
        <w:rPr>
          <w:rFonts w:hint="eastAsia"/>
        </w:rPr>
      </w:pPr>
      <w:r>
        <w:rPr>
          <w:rFonts w:hint="eastAsia"/>
        </w:rPr>
        <w:t>【窗口管理服务】</w:t>
      </w:r>
    </w:p>
    <w:p w14:paraId="15261399">
      <w:pPr>
        <w:rPr>
          <w:rFonts w:hint="eastAsia"/>
          <w:lang w:eastAsia="zh-CN"/>
        </w:rPr>
      </w:pPr>
      <w:r>
        <w:rPr>
          <w:rFonts w:hint="eastAsia"/>
        </w:rPr>
        <w:t>深化改革，创新管理，以服务群众为宗旨打造阳光政务服务窗口。一是全面建设“文明窗口”。以“说文明话，办文明事，做文明人”的行为规范，提出“好事快办、急事急办、特事特办，让群众满意、让政府放心”的服务承诺。二是注重服务举措创新，实现窗口服务效能化。开辟“绿色通道”，实行网上登记和预约登记，推行“一审一核”工作法</w:t>
      </w:r>
      <w:r>
        <w:rPr>
          <w:rFonts w:hint="eastAsia"/>
          <w:lang w:eastAsia="zh-CN"/>
        </w:rPr>
        <w:t>。</w:t>
      </w:r>
    </w:p>
    <w:p w14:paraId="44421756">
      <w:pPr>
        <w:pStyle w:val="4"/>
        <w:bidi w:val="0"/>
        <w:rPr>
          <w:rFonts w:hint="eastAsia"/>
        </w:rPr>
      </w:pPr>
      <w:r>
        <w:rPr>
          <w:rFonts w:hint="eastAsia"/>
        </w:rPr>
        <w:t>【政府信息公开】</w:t>
      </w:r>
    </w:p>
    <w:p w14:paraId="4AAB3D16">
      <w:pPr>
        <w:rPr>
          <w:rFonts w:hint="eastAsia"/>
        </w:rPr>
      </w:pPr>
      <w:r>
        <w:rPr>
          <w:rFonts w:hint="eastAsia"/>
        </w:rPr>
        <w:t>夯实基础，强化监督，以扎实作风做好全市政府信息公开工作。一是加大公开力度，完善公开形式。中心从开会部署、日常培训、规范运行等各方面入手，提升信息公开工作和职能工作的效率和质量。二是健全规章制度，规范运行管理。三是强化学习培训，提高工作效能。</w:t>
      </w:r>
      <w:r>
        <w:t>4月，中心对政府信</w:t>
      </w:r>
      <w:r>
        <w:rPr>
          <w:rFonts w:hint="eastAsia"/>
        </w:rPr>
        <w:t>息公开的重要意义、基本内容、相关保密知识、编制信息公开指南目录等相关技能进行培训。</w:t>
      </w:r>
    </w:p>
    <w:p w14:paraId="466B3E6A">
      <w:pPr>
        <w:pStyle w:val="4"/>
        <w:bidi w:val="0"/>
        <w:rPr>
          <w:rFonts w:hint="eastAsia"/>
        </w:rPr>
      </w:pPr>
      <w:r>
        <w:rPr>
          <w:rFonts w:hint="eastAsia"/>
        </w:rPr>
        <w:t>【镇村便民服务】</w:t>
      </w:r>
    </w:p>
    <w:p w14:paraId="2B8F4451">
      <w:pPr>
        <w:rPr>
          <w:rFonts w:hint="eastAsia"/>
          <w:lang w:eastAsia="zh-CN"/>
        </w:rPr>
      </w:pPr>
      <w:r>
        <w:rPr>
          <w:rFonts w:hint="eastAsia"/>
        </w:rPr>
        <w:t>因地制宜，整合资源，以高效为民强力推进全市便民服务建设工作。按照省、市要求，充分借鉴该市“招商引资”一站式办理相关审批手续打造“南雄服务”的成功经验，结合农村基层实际，齐抓共管，多措并举，推进该市镇、村便民服务平台建设。</w:t>
      </w:r>
      <w:r>
        <w:t>2013年，全市已投入资金450</w:t>
      </w:r>
      <w:r>
        <w:rPr>
          <w:rFonts w:hint="eastAsia"/>
        </w:rPr>
        <w:t>多万元，</w:t>
      </w:r>
      <w:r>
        <w:t>18个镇（街道）便民服务中心建设全面</w:t>
      </w:r>
      <w:r>
        <w:rPr>
          <w:rFonts w:hint="eastAsia"/>
        </w:rPr>
        <w:t>完成，村级便民服务站完成</w:t>
      </w:r>
      <w:r>
        <w:t>70个，实现“大厅运</w:t>
      </w:r>
      <w:r>
        <w:rPr>
          <w:rFonts w:hint="eastAsia"/>
        </w:rPr>
        <w:t>作、集中办公”、“一站式”的便民服务</w:t>
      </w:r>
      <w:r>
        <w:rPr>
          <w:rFonts w:hint="eastAsia"/>
          <w:lang w:eastAsia="zh-CN"/>
        </w:rPr>
        <w:t>。</w:t>
      </w:r>
    </w:p>
    <w:p w14:paraId="01C6BDFE">
      <w:pPr>
        <w:pStyle w:val="4"/>
        <w:bidi w:val="0"/>
        <w:rPr>
          <w:rFonts w:hint="eastAsia"/>
        </w:rPr>
      </w:pPr>
      <w:r>
        <w:rPr>
          <w:rFonts w:hint="eastAsia"/>
        </w:rPr>
        <w:t>【招商引资服务】</w:t>
      </w:r>
    </w:p>
    <w:p w14:paraId="76173AB3">
      <w:pPr>
        <w:rPr>
          <w:rFonts w:hint="eastAsia"/>
        </w:rPr>
      </w:pPr>
      <w:r>
        <w:rPr>
          <w:rFonts w:hint="eastAsia"/>
        </w:rPr>
        <w:t>抓住重点，强化服务，以务实行动全力做好招商引资服务工作。将招商引资项目服务与“面向基层、整顿作风、服务群众”、“上看天气、下接地气”、“马上办”等活动紧密结合起来，紧紧围绕全市经济社会发展方向，把“预约服务、延时服务、跟踪服务、限时服务、上门服务、驻场服务”作为重点，深入到康绿宝、阳普医疗</w:t>
      </w:r>
      <w:r>
        <w:rPr>
          <w:rFonts w:hint="eastAsia"/>
          <w:lang w:eastAsia="zh-CN"/>
        </w:rPr>
        <w:t>、</w:t>
      </w:r>
      <w:r>
        <w:rPr>
          <w:rFonts w:hint="eastAsia"/>
        </w:rPr>
        <w:t>衡光化工、伟明化工、旭日化工等企业开展工作调研，听取企业意见建议，帮助解决实际问题。</w:t>
      </w:r>
    </w:p>
    <w:p w14:paraId="262EDA87">
      <w:pPr>
        <w:pStyle w:val="4"/>
        <w:bidi w:val="0"/>
        <w:rPr>
          <w:rFonts w:hint="eastAsia"/>
        </w:rPr>
      </w:pPr>
      <w:r>
        <w:rPr>
          <w:rFonts w:hint="eastAsia"/>
        </w:rPr>
        <w:t>【网上办事分厅】</w:t>
      </w:r>
    </w:p>
    <w:p w14:paraId="304EAB5F">
      <w:r>
        <w:rPr>
          <w:rFonts w:hint="eastAsia"/>
        </w:rPr>
        <w:t>统筹协调，攻坚克难，以方便群众为目标推进全市网上办事分厅建设工作。市政府高度重视，拨款</w:t>
      </w:r>
      <w:r>
        <w:t>46万多元，用于网上办事分厅</w:t>
      </w:r>
      <w:r>
        <w:rPr>
          <w:rFonts w:hint="eastAsia"/>
        </w:rPr>
        <w:t>建设工作。成立网上办事分厅建设工作领导小组，印发《南雄市网上办事分厅建设工作方案》，召开网上办事分厅建设工作会议，举办“南雄市网上办事分厅审批系统培训班”。通过录</w:t>
      </w:r>
      <w:r>
        <w:rPr>
          <w:rFonts w:hint="eastAsia"/>
          <w:lang w:val="en-US" w:eastAsia="zh-CN"/>
        </w:rPr>
        <w:t>入</w:t>
      </w:r>
      <w:r>
        <w:rPr>
          <w:rFonts w:hint="eastAsia"/>
        </w:rPr>
        <w:t>、核</w:t>
      </w:r>
      <w:r>
        <w:rPr>
          <w:rFonts w:hint="eastAsia"/>
          <w:lang w:eastAsia="zh-CN"/>
        </w:rPr>
        <w:t>查</w:t>
      </w:r>
      <w:r>
        <w:rPr>
          <w:rFonts w:hint="eastAsia"/>
        </w:rPr>
        <w:t>、修正</w:t>
      </w:r>
      <w:r>
        <w:rPr>
          <w:rFonts w:hint="eastAsia"/>
          <w:lang w:eastAsia="zh-CN"/>
        </w:rPr>
        <w:t>、</w:t>
      </w:r>
      <w:r>
        <w:rPr>
          <w:rFonts w:hint="eastAsia"/>
        </w:rPr>
        <w:t>确认四个阶段，于</w:t>
      </w:r>
      <w:r>
        <w:t>10月底，完成全市网上办事分</w:t>
      </w:r>
      <w:r>
        <w:rPr>
          <w:rFonts w:hint="eastAsia"/>
        </w:rPr>
        <w:t>厅建设工作。该市网上办事分厅进驻单位</w:t>
      </w:r>
      <w:r>
        <w:t>53个，</w:t>
      </w:r>
      <w:r>
        <w:rPr>
          <w:rFonts w:hint="eastAsia"/>
        </w:rPr>
        <w:t>服务事项</w:t>
      </w:r>
      <w:r>
        <w:t>633项，单位进驻率和事项进驻率达</w:t>
      </w:r>
      <w:r>
        <w:rPr>
          <w:rFonts w:hint="eastAsia"/>
        </w:rPr>
        <w:t>到</w:t>
      </w:r>
      <w:r>
        <w:t>100%。</w:t>
      </w:r>
    </w:p>
    <w:p w14:paraId="6128756D">
      <w:pPr>
        <w:pStyle w:val="4"/>
        <w:bidi w:val="0"/>
        <w:rPr>
          <w:rFonts w:hint="eastAsia"/>
        </w:rPr>
      </w:pPr>
      <w:r>
        <w:rPr>
          <w:rFonts w:hint="eastAsia"/>
          <w:lang w:eastAsia="zh-CN"/>
        </w:rPr>
        <w:t>【</w:t>
      </w:r>
      <w:r>
        <w:rPr>
          <w:rFonts w:hint="eastAsia"/>
        </w:rPr>
        <w:t>公共资源交易】</w:t>
      </w:r>
    </w:p>
    <w:p w14:paraId="44FAFC4E">
      <w:pPr>
        <w:rPr>
          <w:rFonts w:hint="eastAsia"/>
        </w:rPr>
      </w:pPr>
      <w:r>
        <w:rPr>
          <w:rFonts w:hint="eastAsia"/>
        </w:rPr>
        <w:t>统一思想，规范运行，以廉洁为民组建公共资源交易中心。一是加快体制改革，拓展公共资源交易领域。</w:t>
      </w:r>
      <w:r>
        <w:t>4至6月，开展组建公共</w:t>
      </w:r>
      <w:r>
        <w:rPr>
          <w:rFonts w:hint="eastAsia"/>
        </w:rPr>
        <w:t>资源交易中心专题调研和部署工作，按照“一委</w:t>
      </w:r>
      <w:r>
        <w:rPr>
          <w:rFonts w:hint="eastAsia"/>
          <w:lang w:val="en-US" w:eastAsia="zh-CN"/>
        </w:rPr>
        <w:t>一</w:t>
      </w:r>
      <w:r>
        <w:rPr>
          <w:rFonts w:hint="eastAsia"/>
        </w:rPr>
        <w:t>办一中心”架构组建市公共资源交易市场管理体制。</w:t>
      </w:r>
      <w:r>
        <w:t>7月1日，公共资源交易中心正式挂牌成立。</w:t>
      </w:r>
      <w:r>
        <w:rPr>
          <w:rFonts w:hint="eastAsia"/>
        </w:rPr>
        <w:t>二是建立健全制度，完善交易中心管理。制定交易中心内部管理制度，推进交易中心工作的规范有序运行。三是规范程序，实现“阳光交易”。引入纪委、检察院、人大政协、社会公众等监督力量，努力做到“过程阳光、细节阳光、全程阳光”。</w:t>
      </w:r>
    </w:p>
    <w:p w14:paraId="711B26B5">
      <w:pPr>
        <w:pStyle w:val="4"/>
        <w:bidi w:val="0"/>
        <w:rPr>
          <w:rFonts w:hint="eastAsia"/>
        </w:rPr>
      </w:pPr>
      <w:r>
        <w:rPr>
          <w:rFonts w:hint="eastAsia"/>
        </w:rPr>
        <w:t>【其它行政服务】</w:t>
      </w:r>
    </w:p>
    <w:p w14:paraId="6B2E8328">
      <w:r>
        <w:rPr>
          <w:rFonts w:hint="eastAsia"/>
        </w:rPr>
        <w:t>提升品质，扎实服务，推进各项事业全面发展。一是抓好党风廉政建设责任制，推进惩治和预防腐败体系建设，坚决履行中央八项规定，落实“一岗双责”，推进廉洁自律和作风建设，开展“廉洁南雄”创建活动；二是不加强</w:t>
      </w:r>
      <w:r>
        <w:rPr>
          <w:rFonts w:hint="eastAsia"/>
          <w:lang w:val="en-US" w:eastAsia="zh-CN"/>
        </w:rPr>
        <w:t>计</w:t>
      </w:r>
      <w:r>
        <w:rPr>
          <w:rFonts w:hint="eastAsia"/>
        </w:rPr>
        <w:t>生管理，落实计生政策；三是组织开展政府信息公开保密审</w:t>
      </w:r>
      <w:r>
        <w:rPr>
          <w:rFonts w:hint="eastAsia"/>
          <w:lang w:eastAsia="zh-CN"/>
        </w:rPr>
        <w:t>查</w:t>
      </w:r>
      <w:r>
        <w:rPr>
          <w:rFonts w:hint="eastAsia"/>
        </w:rPr>
        <w:t>专项检</w:t>
      </w:r>
      <w:r>
        <w:rPr>
          <w:rFonts w:hint="eastAsia"/>
          <w:lang w:eastAsia="zh-CN"/>
        </w:rPr>
        <w:t>查</w:t>
      </w:r>
      <w:r>
        <w:rPr>
          <w:rFonts w:hint="eastAsia"/>
        </w:rPr>
        <w:t>，做好保密工作；四是推进扶贫双到工作，中心通过多方筹集资金，落实有关措施，帮扶古市镇溪口村脱贫致富。全年投入帮扶资金</w:t>
      </w:r>
      <w:r>
        <w:t>6900多元，实现溪口村农村人均纯收入8450元，</w:t>
      </w:r>
      <w:r>
        <w:rPr>
          <w:rFonts w:hint="eastAsia"/>
        </w:rPr>
        <w:t>比上年增长</w:t>
      </w:r>
      <w:r>
        <w:t>15%。</w:t>
      </w:r>
    </w:p>
    <w:p w14:paraId="483E42E2">
      <w:pPr>
        <w:jc w:val="right"/>
        <w:rPr>
          <w:rFonts w:hint="eastAsia"/>
          <w:b/>
          <w:bCs/>
        </w:rPr>
      </w:pPr>
      <w:r>
        <w:rPr>
          <w:rFonts w:hint="eastAsia"/>
          <w:b/>
          <w:bCs/>
          <w:lang w:eastAsia="zh-CN"/>
        </w:rPr>
        <w:t>（</w:t>
      </w:r>
      <w:r>
        <w:rPr>
          <w:rFonts w:hint="eastAsia"/>
          <w:b/>
          <w:bCs/>
        </w:rPr>
        <w:t>叶新亮）</w:t>
      </w:r>
    </w:p>
    <w:p w14:paraId="5F335EF9">
      <w:pPr>
        <w:pStyle w:val="10"/>
        <w:bidi w:val="0"/>
        <w:rPr>
          <w:b/>
          <w:bCs/>
        </w:rPr>
      </w:pPr>
      <w:r>
        <w:rPr>
          <w:rFonts w:hint="eastAsia"/>
          <w:b/>
          <w:bCs/>
        </w:rPr>
        <w:t>附：</w:t>
      </w:r>
      <w:r>
        <w:rPr>
          <w:b/>
          <w:bCs/>
        </w:rPr>
        <w:t>2013年市行政服务中心领导班子成员名单</w:t>
      </w:r>
    </w:p>
    <w:p w14:paraId="7399D46D">
      <w:pPr>
        <w:pStyle w:val="10"/>
        <w:bidi w:val="0"/>
      </w:pPr>
      <w:r>
        <w:rPr>
          <w:rFonts w:hint="eastAsia"/>
          <w:b/>
          <w:bCs/>
        </w:rPr>
        <w:t>主</w:t>
      </w:r>
      <w:r>
        <w:rPr>
          <w:rFonts w:hint="eastAsia"/>
          <w:b/>
          <w:bCs/>
          <w:lang w:val="en-US" w:eastAsia="zh-CN"/>
        </w:rPr>
        <w:t xml:space="preserve">  </w:t>
      </w:r>
      <w:r>
        <w:rPr>
          <w:rFonts w:hint="eastAsia"/>
          <w:b/>
          <w:bCs/>
        </w:rPr>
        <w:t>任：</w:t>
      </w:r>
      <w:r>
        <w:rPr>
          <w:rFonts w:hint="eastAsia"/>
        </w:rPr>
        <w:t>刘先辉（任至</w:t>
      </w:r>
      <w:r>
        <w:t>12月）</w:t>
      </w:r>
    </w:p>
    <w:p w14:paraId="3428215E">
      <w:pPr>
        <w:pStyle w:val="10"/>
        <w:bidi w:val="0"/>
        <w:rPr>
          <w:rFonts w:hint="eastAsia"/>
        </w:rPr>
      </w:pPr>
      <w:r>
        <w:rPr>
          <w:rFonts w:hint="eastAsia"/>
          <w:b/>
          <w:bCs/>
        </w:rPr>
        <w:t>副主任：</w:t>
      </w:r>
      <w:r>
        <w:rPr>
          <w:rFonts w:hint="eastAsia"/>
        </w:rPr>
        <w:t>蔡先锋</w:t>
      </w:r>
      <w:r>
        <w:rPr>
          <w:rFonts w:hint="eastAsia"/>
          <w:lang w:val="en-US" w:eastAsia="zh-CN"/>
        </w:rPr>
        <w:t xml:space="preserve">   </w:t>
      </w:r>
      <w:r>
        <w:rPr>
          <w:rFonts w:hint="eastAsia"/>
        </w:rPr>
        <w:t>何庆雄</w:t>
      </w:r>
      <w:r>
        <w:rPr>
          <w:rFonts w:hint="eastAsia"/>
          <w:lang w:val="en-US" w:eastAsia="zh-CN"/>
        </w:rPr>
        <w:t xml:space="preserve">   </w:t>
      </w:r>
      <w:r>
        <w:rPr>
          <w:rFonts w:hint="eastAsia"/>
        </w:rPr>
        <w:t>姚</w:t>
      </w:r>
      <w:r>
        <w:rPr>
          <w:rFonts w:hint="eastAsia"/>
          <w:lang w:val="en-US" w:eastAsia="zh-CN"/>
        </w:rPr>
        <w:t xml:space="preserve">  </w:t>
      </w:r>
      <w:r>
        <w:rPr>
          <w:rFonts w:hint="eastAsia"/>
        </w:rPr>
        <w:t>璟</w:t>
      </w:r>
    </w:p>
    <w:p w14:paraId="57BD6C8F">
      <w:pPr>
        <w:pStyle w:val="3"/>
        <w:bidi w:val="0"/>
        <w:rPr>
          <w:rFonts w:hint="default"/>
          <w:lang w:val="en-US" w:eastAsia="zh-CN"/>
        </w:rPr>
      </w:pPr>
      <w:r>
        <w:rPr>
          <w:rFonts w:hint="eastAsia"/>
          <w:lang w:val="en-US" w:eastAsia="zh-CN"/>
        </w:rPr>
        <w:t>法制工作</w:t>
      </w:r>
    </w:p>
    <w:p w14:paraId="40B2AB5A">
      <w:pPr>
        <w:pStyle w:val="4"/>
        <w:bidi w:val="0"/>
        <w:rPr>
          <w:rFonts w:hint="eastAsia"/>
        </w:rPr>
      </w:pPr>
      <w:r>
        <w:rPr>
          <w:rFonts w:hint="eastAsia"/>
          <w:lang w:eastAsia="zh-CN"/>
        </w:rPr>
        <w:t>【</w:t>
      </w:r>
      <w:r>
        <w:rPr>
          <w:rFonts w:hint="eastAsia"/>
        </w:rPr>
        <w:t>机构设置】</w:t>
      </w:r>
    </w:p>
    <w:p w14:paraId="484625F4">
      <w:r>
        <w:rPr>
          <w:rFonts w:hint="eastAsia"/>
        </w:rPr>
        <w:t>南雄市人民政府法制局，正科级建制，在市政府办公室挂牌，设</w:t>
      </w:r>
      <w:r>
        <w:t>3个内设机构：行政</w:t>
      </w:r>
      <w:r>
        <w:rPr>
          <w:rFonts w:hint="eastAsia"/>
        </w:rPr>
        <w:t>复议应诉股、行政执法协调股、法律事务股。行政编制</w:t>
      </w:r>
      <w:r>
        <w:t>5名，其中局长1名、副局长1名；股长2名。</w:t>
      </w:r>
    </w:p>
    <w:p w14:paraId="397B502A">
      <w:pPr>
        <w:pStyle w:val="4"/>
        <w:bidi w:val="0"/>
        <w:rPr>
          <w:rFonts w:hint="eastAsia"/>
        </w:rPr>
      </w:pPr>
      <w:r>
        <w:rPr>
          <w:rFonts w:hint="eastAsia"/>
        </w:rPr>
        <w:t>【规范性文件管理】</w:t>
      </w:r>
    </w:p>
    <w:p w14:paraId="4213C554">
      <w:pPr>
        <w:rPr>
          <w:rFonts w:hint="eastAsia"/>
        </w:rPr>
      </w:pPr>
      <w:r>
        <w:t>2013年，法制局共审核各单</w:t>
      </w:r>
      <w:r>
        <w:rPr>
          <w:rFonts w:hint="eastAsia"/>
        </w:rPr>
        <w:t>位送审的拟以市政府或市政</w:t>
      </w:r>
      <w:r>
        <w:rPr>
          <w:rFonts w:hint="eastAsia"/>
          <w:lang w:val="en-US" w:eastAsia="zh-CN"/>
        </w:rPr>
        <w:t>府</w:t>
      </w:r>
      <w:r>
        <w:rPr>
          <w:rFonts w:hint="eastAsia"/>
        </w:rPr>
        <w:t>办公室名义发布的文件</w:t>
      </w:r>
      <w:r>
        <w:t>19件；及时上报2件政府规范性文件到韶关市</w:t>
      </w:r>
      <w:r>
        <w:rPr>
          <w:rFonts w:hint="eastAsia"/>
        </w:rPr>
        <w:t>政府及南雄市人大常委会备案审</w:t>
      </w:r>
      <w:r>
        <w:rPr>
          <w:rFonts w:hint="eastAsia"/>
          <w:lang w:eastAsia="zh-CN"/>
        </w:rPr>
        <w:t>查</w:t>
      </w:r>
      <w:r>
        <w:rPr>
          <w:rFonts w:hint="eastAsia"/>
        </w:rPr>
        <w:t>。对该市</w:t>
      </w:r>
      <w:r>
        <w:t>24件</w:t>
      </w:r>
      <w:r>
        <w:rPr>
          <w:rFonts w:hint="eastAsia"/>
        </w:rPr>
        <w:t>部门规范性文件予以备案登记。</w:t>
      </w:r>
    </w:p>
    <w:p w14:paraId="0A2B0D80">
      <w:pPr>
        <w:pStyle w:val="4"/>
        <w:bidi w:val="0"/>
        <w:rPr>
          <w:rFonts w:hint="eastAsia"/>
        </w:rPr>
      </w:pPr>
      <w:r>
        <w:rPr>
          <w:rFonts w:hint="eastAsia"/>
        </w:rPr>
        <w:t>【行政复议】</w:t>
      </w:r>
    </w:p>
    <w:p w14:paraId="1DE716EE">
      <w:r>
        <w:rPr>
          <w:rFonts w:hint="eastAsia"/>
        </w:rPr>
        <w:t>市政府接到行政复议案件申请</w:t>
      </w:r>
      <w:r>
        <w:t>6宗，</w:t>
      </w:r>
      <w:r>
        <w:rPr>
          <w:rFonts w:hint="eastAsia"/>
        </w:rPr>
        <w:t>其中立案受理</w:t>
      </w:r>
      <w:r>
        <w:t>5宗，经调解当事人撤回申请1宗。</w:t>
      </w:r>
      <w:r>
        <w:rPr>
          <w:rFonts w:hint="eastAsia"/>
        </w:rPr>
        <w:t>经审理，维持</w:t>
      </w:r>
      <w:r>
        <w:t>1宗，撤销1宗，正在审理3宗。</w:t>
      </w:r>
    </w:p>
    <w:p w14:paraId="6657D082">
      <w:pPr>
        <w:pStyle w:val="4"/>
        <w:bidi w:val="0"/>
        <w:rPr>
          <w:rFonts w:hint="eastAsia"/>
        </w:rPr>
      </w:pPr>
      <w:r>
        <w:rPr>
          <w:rFonts w:hint="eastAsia"/>
        </w:rPr>
        <w:t>【行政裁决和应诉工作】</w:t>
      </w:r>
    </w:p>
    <w:p w14:paraId="24748775">
      <w:r>
        <w:rPr>
          <w:rFonts w:hint="eastAsia"/>
        </w:rPr>
        <w:t>审</w:t>
      </w:r>
      <w:r>
        <w:rPr>
          <w:rFonts w:hint="eastAsia"/>
          <w:lang w:eastAsia="zh-CN"/>
        </w:rPr>
        <w:t>查</w:t>
      </w:r>
      <w:r>
        <w:rPr>
          <w:rFonts w:hint="eastAsia"/>
        </w:rPr>
        <w:t>办理行政裁决案件</w:t>
      </w:r>
      <w:r>
        <w:t>18宗，其中作出行政裁决和行政处理决定15宗，</w:t>
      </w:r>
      <w:r>
        <w:rPr>
          <w:rFonts w:hint="eastAsia"/>
        </w:rPr>
        <w:t>退回补充调</w:t>
      </w:r>
      <w:r>
        <w:rPr>
          <w:rFonts w:hint="eastAsia"/>
          <w:lang w:eastAsia="zh-CN"/>
        </w:rPr>
        <w:t>查</w:t>
      </w:r>
      <w:r>
        <w:t>3宗。参与行政复议应诉7宗，参与</w:t>
      </w:r>
      <w:r>
        <w:rPr>
          <w:rFonts w:hint="eastAsia"/>
        </w:rPr>
        <w:t>行政诉讼应诉</w:t>
      </w:r>
      <w:r>
        <w:t>3宗。</w:t>
      </w:r>
    </w:p>
    <w:p w14:paraId="42DE6B08">
      <w:pPr>
        <w:pStyle w:val="4"/>
        <w:bidi w:val="0"/>
        <w:rPr>
          <w:rFonts w:hint="eastAsia"/>
        </w:rPr>
      </w:pPr>
      <w:r>
        <w:rPr>
          <w:rFonts w:hint="eastAsia"/>
        </w:rPr>
        <w:t>【行政执法协调】</w:t>
      </w:r>
    </w:p>
    <w:p w14:paraId="305BDC5A">
      <w:pPr>
        <w:rPr>
          <w:rFonts w:hint="eastAsia"/>
        </w:rPr>
      </w:pPr>
      <w:r>
        <w:rPr>
          <w:rFonts w:hint="eastAsia"/>
        </w:rPr>
        <w:t>为国土资源局、城管局等执法部门进行执法指导</w:t>
      </w:r>
      <w:r>
        <w:t>17宗。办理行政执法证换发92</w:t>
      </w:r>
      <w:r>
        <w:rPr>
          <w:rFonts w:hint="eastAsia"/>
        </w:rPr>
        <w:t>件，注销旧证</w:t>
      </w:r>
      <w:r>
        <w:t>18件。会同市纪委在全市具有行政</w:t>
      </w:r>
      <w:r>
        <w:rPr>
          <w:rFonts w:hint="eastAsia"/>
        </w:rPr>
        <w:t>处罚职能</w:t>
      </w:r>
      <w:r>
        <w:t>30个市直单位开展规范行政处罚自由裁</w:t>
      </w:r>
      <w:r>
        <w:rPr>
          <w:rFonts w:hint="eastAsia"/>
        </w:rPr>
        <w:t>量权工作。联合法院行政庭对城管局等执法部门进行法律培训。</w:t>
      </w:r>
    </w:p>
    <w:p w14:paraId="5EBD2670">
      <w:pPr>
        <w:pStyle w:val="4"/>
        <w:bidi w:val="0"/>
        <w:rPr>
          <w:rFonts w:hint="eastAsia"/>
        </w:rPr>
      </w:pPr>
      <w:r>
        <w:rPr>
          <w:rFonts w:hint="eastAsia"/>
        </w:rPr>
        <w:t>【政府法律顾</w:t>
      </w:r>
      <w:r>
        <w:rPr>
          <w:rFonts w:hint="eastAsia"/>
          <w:lang w:val="en-US" w:eastAsia="zh-CN"/>
        </w:rPr>
        <w:t>问</w:t>
      </w:r>
      <w:r>
        <w:rPr>
          <w:rFonts w:hint="eastAsia"/>
        </w:rPr>
        <w:t>】</w:t>
      </w:r>
    </w:p>
    <w:p w14:paraId="32CD1C4A">
      <w:r>
        <w:rPr>
          <w:rFonts w:hint="eastAsia"/>
        </w:rPr>
        <w:t>为政府重大决策、经济管理和社会事务及其他法律事务提供法律意见</w:t>
      </w:r>
      <w:r>
        <w:t>30多件</w:t>
      </w:r>
      <w:r>
        <w:rPr>
          <w:rFonts w:hint="eastAsia"/>
          <w:lang w:eastAsia="zh-CN"/>
        </w:rPr>
        <w:t>。</w:t>
      </w:r>
      <w:r>
        <w:rPr>
          <w:rFonts w:hint="eastAsia"/>
        </w:rPr>
        <w:t>为房管所、全安镇等</w:t>
      </w:r>
      <w:r>
        <w:t>31个部门、单位提供法律咨</w:t>
      </w:r>
      <w:r>
        <w:rPr>
          <w:rFonts w:hint="eastAsia"/>
        </w:rPr>
        <w:t>询意见</w:t>
      </w:r>
      <w:r>
        <w:t>158件。</w:t>
      </w:r>
    </w:p>
    <w:p w14:paraId="17564E60">
      <w:pPr>
        <w:pStyle w:val="4"/>
        <w:bidi w:val="0"/>
        <w:rPr>
          <w:rFonts w:hint="eastAsia"/>
        </w:rPr>
      </w:pPr>
      <w:r>
        <w:rPr>
          <w:rFonts w:hint="eastAsia"/>
        </w:rPr>
        <w:t>【协调及群众来信来访】</w:t>
      </w:r>
    </w:p>
    <w:p w14:paraId="58251250">
      <w:r>
        <w:rPr>
          <w:rFonts w:hint="eastAsia"/>
        </w:rPr>
        <w:t>参与铁路征地猪场拆迁补偿等社会各项事务的协调处理工作</w:t>
      </w:r>
      <w:r>
        <w:t>27宗次；共</w:t>
      </w:r>
      <w:r>
        <w:rPr>
          <w:rFonts w:hint="eastAsia"/>
        </w:rPr>
        <w:t>接待和解答群众法律咨询和来信来访</w:t>
      </w:r>
      <w:r>
        <w:t>40多件，接</w:t>
      </w:r>
      <w:r>
        <w:rPr>
          <w:rFonts w:hint="eastAsia"/>
        </w:rPr>
        <w:t>访</w:t>
      </w:r>
      <w:r>
        <w:t>140多人次。</w:t>
      </w:r>
    </w:p>
    <w:p w14:paraId="11ACC53F">
      <w:pPr>
        <w:pStyle w:val="4"/>
        <w:bidi w:val="0"/>
        <w:rPr>
          <w:rFonts w:hint="eastAsia"/>
        </w:rPr>
      </w:pPr>
      <w:r>
        <w:rPr>
          <w:rFonts w:hint="eastAsia"/>
          <w:lang w:eastAsia="zh-CN"/>
        </w:rPr>
        <w:t>【</w:t>
      </w:r>
      <w:r>
        <w:rPr>
          <w:rFonts w:hint="eastAsia"/>
        </w:rPr>
        <w:t>合同审核】</w:t>
      </w:r>
    </w:p>
    <w:p w14:paraId="0392197E">
      <w:pPr>
        <w:rPr>
          <w:rFonts w:hint="eastAsia"/>
        </w:rPr>
      </w:pPr>
      <w:r>
        <w:rPr>
          <w:rFonts w:hint="eastAsia"/>
        </w:rPr>
        <w:t>审核奥配山塘建设承包合同等招商引资合同</w:t>
      </w:r>
      <w:r>
        <w:t>20件。参与处理南雄市新绿环建筑装饰</w:t>
      </w:r>
      <w:r>
        <w:rPr>
          <w:rFonts w:hint="eastAsia"/>
        </w:rPr>
        <w:t>材料有限公司土地闲置收回纠纷等</w:t>
      </w:r>
      <w:r>
        <w:t>3件合同后续协</w:t>
      </w:r>
      <w:r>
        <w:rPr>
          <w:rFonts w:hint="eastAsia"/>
        </w:rPr>
        <w:t>商工作。</w:t>
      </w:r>
    </w:p>
    <w:p w14:paraId="4D93F01E">
      <w:pPr>
        <w:jc w:val="right"/>
        <w:rPr>
          <w:rFonts w:hint="eastAsia"/>
          <w:b/>
          <w:bCs/>
          <w:lang w:eastAsia="zh-CN"/>
        </w:rPr>
      </w:pPr>
      <w:r>
        <w:rPr>
          <w:rFonts w:hint="eastAsia"/>
          <w:b/>
          <w:bCs/>
        </w:rPr>
        <w:t>（陈彝凤</w:t>
      </w:r>
      <w:r>
        <w:rPr>
          <w:rFonts w:hint="eastAsia"/>
          <w:b/>
          <w:bCs/>
          <w:lang w:eastAsia="zh-CN"/>
        </w:rPr>
        <w:t>）</w:t>
      </w:r>
    </w:p>
    <w:p w14:paraId="658FDE7D">
      <w:pPr>
        <w:pStyle w:val="10"/>
        <w:bidi w:val="0"/>
        <w:rPr>
          <w:b/>
          <w:bCs/>
        </w:rPr>
      </w:pPr>
      <w:r>
        <w:rPr>
          <w:rFonts w:hint="eastAsia"/>
          <w:b/>
          <w:bCs/>
        </w:rPr>
        <w:t>附：</w:t>
      </w:r>
      <w:r>
        <w:rPr>
          <w:b/>
          <w:bCs/>
        </w:rPr>
        <w:t>2013年市法制局领导班子成员名单</w:t>
      </w:r>
    </w:p>
    <w:p w14:paraId="33403C39">
      <w:pPr>
        <w:pStyle w:val="10"/>
        <w:bidi w:val="0"/>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陈云英</w:t>
      </w:r>
    </w:p>
    <w:p w14:paraId="4DC24412">
      <w:pPr>
        <w:pStyle w:val="10"/>
        <w:bidi w:val="0"/>
        <w:rPr>
          <w:rFonts w:hint="eastAsia"/>
        </w:rPr>
      </w:pPr>
      <w:r>
        <w:rPr>
          <w:rFonts w:hint="eastAsia"/>
          <w:b/>
          <w:bCs/>
        </w:rPr>
        <w:t>副局长：</w:t>
      </w:r>
      <w:r>
        <w:rPr>
          <w:rFonts w:hint="eastAsia"/>
        </w:rPr>
        <w:t>谢振雄</w:t>
      </w:r>
    </w:p>
    <w:p w14:paraId="6240C172">
      <w:pPr>
        <w:pStyle w:val="3"/>
        <w:bidi w:val="0"/>
        <w:rPr>
          <w:rFonts w:hint="default"/>
          <w:lang w:val="en-US" w:eastAsia="zh-CN"/>
        </w:rPr>
      </w:pPr>
      <w:r>
        <w:rPr>
          <w:rFonts w:hint="eastAsia"/>
          <w:lang w:val="en-US" w:eastAsia="zh-CN"/>
        </w:rPr>
        <w:t>信息中心</w:t>
      </w:r>
    </w:p>
    <w:p w14:paraId="3A7E6566">
      <w:pPr>
        <w:pStyle w:val="4"/>
        <w:bidi w:val="0"/>
        <w:rPr>
          <w:rFonts w:hint="eastAsia"/>
        </w:rPr>
      </w:pPr>
      <w:r>
        <w:rPr>
          <w:rFonts w:hint="eastAsia"/>
        </w:rPr>
        <w:t>【概况】</w:t>
      </w:r>
    </w:p>
    <w:p w14:paraId="4FB08920">
      <w:pPr>
        <w:rPr>
          <w:rFonts w:hint="eastAsia"/>
        </w:rPr>
      </w:pPr>
      <w:r>
        <w:rPr>
          <w:rFonts w:hint="eastAsia"/>
        </w:rPr>
        <w:t>南雄市信息中心成立于</w:t>
      </w:r>
      <w:r>
        <w:t>2001年4月，是</w:t>
      </w:r>
      <w:r>
        <w:rPr>
          <w:rFonts w:hint="eastAsia"/>
        </w:rPr>
        <w:t>市直副科级公益一类事业法人单位，编制</w:t>
      </w:r>
      <w:r>
        <w:t>9人。主</w:t>
      </w:r>
      <w:r>
        <w:rPr>
          <w:rFonts w:hint="eastAsia"/>
        </w:rPr>
        <w:t>要职能是推进全市电子政务建设，为市直单位和乡镇提供政务信息技术服务，实现政府信息化。</w:t>
      </w:r>
    </w:p>
    <w:p w14:paraId="0B3E6B2D">
      <w:pPr>
        <w:pStyle w:val="4"/>
        <w:bidi w:val="0"/>
        <w:rPr>
          <w:rFonts w:hint="eastAsia"/>
        </w:rPr>
      </w:pPr>
      <w:r>
        <w:rPr>
          <w:rFonts w:hint="eastAsia"/>
          <w:lang w:eastAsia="zh-CN"/>
        </w:rPr>
        <w:t>【</w:t>
      </w:r>
      <w:r>
        <w:rPr>
          <w:rFonts w:hint="eastAsia"/>
        </w:rPr>
        <w:t>电子政务建设】</w:t>
      </w:r>
    </w:p>
    <w:p w14:paraId="5B0EA48B">
      <w:pPr>
        <w:rPr>
          <w:rFonts w:hint="eastAsia"/>
        </w:rPr>
      </w:pPr>
      <w:r>
        <w:t>2013年抓好政府公众信息网、</w:t>
      </w:r>
      <w:r>
        <w:rPr>
          <w:rFonts w:hint="eastAsia"/>
        </w:rPr>
        <w:t>视频点播网、党风廉政信息公开平台、行政审批网、电子监察网、政务外网、视频会议网络以及各镇、街道、市直单位政务网站的运行维护，确保各类上百个网站系统的安全、稳定、高效运行。网络宣传报道工作服从和服务于市委、市政府的中心工作。网上政务信息公开全覆盖，政府与公众的网络沟通渠道通畅，政府信息化促进了政府权力在阳光下公开、透明运行。</w:t>
      </w:r>
      <w:r>
        <w:t>2013年在韶关市县（市、区）</w:t>
      </w:r>
      <w:r>
        <w:rPr>
          <w:rFonts w:hint="eastAsia"/>
        </w:rPr>
        <w:t>经济社会科学发展考核中，南雄市信息中心电子政务工作位居韶关第一。这是自</w:t>
      </w:r>
      <w:r>
        <w:t>2011年列入考核以</w:t>
      </w:r>
      <w:r>
        <w:rPr>
          <w:rFonts w:hint="eastAsia"/>
        </w:rPr>
        <w:t>来，连续第三年位居韶关第一。</w:t>
      </w:r>
    </w:p>
    <w:p w14:paraId="79F960F9">
      <w:pPr>
        <w:pStyle w:val="4"/>
        <w:bidi w:val="0"/>
      </w:pPr>
      <w:r>
        <w:rPr>
          <w:rFonts w:hint="eastAsia"/>
        </w:rPr>
        <w:t>【办公自动化（</w:t>
      </w:r>
      <w:r>
        <w:t>OA）系统建设】</w:t>
      </w:r>
    </w:p>
    <w:p w14:paraId="728A6982">
      <w:r>
        <w:t>南雄市委、市政</w:t>
      </w:r>
      <w:r>
        <w:rPr>
          <w:rFonts w:hint="eastAsia"/>
        </w:rPr>
        <w:t>府成立“南雄市</w:t>
      </w:r>
      <w:r>
        <w:t>OA系统推广应用工作领导小组”，</w:t>
      </w:r>
      <w:r>
        <w:rPr>
          <w:rFonts w:hint="eastAsia"/>
        </w:rPr>
        <w:t>由市委常委、市委办主任黄德群任组长，领导小组办公室设在信息中心，由信息中心主任杨长乐任副组长兼办公室主任。全市</w:t>
      </w:r>
      <w:r>
        <w:t>134个市直单位和各镇</w:t>
      </w:r>
      <w:r>
        <w:rPr>
          <w:rFonts w:hint="eastAsia"/>
          <w:lang w:eastAsia="zh-CN"/>
        </w:rPr>
        <w:t>（</w:t>
      </w:r>
      <w:r>
        <w:rPr>
          <w:rFonts w:hint="eastAsia"/>
        </w:rPr>
        <w:t>街道）全部统一使用</w:t>
      </w:r>
      <w:r>
        <w:t>OA收发公文，并全面实现</w:t>
      </w:r>
      <w:r>
        <w:rPr>
          <w:rFonts w:hint="eastAsia"/>
        </w:rPr>
        <w:t>与韶关市办公自动化（</w:t>
      </w:r>
      <w:r>
        <w:t>OA）系统对接。为深化OA</w:t>
      </w:r>
      <w:r>
        <w:rPr>
          <w:rFonts w:hint="eastAsia"/>
        </w:rPr>
        <w:t>系统的推广应用，信息中心携手广州掌专网络科技有限公司免费开发的“掌上南雄”</w:t>
      </w:r>
      <w:r>
        <w:t>APP程序。成为</w:t>
      </w:r>
      <w:r>
        <w:rPr>
          <w:rFonts w:hint="eastAsia"/>
        </w:rPr>
        <w:t>韶关率先通过</w:t>
      </w:r>
      <w:r>
        <w:t>APP程序实现掌上移动办公的县</w:t>
      </w:r>
      <w:r>
        <w:rPr>
          <w:rFonts w:hint="eastAsia"/>
        </w:rPr>
        <w:t>（市、区），“掌上南雄”</w:t>
      </w:r>
      <w:r>
        <w:t>APP分别支持安桌（An</w:t>
      </w:r>
      <w:r>
        <w:rPr>
          <w:rFonts w:hint="eastAsia"/>
          <w:lang w:val="en-US" w:eastAsia="zh-CN"/>
        </w:rPr>
        <w:t>-</w:t>
      </w:r>
      <w:r>
        <w:t>Droid）和苹果（IOS）两大操作系统。</w:t>
      </w:r>
    </w:p>
    <w:p w14:paraId="46FADBE0">
      <w:pPr>
        <w:pStyle w:val="4"/>
        <w:bidi w:val="0"/>
        <w:rPr>
          <w:rFonts w:hint="eastAsia"/>
        </w:rPr>
      </w:pPr>
      <w:r>
        <w:rPr>
          <w:rFonts w:hint="eastAsia"/>
        </w:rPr>
        <w:t>【广东省网上办事大厅南雄分厅建设】</w:t>
      </w:r>
    </w:p>
    <w:p w14:paraId="558DC7F9">
      <w:pPr>
        <w:rPr>
          <w:rFonts w:hint="eastAsia"/>
        </w:rPr>
      </w:pPr>
      <w:r>
        <w:t>2013年8</w:t>
      </w:r>
      <w:r>
        <w:rPr>
          <w:rFonts w:hint="eastAsia"/>
        </w:rPr>
        <w:t>月建设广东省网上办事大厅南雄分厅。先后举办多期业务培训班，梳理、录入</w:t>
      </w:r>
      <w:r>
        <w:t>60个部门675项业务</w:t>
      </w:r>
      <w:r>
        <w:rPr>
          <w:rFonts w:hint="eastAsia"/>
        </w:rPr>
        <w:t>服务事项。首创式地制作网上办事大厅实操视频教材，正确指引网民自助申请网上办事大厅业务。南雄分厅自</w:t>
      </w:r>
      <w:r>
        <w:t>2013年10月上旬，提前于省要求的时间</w:t>
      </w:r>
      <w:r>
        <w:rPr>
          <w:rFonts w:hint="eastAsia"/>
        </w:rPr>
        <w:t>进入试运行阶段，至此，市民可以自由登陆南雄分厅或省内各地方分厅办理各类行政许可和服务事项申请。</w:t>
      </w:r>
    </w:p>
    <w:p w14:paraId="284ABAB4">
      <w:pPr>
        <w:pStyle w:val="4"/>
        <w:bidi w:val="0"/>
        <w:rPr>
          <w:rFonts w:hint="eastAsia"/>
        </w:rPr>
      </w:pPr>
      <w:r>
        <w:rPr>
          <w:rFonts w:hint="eastAsia"/>
          <w:lang w:eastAsia="zh-CN"/>
        </w:rPr>
        <w:t>【</w:t>
      </w:r>
      <w:r>
        <w:rPr>
          <w:rFonts w:hint="eastAsia"/>
        </w:rPr>
        <w:t>信息安全】</w:t>
      </w:r>
    </w:p>
    <w:p w14:paraId="796F256D">
      <w:pPr>
        <w:rPr>
          <w:rFonts w:hint="eastAsia"/>
        </w:rPr>
      </w:pPr>
      <w:r>
        <w:rPr>
          <w:rFonts w:hint="eastAsia"/>
        </w:rPr>
        <w:t>信息中心一贯重视信息安全工作</w:t>
      </w:r>
      <w:r>
        <w:rPr>
          <w:rFonts w:hint="eastAsia"/>
          <w:lang w:eastAsia="zh-CN"/>
        </w:rPr>
        <w:t>，</w:t>
      </w:r>
      <w:r>
        <w:rPr>
          <w:rFonts w:hint="eastAsia"/>
        </w:rPr>
        <w:t>自</w:t>
      </w:r>
      <w:r>
        <w:t>20</w:t>
      </w:r>
      <w:r>
        <w:rPr>
          <w:rFonts w:hint="eastAsia"/>
          <w:lang w:val="en-US" w:eastAsia="zh-CN"/>
        </w:rPr>
        <w:t>0</w:t>
      </w:r>
      <w:r>
        <w:t>0年筹建以来，未发生信息安全事故。日前</w:t>
      </w:r>
      <w:r>
        <w:rPr>
          <w:rFonts w:hint="eastAsia"/>
        </w:rPr>
        <w:t>采用三级备份和异地容灾安全策略，定期备份电子数据，实行多机备份。使用先进的防篡改设备，实现</w:t>
      </w:r>
      <w:r>
        <w:t>WEB系统防护，保证网站安全稳定运行。防火</w:t>
      </w:r>
      <w:r>
        <w:rPr>
          <w:rFonts w:hint="eastAsia"/>
          <w:lang w:eastAsia="zh-CN"/>
        </w:rPr>
        <w:t>、</w:t>
      </w:r>
      <w:r>
        <w:rPr>
          <w:rFonts w:hint="eastAsia"/>
        </w:rPr>
        <w:t>防盗、防雷等安全防护措施符合相关安全要求。</w:t>
      </w:r>
    </w:p>
    <w:p w14:paraId="7CD68932">
      <w:pPr>
        <w:pStyle w:val="4"/>
        <w:bidi w:val="0"/>
        <w:rPr>
          <w:rFonts w:hint="eastAsia"/>
        </w:rPr>
      </w:pPr>
      <w:r>
        <w:rPr>
          <w:rFonts w:hint="eastAsia"/>
        </w:rPr>
        <w:t>【扶贫开发“双到”工作】</w:t>
      </w:r>
    </w:p>
    <w:p w14:paraId="1997151B">
      <w:r>
        <w:t>2013年至2015年，</w:t>
      </w:r>
      <w:r>
        <w:rPr>
          <w:rFonts w:hint="eastAsia"/>
        </w:rPr>
        <w:t>信息中心对湖口镇承平村</w:t>
      </w:r>
      <w:r>
        <w:t>22户家庭年人均纯收入</w:t>
      </w:r>
      <w:r>
        <w:rPr>
          <w:rFonts w:hint="eastAsia"/>
        </w:rPr>
        <w:t>低于</w:t>
      </w:r>
      <w:r>
        <w:t>3093元以下的农户进行帮扶。信息中心干部</w:t>
      </w:r>
      <w:r>
        <w:rPr>
          <w:rFonts w:hint="eastAsia"/>
        </w:rPr>
        <w:t>职工经常走访、慰问贫困户，现场研究脱贫方法。</w:t>
      </w:r>
      <w:r>
        <w:t>2013年，信息中心对承平村投入扶贫资金1万多</w:t>
      </w:r>
      <w:r>
        <w:rPr>
          <w:rFonts w:hint="eastAsia"/>
        </w:rPr>
        <w:t>元，捐献物资食品多批。为</w:t>
      </w:r>
      <w:r>
        <w:t>22户贫困家庭提供必</w:t>
      </w:r>
      <w:r>
        <w:rPr>
          <w:rFonts w:hint="eastAsia"/>
        </w:rPr>
        <w:t>要的财、物和其他方面的支持。为村委购买</w:t>
      </w:r>
      <w:r>
        <w:t>2套办</w:t>
      </w:r>
      <w:r>
        <w:rPr>
          <w:rFonts w:hint="eastAsia"/>
        </w:rPr>
        <w:t>公沙发，赠送</w:t>
      </w:r>
      <w:r>
        <w:t>1台空调，改善村委会办公条件。</w:t>
      </w:r>
    </w:p>
    <w:p w14:paraId="1A838C8E">
      <w:pPr>
        <w:jc w:val="right"/>
        <w:rPr>
          <w:rFonts w:hint="eastAsia"/>
          <w:b/>
          <w:bCs/>
        </w:rPr>
      </w:pPr>
      <w:r>
        <w:rPr>
          <w:rFonts w:hint="eastAsia"/>
          <w:b/>
          <w:bCs/>
        </w:rPr>
        <w:t>（杨莉华）</w:t>
      </w:r>
    </w:p>
    <w:p w14:paraId="21DABC85">
      <w:pPr>
        <w:pStyle w:val="10"/>
        <w:bidi w:val="0"/>
        <w:rPr>
          <w:b/>
          <w:bCs/>
        </w:rPr>
      </w:pPr>
      <w:r>
        <w:rPr>
          <w:rFonts w:hint="eastAsia"/>
          <w:b/>
          <w:bCs/>
        </w:rPr>
        <w:t>附：</w:t>
      </w:r>
      <w:r>
        <w:rPr>
          <w:b/>
          <w:bCs/>
        </w:rPr>
        <w:t>2013年市信息中心领导班子成员名单</w:t>
      </w:r>
    </w:p>
    <w:p w14:paraId="4944B6A7">
      <w:pPr>
        <w:pStyle w:val="10"/>
        <w:bidi w:val="0"/>
        <w:rPr>
          <w:rFonts w:hint="eastAsia"/>
        </w:rPr>
      </w:pPr>
      <w:r>
        <w:rPr>
          <w:rFonts w:hint="eastAsia"/>
          <w:b/>
          <w:bCs/>
        </w:rPr>
        <w:t>主</w:t>
      </w:r>
      <w:r>
        <w:rPr>
          <w:rFonts w:hint="eastAsia"/>
          <w:b/>
          <w:bCs/>
          <w:lang w:val="en-US" w:eastAsia="zh-CN"/>
        </w:rPr>
        <w:t xml:space="preserve">  </w:t>
      </w:r>
      <w:r>
        <w:rPr>
          <w:rFonts w:hint="eastAsia"/>
          <w:b/>
          <w:bCs/>
        </w:rPr>
        <w:t>任：</w:t>
      </w:r>
      <w:r>
        <w:rPr>
          <w:rFonts w:hint="eastAsia"/>
        </w:rPr>
        <w:t>杨长乐</w:t>
      </w:r>
    </w:p>
    <w:p w14:paraId="39076C30">
      <w:pPr>
        <w:pStyle w:val="10"/>
        <w:bidi w:val="0"/>
        <w:rPr>
          <w:rFonts w:hint="eastAsia"/>
        </w:rPr>
      </w:pPr>
      <w:r>
        <w:rPr>
          <w:rFonts w:hint="eastAsia"/>
          <w:b/>
          <w:bCs/>
        </w:rPr>
        <w:t>副主任：</w:t>
      </w:r>
      <w:r>
        <w:rPr>
          <w:rFonts w:hint="eastAsia"/>
        </w:rPr>
        <w:t>刘宏斌</w:t>
      </w:r>
      <w:r>
        <w:rPr>
          <w:rFonts w:hint="eastAsia"/>
          <w:lang w:val="en-US" w:eastAsia="zh-CN"/>
        </w:rPr>
        <w:t xml:space="preserve">   </w:t>
      </w:r>
      <w:r>
        <w:rPr>
          <w:rFonts w:hint="eastAsia"/>
        </w:rPr>
        <w:t>肖</w:t>
      </w:r>
      <w:r>
        <w:rPr>
          <w:rFonts w:hint="eastAsia"/>
          <w:lang w:val="en-US" w:eastAsia="zh-CN"/>
        </w:rPr>
        <w:t xml:space="preserve">  </w:t>
      </w:r>
      <w:r>
        <w:rPr>
          <w:rFonts w:hint="eastAsia"/>
        </w:rPr>
        <w:t>凌</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41BCE9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903CD92">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1090" cy="4120515"/>
                  <wp:effectExtent l="0" t="0" r="10160" b="13335"/>
                  <wp:docPr id="49" name="图片 49" descr="南雄年鉴2014-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南雄年鉴2014-049"/>
                          <pic:cNvPicPr>
                            <a:picLocks noChangeAspect="1"/>
                          </pic:cNvPicPr>
                        </pic:nvPicPr>
                        <pic:blipFill>
                          <a:blip r:embed="rId119"/>
                          <a:stretch>
                            <a:fillRect/>
                          </a:stretch>
                        </pic:blipFill>
                        <pic:spPr>
                          <a:xfrm>
                            <a:off x="0" y="0"/>
                            <a:ext cx="6181090" cy="4120515"/>
                          </a:xfrm>
                          <a:prstGeom prst="rect">
                            <a:avLst/>
                          </a:prstGeom>
                        </pic:spPr>
                      </pic:pic>
                    </a:graphicData>
                  </a:graphic>
                </wp:inline>
              </w:drawing>
            </w:r>
          </w:p>
        </w:tc>
      </w:tr>
    </w:tbl>
    <w:p w14:paraId="019AA8BE">
      <w:pPr>
        <w:pStyle w:val="2"/>
        <w:bidi w:val="0"/>
        <w:rPr>
          <w:rFonts w:hint="eastAsia"/>
        </w:rPr>
      </w:pPr>
      <w:r>
        <w:rPr>
          <w:rFonts w:hint="eastAsia"/>
        </w:rPr>
        <w:t>政协南雄市委员会</w:t>
      </w:r>
    </w:p>
    <w:p w14:paraId="30B3B6C9">
      <w:pPr>
        <w:pStyle w:val="3"/>
        <w:bidi w:val="0"/>
        <w:rPr>
          <w:rFonts w:hint="eastAsia"/>
          <w:lang w:val="en-US" w:eastAsia="zh-CN"/>
        </w:rPr>
      </w:pPr>
      <w:r>
        <w:rPr>
          <w:rFonts w:hint="eastAsia"/>
          <w:lang w:val="en-US" w:eastAsia="zh-CN"/>
        </w:rPr>
        <w:t>综述</w:t>
      </w:r>
    </w:p>
    <w:p w14:paraId="3632FD1C">
      <w:r>
        <w:rPr>
          <w:rFonts w:hint="eastAsia"/>
        </w:rPr>
        <w:t>政协南雄市九届委员会设有界别</w:t>
      </w:r>
      <w:r>
        <w:t>22个，参加</w:t>
      </w:r>
      <w:r>
        <w:rPr>
          <w:rFonts w:hint="eastAsia"/>
        </w:rPr>
        <w:t>单位</w:t>
      </w:r>
      <w:r>
        <w:t>98个，有委员211人，其中政协常委33人。</w:t>
      </w:r>
      <w:r>
        <w:rPr>
          <w:rFonts w:hint="eastAsia"/>
        </w:rPr>
        <w:t>设专门委员会</w:t>
      </w:r>
      <w:r>
        <w:t>6个：即提案委员会、经济委员会</w:t>
      </w:r>
      <w:r>
        <w:rPr>
          <w:rFonts w:hint="eastAsia"/>
          <w:lang w:eastAsia="zh-CN"/>
        </w:rPr>
        <w:t>、</w:t>
      </w:r>
      <w:r>
        <w:rPr>
          <w:rFonts w:hint="eastAsia"/>
        </w:rPr>
        <w:t>教科文卫体委员会、社会法制委员会、学习和文史资料委员会、港澳台侨和民族宗教委员会。各专门委员会主任由政协副主席兼任，副主任由各界别的有关领导兼任。同时，还根据专门委员会的具体情况，划分</w:t>
      </w:r>
      <w:r>
        <w:t>6个委员小组。</w:t>
      </w:r>
    </w:p>
    <w:p w14:paraId="1E8EE736">
      <w:r>
        <w:rPr>
          <w:rFonts w:hint="eastAsia"/>
        </w:rPr>
        <w:t>南雄市政协机关设有“一室二科”，即：政协办公室、组织联络科、宣传科。广东省广府人珠玑巷后裔海外联谊会挂靠南雄市政协。政协机关人员编制</w:t>
      </w:r>
      <w:r>
        <w:t>18名（其中广东省广府人珠玑巷后裔海外联</w:t>
      </w:r>
      <w:r>
        <w:rPr>
          <w:rFonts w:hint="eastAsia"/>
        </w:rPr>
        <w:t>谊会办公室</w:t>
      </w:r>
      <w:r>
        <w:t>3名），在职人数19人，其中：科室领</w:t>
      </w:r>
      <w:r>
        <w:rPr>
          <w:rFonts w:hint="eastAsia"/>
        </w:rPr>
        <w:t>导职数</w:t>
      </w:r>
      <w:r>
        <w:t>6人，现有领导5人。</w:t>
      </w:r>
    </w:p>
    <w:p w14:paraId="5766331D">
      <w:pPr>
        <w:pStyle w:val="3"/>
        <w:bidi w:val="0"/>
        <w:rPr>
          <w:rFonts w:hint="default"/>
          <w:lang w:val="en-US" w:eastAsia="zh-CN"/>
        </w:rPr>
      </w:pPr>
      <w:r>
        <w:rPr>
          <w:rFonts w:hint="eastAsia"/>
          <w:lang w:val="en-US" w:eastAsia="zh-CN"/>
        </w:rPr>
        <w:t>市政协、联谊会重要会议和工作</w:t>
      </w:r>
    </w:p>
    <w:p w14:paraId="10B56069">
      <w:pPr>
        <w:pStyle w:val="4"/>
        <w:bidi w:val="0"/>
        <w:rPr>
          <w:rFonts w:hint="eastAsia"/>
        </w:rPr>
      </w:pPr>
      <w:r>
        <w:rPr>
          <w:rFonts w:hint="eastAsia"/>
        </w:rPr>
        <w:t>【九届三次会议】</w:t>
      </w:r>
    </w:p>
    <w:p w14:paraId="7558D18A">
      <w:pPr>
        <w:rPr>
          <w:rFonts w:hint="eastAsia"/>
        </w:rPr>
      </w:pPr>
      <w:r>
        <w:rPr>
          <w:rFonts w:hint="eastAsia"/>
        </w:rPr>
        <w:t>中国人民政</w:t>
      </w:r>
      <w:r>
        <w:rPr>
          <w:rFonts w:hint="eastAsia"/>
          <w:lang w:val="en-US" w:eastAsia="zh-CN"/>
        </w:rPr>
        <w:t>治</w:t>
      </w:r>
      <w:r>
        <w:rPr>
          <w:rFonts w:hint="eastAsia"/>
        </w:rPr>
        <w:t>协</w:t>
      </w:r>
      <w:r>
        <w:rPr>
          <w:rFonts w:hint="eastAsia"/>
          <w:lang w:val="en-US" w:eastAsia="zh-CN"/>
        </w:rPr>
        <w:t>商</w:t>
      </w:r>
      <w:r>
        <w:rPr>
          <w:rFonts w:hint="eastAsia"/>
        </w:rPr>
        <w:t>会议南雄市第九届委员会第三次会议于</w:t>
      </w:r>
      <w:r>
        <w:t>2013年2月20日至21</w:t>
      </w:r>
      <w:r>
        <w:rPr>
          <w:rFonts w:hint="eastAsia"/>
        </w:rPr>
        <w:t>日在南雄迎宾馆举行。委员们听取和审议并同意何万飞主席代表常务委员会所作的工作报告，周济辉副主席代表常务委员会所作的提案工作情况的报告。委员们列席南雄市第十四届人民代表大会第三次会议，听取并讨论刘清生市长所作的政府工作报告。会议表彰市政协九届二次会议以来的优秀提案。通过会议决议。</w:t>
      </w:r>
    </w:p>
    <w:p w14:paraId="79CA2BFA">
      <w:pPr>
        <w:pStyle w:val="4"/>
        <w:bidi w:val="0"/>
        <w:rPr>
          <w:rFonts w:hint="eastAsia"/>
        </w:rPr>
      </w:pPr>
      <w:r>
        <w:rPr>
          <w:rFonts w:hint="eastAsia"/>
        </w:rPr>
        <w:t>【首届世界广府人恳亲大会】</w:t>
      </w:r>
    </w:p>
    <w:p w14:paraId="3E46FE29">
      <w:r>
        <w:rPr>
          <w:rFonts w:hint="eastAsia"/>
        </w:rPr>
        <w:t>由广府人海外联谊会、广州市人民政府侨务办公室、广州市归国华侨联合会联合主办，主题为“世界广府人·共圆中国梦”的首届世界广府人恳亲大会于</w:t>
      </w:r>
      <w:r>
        <w:t>2013年11月12</w:t>
      </w:r>
      <w:r>
        <w:rPr>
          <w:rFonts w:hint="eastAsia"/>
        </w:rPr>
        <w:t>日至</w:t>
      </w:r>
      <w:r>
        <w:t>14日在广州举行。会议主要内容：观看相聚</w:t>
      </w:r>
      <w:r>
        <w:rPr>
          <w:rFonts w:hint="eastAsia"/>
        </w:rPr>
        <w:t>广州专题宣传片、黎子流代表主办方作《世界广府人·共圆中国梦》主题发言、表彰首届广府人十大杰出人物和十大杰出青年、发表《首届世广会宣言》、举行会旗交接仪式等。中央政治局委员</w:t>
      </w:r>
      <w:r>
        <w:rPr>
          <w:rFonts w:hint="eastAsia"/>
          <w:lang w:eastAsia="zh-CN"/>
        </w:rPr>
        <w:t>、</w:t>
      </w:r>
      <w:r>
        <w:rPr>
          <w:rFonts w:hint="eastAsia"/>
          <w:lang w:val="en-US" w:eastAsia="zh-CN"/>
        </w:rPr>
        <w:t>广</w:t>
      </w:r>
      <w:r>
        <w:rPr>
          <w:rFonts w:hint="eastAsia"/>
        </w:rPr>
        <w:t>东省委书记胡春华，中央政治局原常委李长春，全国政协副主席罗富和、何厚铧，全国政协原副主席叶选平，省委副书记、省长朱小丹，省人大常委会主任黄龙云，省委副书记、省政协主席、省委政法委书记</w:t>
      </w:r>
      <w:r>
        <w:rPr>
          <w:rFonts w:hint="eastAsia"/>
          <w:lang w:val="en-US" w:eastAsia="zh-CN"/>
        </w:rPr>
        <w:t>朱明国</w:t>
      </w:r>
      <w:r>
        <w:rPr>
          <w:rFonts w:hint="eastAsia"/>
        </w:rPr>
        <w:t>等出席会议。海内外逾</w:t>
      </w:r>
      <w:r>
        <w:t>3000名嘉宾</w:t>
      </w:r>
      <w:r>
        <w:rPr>
          <w:rFonts w:hint="eastAsia"/>
        </w:rPr>
        <w:t>参加会议。大会期间，举行“广府文化论坛”、《</w:t>
      </w:r>
      <w:r>
        <w:rPr>
          <w:rFonts w:hint="eastAsia"/>
          <w:lang w:val="en-US" w:eastAsia="zh-CN"/>
        </w:rPr>
        <w:t>广</w:t>
      </w:r>
      <w:r>
        <w:rPr>
          <w:rFonts w:hint="eastAsia"/>
        </w:rPr>
        <w:t>府文化大典》首发式和南雄旅游投资环境推介会</w:t>
      </w:r>
      <w:r>
        <w:rPr>
          <w:rFonts w:hint="eastAsia"/>
          <w:lang w:eastAsia="zh-CN"/>
        </w:rPr>
        <w:t>。</w:t>
      </w:r>
      <w:r>
        <w:rPr>
          <w:rFonts w:hint="eastAsia"/>
        </w:rPr>
        <w:t>近</w:t>
      </w:r>
      <w:r>
        <w:t>700名嘉宾还到珠玑古巷寻根谒祖。</w:t>
      </w:r>
    </w:p>
    <w:p w14:paraId="310218F7">
      <w:pPr>
        <w:pStyle w:val="4"/>
        <w:bidi w:val="0"/>
        <w:rPr>
          <w:rFonts w:hint="eastAsia"/>
        </w:rPr>
      </w:pPr>
      <w:r>
        <w:rPr>
          <w:rFonts w:hint="eastAsia"/>
        </w:rPr>
        <w:t>【提案督办】</w:t>
      </w:r>
    </w:p>
    <w:p w14:paraId="2D9E65A9">
      <w:r>
        <w:rPr>
          <w:rFonts w:hint="eastAsia"/>
        </w:rPr>
        <w:t>市政协九届三次会议期间，提出提案</w:t>
      </w:r>
      <w:r>
        <w:t>59件，经审</w:t>
      </w:r>
      <w:r>
        <w:rPr>
          <w:rFonts w:hint="eastAsia"/>
          <w:lang w:eastAsia="zh-CN"/>
        </w:rPr>
        <w:t>查</w:t>
      </w:r>
      <w:r>
        <w:t>立案57件、转来信处理2件，集</w:t>
      </w:r>
      <w:r>
        <w:rPr>
          <w:rFonts w:hint="eastAsia"/>
        </w:rPr>
        <w:t>中反映教育、医疗、交通、社会保障、城市建设</w:t>
      </w:r>
      <w:r>
        <w:rPr>
          <w:rFonts w:hint="eastAsia"/>
          <w:lang w:eastAsia="zh-CN"/>
        </w:rPr>
        <w:t>、</w:t>
      </w:r>
      <w:r>
        <w:rPr>
          <w:rFonts w:hint="eastAsia"/>
        </w:rPr>
        <w:t>环境保护等民生问题。在办理提案过程中，将工作重心放在提案“解决率”上，坚持主席领衔督办重点提案制度，确保提案办理取得实效。</w:t>
      </w:r>
      <w:r>
        <w:t>2013年政协</w:t>
      </w:r>
      <w:r>
        <w:rPr>
          <w:rFonts w:hint="eastAsia"/>
        </w:rPr>
        <w:t>委员提案和来信均已按期办理完毕，办复率</w:t>
      </w:r>
      <w:r>
        <w:t>100%，</w:t>
      </w:r>
      <w:r>
        <w:rPr>
          <w:rFonts w:hint="eastAsia"/>
        </w:rPr>
        <w:t>委员满意率</w:t>
      </w:r>
      <w:r>
        <w:t>100%。</w:t>
      </w:r>
    </w:p>
    <w:p w14:paraId="618AD3B9">
      <w:pPr>
        <w:pStyle w:val="4"/>
        <w:bidi w:val="0"/>
        <w:rPr>
          <w:rFonts w:hint="eastAsia"/>
        </w:rPr>
      </w:pPr>
      <w:r>
        <w:rPr>
          <w:rFonts w:hint="eastAsia"/>
        </w:rPr>
        <w:t>【调研视察】</w:t>
      </w:r>
    </w:p>
    <w:p w14:paraId="448708E4">
      <w:pPr>
        <w:rPr>
          <w:rFonts w:hint="eastAsia"/>
        </w:rPr>
      </w:pPr>
      <w:r>
        <w:rPr>
          <w:rFonts w:hint="eastAsia"/>
        </w:rPr>
        <w:t>市政协紧紧围绕事关南雄经济社会发展全局的重大问题和人民群众关注的热点、难点问题选准课题，组织政协委员开展调研视察工作，为市委、政府对重大问题和事项的决策提出依据。如：根据省委、省政府把加快城镇化进程作为推动</w:t>
      </w:r>
      <w:r>
        <w:rPr>
          <w:rFonts w:hint="eastAsia"/>
          <w:lang w:eastAsia="zh-CN"/>
        </w:rPr>
        <w:t>粤</w:t>
      </w:r>
      <w:r>
        <w:rPr>
          <w:rFonts w:hint="eastAsia"/>
        </w:rPr>
        <w:t>东西北加快发展的“三大抓手”之一的工作部署，市政协将“如何推进新型城镇化建设”列为</w:t>
      </w:r>
      <w:r>
        <w:t>2013年重点调研课题，市政协主席亲自担任课题组</w:t>
      </w:r>
      <w:r>
        <w:rPr>
          <w:rFonts w:hint="eastAsia"/>
        </w:rPr>
        <w:t>负责人，用</w:t>
      </w:r>
      <w:r>
        <w:t>1个月的时间，组织政协委员和驻雄的</w:t>
      </w:r>
      <w:r>
        <w:rPr>
          <w:rFonts w:hint="eastAsia"/>
        </w:rPr>
        <w:t>韶关市政协委员对该市城镇化建设工作进行专题调研，形成《加快南雄新型城镇化建设的对策与思考》调</w:t>
      </w:r>
      <w:r>
        <w:rPr>
          <w:rFonts w:hint="eastAsia"/>
          <w:lang w:eastAsia="zh-CN"/>
        </w:rPr>
        <w:t>查</w:t>
      </w:r>
      <w:r>
        <w:rPr>
          <w:rFonts w:hint="eastAsia"/>
        </w:rPr>
        <w:t>报告，得到市委、政府的高度重视和采纳。围绕市委、市政府“一个目标五大战略”总体工作思路，精选视察课题，先后组织政协委员视察农业“六大”基地建设、产业转移工业园建设、帽子峰省级森林公园建设、城市化建设、教育“四大”民生工程建设等，为委员提供参政议政平台，通过知情性视察、建言性视察、监督性视察，助推南雄经济社会的跨越发展。如：</w:t>
      </w:r>
      <w:r>
        <w:rPr>
          <w:rFonts w:hint="eastAsia"/>
          <w:lang w:val="en-US" w:eastAsia="zh-CN"/>
        </w:rPr>
        <w:t>围</w:t>
      </w:r>
      <w:r>
        <w:rPr>
          <w:rFonts w:hint="eastAsia"/>
        </w:rPr>
        <w:t>绕如何推进南雄农业产业化发展的问题，市政协组织政协委员视察该市中药材生产、优质稻生产、农土特生产加工销售等“六大”农业基地建设，提出促进农业标准化生产、规模化经营、品牌化销售，加快农业产业化进程的建议意见，这些可行性的意见得到市政府的采纳。政协及常委会主动参与市重点项目建设，先后深入金叶包装、绿洲公司、乐华陶瓷、彤置富水泥厂、金友公司、广东奥威斯（南雄）乐园、南雄康绿宝公司等重点企业，开展调研。</w:t>
      </w:r>
    </w:p>
    <w:p w14:paraId="18122394">
      <w:pPr>
        <w:pStyle w:val="4"/>
        <w:bidi w:val="0"/>
        <w:rPr>
          <w:rFonts w:hint="eastAsia"/>
        </w:rPr>
      </w:pPr>
      <w:r>
        <w:rPr>
          <w:rFonts w:hint="eastAsia"/>
        </w:rPr>
        <w:t>【挂点帮扶】</w:t>
      </w:r>
    </w:p>
    <w:p w14:paraId="6F5969C6">
      <w:pPr>
        <w:rPr>
          <w:rFonts w:hint="eastAsia"/>
        </w:rPr>
      </w:pPr>
      <w:r>
        <w:rPr>
          <w:rFonts w:hint="eastAsia"/>
        </w:rPr>
        <w:t>市政协领导经常深入挂点企业，主动协助企业解决建设、生产、销售中遇到的问题和困难，促成企业早投产早见效。市政协主席、副主席和政协机关干部投身到扶贫“双到”工作中，深入挂点镇、贫困村，走访慰问群众，了解体察民情，为群众办实事、办好事。如：市政协领导在黄坑镇调研工作时，了解到该镇社前村委会办公条件简陋、村道水泥硬化建设配套资金缺乏等情况后，引导一位有爱心的企业家为该村捐资</w:t>
      </w:r>
      <w:r>
        <w:t>3万元，用于</w:t>
      </w:r>
      <w:r>
        <w:rPr>
          <w:rFonts w:hint="eastAsia"/>
        </w:rPr>
        <w:t>改善村委办公条件和自然村道路建设。</w:t>
      </w:r>
    </w:p>
    <w:p w14:paraId="5B7DD26A">
      <w:pPr>
        <w:pStyle w:val="4"/>
        <w:bidi w:val="0"/>
        <w:rPr>
          <w:rFonts w:hint="eastAsia"/>
        </w:rPr>
      </w:pPr>
      <w:r>
        <w:rPr>
          <w:rFonts w:hint="eastAsia"/>
        </w:rPr>
        <w:t>【对外联谊】</w:t>
      </w:r>
    </w:p>
    <w:p w14:paraId="25CAB338">
      <w:pPr>
        <w:rPr>
          <w:rFonts w:hint="eastAsia"/>
        </w:rPr>
      </w:pPr>
      <w:r>
        <w:t>2013年，通过广泛联谊，动员和组</w:t>
      </w:r>
      <w:r>
        <w:rPr>
          <w:rFonts w:hint="eastAsia"/>
        </w:rPr>
        <w:t>织珠玑巷后裔、华人、侨胞、企业和社会团体支持该市教育工程、扶贫工程等公益福利事业建设，共捐资、捐物折合人民币</w:t>
      </w:r>
      <w:r>
        <w:t>1266万多元。其中：南雄</w:t>
      </w:r>
      <w:r>
        <w:rPr>
          <w:rFonts w:hint="eastAsia"/>
        </w:rPr>
        <w:t>市政协委员、澳门顺德投资有限公司董事长陈万年先生捐款</w:t>
      </w:r>
      <w:r>
        <w:t>100万元兴建黄坑中学体育馆；南雄市政</w:t>
      </w:r>
      <w:r>
        <w:rPr>
          <w:rFonts w:hint="eastAsia"/>
        </w:rPr>
        <w:t>协委员、香港信宁实业控股有限公司董事长蔡惠玲女士向坪田镇爱生小学、油山镇中心小学和油山</w:t>
      </w:r>
      <w:r>
        <w:rPr>
          <w:rFonts w:hint="eastAsia"/>
          <w:lang w:eastAsia="zh-CN"/>
        </w:rPr>
        <w:t>中</w:t>
      </w:r>
      <w:r>
        <w:rPr>
          <w:rFonts w:hint="eastAsia"/>
        </w:rPr>
        <w:t>学等</w:t>
      </w:r>
      <w:r>
        <w:t>8所学校捐资捐物50万元；香港爱心人士龙</w:t>
      </w:r>
      <w:r>
        <w:rPr>
          <w:rFonts w:hint="eastAsia"/>
        </w:rPr>
        <w:t>子明、吴汉梁先生向南雄市中等职业学校扶贫助学</w:t>
      </w:r>
      <w:r>
        <w:t>15万元，还有张明强、李干胜等委员为多个学校捐</w:t>
      </w:r>
      <w:r>
        <w:rPr>
          <w:rFonts w:hint="eastAsia"/>
        </w:rPr>
        <w:t>电脑、捐设备等。</w:t>
      </w:r>
    </w:p>
    <w:p w14:paraId="5614E6FC">
      <w:pPr>
        <w:pStyle w:val="4"/>
        <w:bidi w:val="0"/>
        <w:rPr>
          <w:rFonts w:hint="eastAsia"/>
        </w:rPr>
      </w:pPr>
      <w:r>
        <w:rPr>
          <w:rFonts w:hint="eastAsia"/>
        </w:rPr>
        <w:t>【宣传报道】</w:t>
      </w:r>
    </w:p>
    <w:p w14:paraId="1D968558">
      <w:r>
        <w:rPr>
          <w:rFonts w:hint="eastAsia"/>
        </w:rPr>
        <w:t>在《人民政协报》、《广东政协》</w:t>
      </w:r>
      <w:r>
        <w:rPr>
          <w:rFonts w:hint="eastAsia"/>
          <w:lang w:eastAsia="zh-CN"/>
        </w:rPr>
        <w:t>、</w:t>
      </w:r>
      <w:r>
        <w:rPr>
          <w:rFonts w:hint="eastAsia"/>
        </w:rPr>
        <w:t>《韶关政协》、《韶关日报》等地级市以上媒体发表的新闻稿共</w:t>
      </w:r>
      <w:r>
        <w:t>120多篇（条）。与南雄电视台合作，</w:t>
      </w:r>
      <w:r>
        <w:rPr>
          <w:rFonts w:hint="eastAsia"/>
        </w:rPr>
        <w:t>播放《政协委员风采》专题</w:t>
      </w:r>
      <w:r>
        <w:t>3期。</w:t>
      </w:r>
    </w:p>
    <w:p w14:paraId="432ED2CC">
      <w:pPr>
        <w:pStyle w:val="4"/>
        <w:bidi w:val="0"/>
        <w:rPr>
          <w:rFonts w:hint="eastAsia"/>
        </w:rPr>
      </w:pPr>
      <w:r>
        <w:rPr>
          <w:rFonts w:hint="eastAsia"/>
        </w:rPr>
        <w:t>【工作记事】</w:t>
      </w:r>
    </w:p>
    <w:p w14:paraId="031487D3">
      <w:pPr>
        <w:rPr>
          <w:rFonts w:hint="eastAsia"/>
        </w:rPr>
      </w:pPr>
      <w:r>
        <w:t>1月18日，市政协召开九届第4次常委会议。</w:t>
      </w:r>
      <w:r>
        <w:rPr>
          <w:rFonts w:hint="eastAsia"/>
        </w:rPr>
        <w:t>会议审议《政府工作报告》、市政协九届常委会工作报告、市政协九届二次会议以来提案工作报告和市政协九届三次会议议程、日程。会议同意祁振强、黄天佑、马月明、邓光祥、叶向京等</w:t>
      </w:r>
      <w:r>
        <w:t>5人辞去</w:t>
      </w:r>
      <w:r>
        <w:rPr>
          <w:rFonts w:hint="eastAsia"/>
        </w:rPr>
        <w:t>市政协九届委员职务，同意增补何荣生、钟小娟</w:t>
      </w:r>
      <w:r>
        <w:rPr>
          <w:rFonts w:hint="eastAsia"/>
          <w:lang w:eastAsia="zh-CN"/>
        </w:rPr>
        <w:t>、</w:t>
      </w:r>
      <w:r>
        <w:rPr>
          <w:rFonts w:hint="eastAsia"/>
        </w:rPr>
        <w:t>陈小峰、叶忠荣、雷毅、张福明、叶永辉等</w:t>
      </w:r>
      <w:r>
        <w:t>7人为</w:t>
      </w:r>
      <w:r>
        <w:rPr>
          <w:rFonts w:hint="eastAsia"/>
        </w:rPr>
        <w:t>市政协九届政协委员。</w:t>
      </w:r>
    </w:p>
    <w:p w14:paraId="7A5BFCF8">
      <w:r>
        <w:t>1月20日，市政协机关前往挂点帮扶的湖口镇</w:t>
      </w:r>
      <w:r>
        <w:rPr>
          <w:rFonts w:hint="eastAsia"/>
        </w:rPr>
        <w:t>三角村，对村委会、困难党员、困难户进行春节慰问，给困难党员、困难户每人</w:t>
      </w:r>
      <w:r>
        <w:t>200元慰问金。</w:t>
      </w:r>
    </w:p>
    <w:p w14:paraId="2FDCC349">
      <w:pPr>
        <w:rPr>
          <w:rFonts w:hint="eastAsia"/>
        </w:rPr>
      </w:pPr>
      <w:r>
        <w:t>2月25日-28日，市政协主席何万飞出席韶</w:t>
      </w:r>
      <w:r>
        <w:rPr>
          <w:rFonts w:hint="eastAsia"/>
        </w:rPr>
        <w:t>关市政协十一届二次会议。</w:t>
      </w:r>
    </w:p>
    <w:p w14:paraId="11648FFD">
      <w:r>
        <w:t>3月21日，市政协召开九届第7次主席（党</w:t>
      </w:r>
      <w:r>
        <w:rPr>
          <w:rFonts w:hint="eastAsia"/>
        </w:rPr>
        <w:t>组）会议。会议听取提案委关于市政协九届三次会议以来收集提案整理立案情况报告，并确定第</w:t>
      </w:r>
      <w:r>
        <w:t>10</w:t>
      </w:r>
      <w:r>
        <w:rPr>
          <w:rFonts w:hint="eastAsia"/>
        </w:rPr>
        <w:t>号、</w:t>
      </w:r>
      <w:r>
        <w:t>50号、53号提案为本年度重点提案。</w:t>
      </w:r>
    </w:p>
    <w:p w14:paraId="32BB9D02">
      <w:pPr>
        <w:rPr>
          <w:rFonts w:hint="eastAsia"/>
        </w:rPr>
      </w:pPr>
      <w:r>
        <w:t>3月28日，市政协办公室被南雄市委、市政府</w:t>
      </w:r>
      <w:r>
        <w:rPr>
          <w:rFonts w:hint="eastAsia"/>
        </w:rPr>
        <w:t>评为“南雄市</w:t>
      </w:r>
      <w:r>
        <w:t>2012年度挂点联系企业工作”先进</w:t>
      </w:r>
      <w:r>
        <w:rPr>
          <w:rFonts w:hint="eastAsia"/>
        </w:rPr>
        <w:t>单位。</w:t>
      </w:r>
    </w:p>
    <w:p w14:paraId="66329755">
      <w:pPr>
        <w:rPr>
          <w:rFonts w:hint="eastAsia"/>
        </w:rPr>
      </w:pPr>
      <w:r>
        <w:t>4月23日，市政协组织部分委员30多人，深</w:t>
      </w:r>
      <w:r>
        <w:rPr>
          <w:rFonts w:hint="eastAsia"/>
        </w:rPr>
        <w:t>入帽子峰森林公园视察，就开发该森林公园生态旅游项目召开专题座谈会。市政协主席何万飞，副主席周济辉、刘发雄、陈尚妹，秘书长朱定球等领导参加视察活动和座谈会。委员们各抒己见，建言献策，为南雄旅游发展提出意见和建议。</w:t>
      </w:r>
    </w:p>
    <w:p w14:paraId="22BD524C">
      <w:pPr>
        <w:rPr>
          <w:rFonts w:hint="eastAsia"/>
        </w:rPr>
      </w:pPr>
      <w:r>
        <w:t>5月15日，南雄市政协网站正式开通。该网站</w:t>
      </w:r>
      <w:r>
        <w:rPr>
          <w:rFonts w:hint="eastAsia"/>
        </w:rPr>
        <w:t>版式新颖，内容丰富，图文并茂，可读性强。网站设有“政协概况、委员风采、调</w:t>
      </w:r>
      <w:r>
        <w:rPr>
          <w:rFonts w:hint="eastAsia"/>
          <w:lang w:eastAsia="zh-CN"/>
        </w:rPr>
        <w:t>查</w:t>
      </w:r>
      <w:r>
        <w:rPr>
          <w:rFonts w:hint="eastAsia"/>
        </w:rPr>
        <w:t>视察、专题报道、政协提案、联谊工作、政协视频、文史天地”等栏目。同时，为方便政协委员履行政协三大职能，加强委员与政协机关以及委员之间的联络沟通，在网站里面还设立了“委员之家、专委会工作、在线提案、提案</w:t>
      </w:r>
      <w:r>
        <w:rPr>
          <w:rFonts w:hint="eastAsia"/>
          <w:lang w:eastAsia="zh-CN"/>
        </w:rPr>
        <w:t>查</w:t>
      </w:r>
      <w:r>
        <w:rPr>
          <w:rFonts w:hint="eastAsia"/>
        </w:rPr>
        <w:t>询和委员名录”等栏目。</w:t>
      </w:r>
    </w:p>
    <w:p w14:paraId="598DC30C">
      <w:pPr>
        <w:rPr>
          <w:rFonts w:hint="eastAsia"/>
        </w:rPr>
      </w:pPr>
      <w:r>
        <w:t>6月4日，市政协组织农业组委员32人视察南</w:t>
      </w:r>
      <w:r>
        <w:rPr>
          <w:rFonts w:hint="eastAsia"/>
        </w:rPr>
        <w:t>雄市农业“六大基地”建设工作。委员们先后视察珠玑镇灵潭村“石斛”中药村生产基地、金友集团公司粮油生产加工基地和农科所优质稻标准化生产基地及农业新技术推广展示示范区，并就提高南雄农业“六大基地”建设提出意见和建议。</w:t>
      </w:r>
    </w:p>
    <w:p w14:paraId="0352DD44">
      <w:pPr>
        <w:rPr>
          <w:rFonts w:hint="eastAsia"/>
        </w:rPr>
      </w:pPr>
      <w:r>
        <w:t>6月26日，市政协机关党支部全体党员到油山</w:t>
      </w:r>
      <w:r>
        <w:rPr>
          <w:rFonts w:hint="eastAsia"/>
        </w:rPr>
        <w:t>老区过“党日”。先后参观油山革命纪念碑、廖地村油山三年游击战会师旧址、江西大余县彭坑村陈毅同志旧居。</w:t>
      </w:r>
    </w:p>
    <w:p w14:paraId="6BA1EAC3">
      <w:pPr>
        <w:rPr>
          <w:rFonts w:hint="eastAsia"/>
        </w:rPr>
      </w:pPr>
      <w:r>
        <w:t>7月1日，全国政协原副主席罗豪才率领参观</w:t>
      </w:r>
      <w:r>
        <w:rPr>
          <w:rFonts w:hint="eastAsia"/>
        </w:rPr>
        <w:t>团在韶关市副市长熊万鹏、政协副主席邓建华的陪同下前来该市调研，参观珠玑古巷。市政协主席何万飞，副市长马细妹，政协副主席陈尚妹陪同。</w:t>
      </w:r>
    </w:p>
    <w:p w14:paraId="6E2B1DDC">
      <w:pPr>
        <w:rPr>
          <w:rFonts w:hint="eastAsia"/>
        </w:rPr>
      </w:pPr>
      <w:r>
        <w:t>7月3日，市政协主席何万飞，副主席周济辉、</w:t>
      </w:r>
      <w:r>
        <w:rPr>
          <w:rFonts w:hint="eastAsia"/>
        </w:rPr>
        <w:t>陈尚妹、刘光团，秘书长朱定球在市经信局领导的陪同下，视察韶能集团广东绿洲纸模包装制品有限公司和南雄市包装材料有限公司、了解这两家南雄市的规模以上企业的生产、经营和销售等情况，为企业发展建言献策。</w:t>
      </w:r>
    </w:p>
    <w:p w14:paraId="6CDD26B3">
      <w:pPr>
        <w:rPr>
          <w:rFonts w:hint="eastAsia"/>
        </w:rPr>
      </w:pPr>
      <w:r>
        <w:t>7月30日，省政协副秘书长杜重年，办公厅宣</w:t>
      </w:r>
      <w:r>
        <w:rPr>
          <w:rFonts w:hint="eastAsia"/>
        </w:rPr>
        <w:t>传信息处处长王少勇、信息处主任科员朱文辉等领导到该市政协检</w:t>
      </w:r>
      <w:r>
        <w:rPr>
          <w:rFonts w:hint="eastAsia"/>
          <w:lang w:eastAsia="zh-CN"/>
        </w:rPr>
        <w:t>查</w:t>
      </w:r>
      <w:r>
        <w:rPr>
          <w:rFonts w:hint="eastAsia"/>
        </w:rPr>
        <w:t>指导“委员之家”网络平台建设情况。</w:t>
      </w:r>
    </w:p>
    <w:p w14:paraId="64E3588E">
      <w:pPr>
        <w:rPr>
          <w:rFonts w:hint="eastAsia"/>
        </w:rPr>
      </w:pPr>
      <w:r>
        <w:t>8月20日，市政协召开九届第5次常委会议，</w:t>
      </w:r>
      <w:r>
        <w:rPr>
          <w:rFonts w:hint="eastAsia"/>
        </w:rPr>
        <w:t>会议听取和审议市政府上半年经济社会发展情况的报告；听取和审议市政府关于提案办理情况报告；协商讨论其它有关事宜。会议决定撤销古广超九届政协常委职务和委员资格。同意曾晓洪、张明强、李干胜等</w:t>
      </w:r>
      <w:r>
        <w:t>3人为政协第九届南雄市委员会委员，编</w:t>
      </w:r>
      <w:r>
        <w:rPr>
          <w:rFonts w:hint="eastAsia"/>
        </w:rPr>
        <w:t>入经济委员会民营经济组。</w:t>
      </w:r>
    </w:p>
    <w:p w14:paraId="1E6B7146">
      <w:pPr>
        <w:rPr>
          <w:rFonts w:hint="eastAsia"/>
        </w:rPr>
      </w:pPr>
      <w:r>
        <w:t>9月10日，南雄市政协委员、佛山市南海保骏</w:t>
      </w:r>
      <w:r>
        <w:rPr>
          <w:rFonts w:hint="eastAsia"/>
        </w:rPr>
        <w:t>五金厂总经理、佛山市南雄联谊会副会长李干胜先生，南雄市政协委员、广州国际锦东服装城董事、南雄珠玑巷后裔广州联谊会会长张明强先生来该市开展捐资助学扶贫济困活动。南雄市政协主席何万飞、副主席陈尚妹、秘书长朱定球等领导参加活动。当天，李干胜先生捐赠</w:t>
      </w:r>
      <w:r>
        <w:t>10台电脑（价值3.2</w:t>
      </w:r>
      <w:r>
        <w:rPr>
          <w:rFonts w:hint="eastAsia"/>
        </w:rPr>
        <w:t>万元）资助南雄中学，张明强先生资助</w:t>
      </w:r>
      <w:r>
        <w:t>3万元为黄</w:t>
      </w:r>
      <w:r>
        <w:rPr>
          <w:rFonts w:hint="eastAsia"/>
        </w:rPr>
        <w:t>坑镇社前村地方公路建设和村委会改善办公条件。</w:t>
      </w:r>
    </w:p>
    <w:p w14:paraId="688D78FF">
      <w:pPr>
        <w:rPr>
          <w:rFonts w:hint="eastAsia"/>
        </w:rPr>
      </w:pPr>
      <w:r>
        <w:t>9月13日，广东省广府人珠玑巷后裔海外联谊</w:t>
      </w:r>
      <w:r>
        <w:rPr>
          <w:rFonts w:hint="eastAsia"/>
        </w:rPr>
        <w:t>会在广州举行换届会议。广东省、韶关市有关领导，南雄市委书记、市长刘清生、南雄市政协主席何万飞及联谊会理事会成员约</w:t>
      </w:r>
      <w:r>
        <w:t>500人出席大会。大</w:t>
      </w:r>
      <w:r>
        <w:rPr>
          <w:rFonts w:hint="eastAsia"/>
        </w:rPr>
        <w:t>会选举产生联谊会组织机构，黎子流连任会长。</w:t>
      </w:r>
    </w:p>
    <w:p w14:paraId="22C1BE4E">
      <w:pPr>
        <w:rPr>
          <w:rFonts w:hint="eastAsia"/>
        </w:rPr>
      </w:pPr>
      <w:r>
        <w:t>9月28日，市政协委员、香港信宁控股公司董</w:t>
      </w:r>
      <w:r>
        <w:rPr>
          <w:rFonts w:hint="eastAsia"/>
        </w:rPr>
        <w:t>事长蔡惠玲女士及香港爱心人士一行来到市一中，看望他们近年来一直资助的宏志班贫困学生。之后到坪田镇爱心小学、油山镇中心小学和油山中学等</w:t>
      </w:r>
      <w:r>
        <w:t>8所学校共捐资捐物达50万元。市政协副主席赖华</w:t>
      </w:r>
      <w:r>
        <w:rPr>
          <w:rFonts w:hint="eastAsia"/>
        </w:rPr>
        <w:t>焜、陈尚妹等领导参加活动。</w:t>
      </w:r>
    </w:p>
    <w:p w14:paraId="5AAFDF71">
      <w:pPr>
        <w:rPr>
          <w:rFonts w:hint="eastAsia"/>
        </w:rPr>
      </w:pPr>
      <w:r>
        <w:t>9月28日，香港爱心人士龙子明、关汉梁来到</w:t>
      </w:r>
      <w:r>
        <w:rPr>
          <w:rFonts w:hint="eastAsia"/>
        </w:rPr>
        <w:t>该市中等职业学校开展扶贫助学活动。龙子明捐赠价值</w:t>
      </w:r>
      <w:r>
        <w:t>10万元文体用品，关汉梁捐资5万元，为学</w:t>
      </w:r>
      <w:r>
        <w:rPr>
          <w:rFonts w:hint="eastAsia"/>
        </w:rPr>
        <w:t>校充实教育设备，帮助</w:t>
      </w:r>
      <w:r>
        <w:t>50名贫困学生。广东省政</w:t>
      </w:r>
      <w:r>
        <w:rPr>
          <w:rFonts w:hint="eastAsia"/>
        </w:rPr>
        <w:t>协原华侨港澳台胞联络办主任曾肇林，南雄市副市长马细妹，市政协副主席陈尚妹等领导参加扶贫助学捐赠仪式。</w:t>
      </w:r>
    </w:p>
    <w:p w14:paraId="057E3B24">
      <w:pPr>
        <w:rPr>
          <w:rFonts w:hint="eastAsia"/>
        </w:rPr>
      </w:pPr>
      <w:r>
        <w:t>10月24日，市政协组织部分委员视察南雄教育</w:t>
      </w:r>
      <w:r>
        <w:rPr>
          <w:rFonts w:hint="eastAsia"/>
        </w:rPr>
        <w:t>“四大民生工程”建设情况。市政协主席何万飞，副主席周济辉、刘发雄、赖华焜、刘卫忠、陈尚妹、刘光团，秘书长朱定球等领导参加视察活动。</w:t>
      </w:r>
    </w:p>
    <w:p w14:paraId="1A97382F">
      <w:pPr>
        <w:rPr>
          <w:rFonts w:hint="eastAsia"/>
        </w:rPr>
      </w:pPr>
      <w:r>
        <w:t>10月30日，市政协主席何万飞，秘书长朱定</w:t>
      </w:r>
      <w:r>
        <w:rPr>
          <w:rFonts w:hint="eastAsia"/>
        </w:rPr>
        <w:t>球深入挂点企业广东衡水新光化工有限公司调研，召集市供电局、外经局、园区管理处等单位领导到现场办公，解决企业供电用电等问题。</w:t>
      </w:r>
    </w:p>
    <w:p w14:paraId="46F36870">
      <w:pPr>
        <w:rPr>
          <w:rFonts w:hint="eastAsia"/>
        </w:rPr>
      </w:pPr>
      <w:r>
        <w:t>12月3日，市政协主席何万飞，副主席周济</w:t>
      </w:r>
      <w:r>
        <w:rPr>
          <w:rFonts w:hint="eastAsia"/>
        </w:rPr>
        <w:t>辉、刘发雄、陈尚妹、刘光团等领导到主田镇调研，实地考察银杏园、樱花园、竹博园等。</w:t>
      </w:r>
    </w:p>
    <w:p w14:paraId="5DCA96BB">
      <w:pPr>
        <w:jc w:val="right"/>
        <w:rPr>
          <w:rFonts w:hint="eastAsia"/>
          <w:b/>
          <w:bCs/>
          <w:lang w:eastAsia="zh-CN"/>
        </w:rPr>
      </w:pPr>
      <w:r>
        <w:rPr>
          <w:rFonts w:hint="eastAsia"/>
          <w:b/>
          <w:bCs/>
        </w:rPr>
        <w:t>（肖</w:t>
      </w:r>
      <w:r>
        <w:rPr>
          <w:rFonts w:hint="eastAsia"/>
          <w:b/>
          <w:bCs/>
          <w:lang w:val="en-US" w:eastAsia="zh-CN"/>
        </w:rPr>
        <w:t xml:space="preserve">  </w:t>
      </w:r>
      <w:r>
        <w:rPr>
          <w:rFonts w:hint="eastAsia"/>
          <w:b/>
          <w:bCs/>
        </w:rPr>
        <w:t>锋</w:t>
      </w:r>
      <w:r>
        <w:rPr>
          <w:rFonts w:hint="eastAsia"/>
          <w:b/>
          <w:bCs/>
          <w:lang w:eastAsia="zh-CN"/>
        </w:rPr>
        <w:t>）</w:t>
      </w:r>
    </w:p>
    <w:p w14:paraId="6DF8571E">
      <w:pPr>
        <w:pStyle w:val="3"/>
        <w:bidi w:val="0"/>
        <w:rPr>
          <w:rFonts w:hint="default"/>
          <w:lang w:val="en-US" w:eastAsia="zh-CN"/>
        </w:rPr>
      </w:pPr>
      <w:r>
        <w:rPr>
          <w:rFonts w:hint="eastAsia"/>
          <w:lang w:val="en-US" w:eastAsia="zh-CN"/>
        </w:rPr>
        <w:t>2013年南雄市政协主席、副主席名单</w:t>
      </w:r>
    </w:p>
    <w:p w14:paraId="500D0B54">
      <w:pPr>
        <w:pStyle w:val="10"/>
        <w:bidi w:val="0"/>
        <w:rPr>
          <w:rFonts w:hint="eastAsia"/>
        </w:rPr>
      </w:pPr>
      <w:r>
        <w:rPr>
          <w:rFonts w:hint="eastAsia"/>
          <w:b/>
          <w:bCs/>
        </w:rPr>
        <w:t>主</w:t>
      </w:r>
      <w:r>
        <w:rPr>
          <w:rFonts w:hint="eastAsia"/>
          <w:b/>
          <w:bCs/>
          <w:lang w:val="en-US" w:eastAsia="zh-CN"/>
        </w:rPr>
        <w:t xml:space="preserve">  </w:t>
      </w:r>
      <w:r>
        <w:rPr>
          <w:rFonts w:hint="eastAsia"/>
          <w:b/>
          <w:bCs/>
        </w:rPr>
        <w:t>席：</w:t>
      </w:r>
      <w:r>
        <w:rPr>
          <w:rFonts w:hint="eastAsia"/>
        </w:rPr>
        <w:t>何万飞</w:t>
      </w:r>
    </w:p>
    <w:p w14:paraId="34AD2EFA">
      <w:pPr>
        <w:pStyle w:val="10"/>
        <w:bidi w:val="0"/>
        <w:rPr>
          <w:rFonts w:hint="eastAsia"/>
        </w:rPr>
      </w:pPr>
      <w:r>
        <w:rPr>
          <w:rFonts w:hint="eastAsia"/>
          <w:b/>
          <w:bCs/>
        </w:rPr>
        <w:t>副主席：</w:t>
      </w:r>
      <w:r>
        <w:rPr>
          <w:rFonts w:hint="eastAsia"/>
        </w:rPr>
        <w:t>周济辉</w:t>
      </w:r>
      <w:r>
        <w:rPr>
          <w:rFonts w:hint="eastAsia"/>
          <w:lang w:val="en-US" w:eastAsia="zh-CN"/>
        </w:rPr>
        <w:t xml:space="preserve">   </w:t>
      </w:r>
      <w:r>
        <w:rPr>
          <w:rFonts w:hint="eastAsia"/>
        </w:rPr>
        <w:t>刘发雄</w:t>
      </w:r>
      <w:r>
        <w:rPr>
          <w:rFonts w:hint="eastAsia"/>
          <w:lang w:val="en-US" w:eastAsia="zh-CN"/>
        </w:rPr>
        <w:t xml:space="preserve">   </w:t>
      </w:r>
      <w:r>
        <w:rPr>
          <w:rFonts w:hint="eastAsia"/>
        </w:rPr>
        <w:t>赖华焜</w:t>
      </w:r>
    </w:p>
    <w:p w14:paraId="04920C3D">
      <w:pPr>
        <w:pStyle w:val="10"/>
        <w:bidi w:val="0"/>
        <w:ind w:leftChars="400"/>
        <w:rPr>
          <w:rFonts w:hint="eastAsia"/>
        </w:rPr>
      </w:pPr>
      <w:r>
        <w:rPr>
          <w:rFonts w:hint="eastAsia"/>
        </w:rPr>
        <w:t>刘卫忠</w:t>
      </w:r>
      <w:r>
        <w:rPr>
          <w:rFonts w:hint="eastAsia"/>
          <w:lang w:val="en-US" w:eastAsia="zh-CN"/>
        </w:rPr>
        <w:t xml:space="preserve">   </w:t>
      </w:r>
      <w:r>
        <w:rPr>
          <w:rFonts w:hint="eastAsia"/>
        </w:rPr>
        <w:t>陈尚妹（女）</w:t>
      </w:r>
      <w:r>
        <w:rPr>
          <w:rFonts w:hint="eastAsia"/>
          <w:lang w:val="en-US" w:eastAsia="zh-CN"/>
        </w:rPr>
        <w:t xml:space="preserve">   </w:t>
      </w:r>
      <w:r>
        <w:rPr>
          <w:rFonts w:hint="eastAsia"/>
        </w:rPr>
        <w:t>刘光团</w:t>
      </w:r>
    </w:p>
    <w:p w14:paraId="02714E94">
      <w:pPr>
        <w:pStyle w:val="10"/>
        <w:bidi w:val="0"/>
        <w:rPr>
          <w:b/>
          <w:bCs/>
        </w:rPr>
      </w:pPr>
      <w:r>
        <w:rPr>
          <w:rFonts w:hint="eastAsia"/>
          <w:b/>
          <w:bCs/>
        </w:rPr>
        <w:t>附：</w:t>
      </w:r>
      <w:r>
        <w:rPr>
          <w:b/>
          <w:bCs/>
        </w:rPr>
        <w:t>2013年市政协机关领导班子成员名单</w:t>
      </w:r>
    </w:p>
    <w:p w14:paraId="4F13FDDA">
      <w:pPr>
        <w:pStyle w:val="10"/>
        <w:bidi w:val="0"/>
        <w:rPr>
          <w:rFonts w:hint="eastAsia"/>
        </w:rPr>
      </w:pPr>
      <w:r>
        <w:rPr>
          <w:rFonts w:hint="eastAsia"/>
          <w:b/>
          <w:bCs/>
        </w:rPr>
        <w:t>秘书长、办公室主任：</w:t>
      </w:r>
      <w:r>
        <w:rPr>
          <w:rFonts w:hint="eastAsia"/>
        </w:rPr>
        <w:t>朱定球</w:t>
      </w:r>
    </w:p>
    <w:p w14:paraId="31F3D516">
      <w:pPr>
        <w:pStyle w:val="10"/>
        <w:bidi w:val="0"/>
        <w:rPr>
          <w:rFonts w:hint="eastAsia"/>
        </w:rPr>
      </w:pPr>
      <w:r>
        <w:rPr>
          <w:rFonts w:hint="eastAsia"/>
          <w:b/>
          <w:bCs/>
        </w:rPr>
        <w:t>宣传科科长：</w:t>
      </w:r>
      <w:r>
        <w:rPr>
          <w:rFonts w:hint="eastAsia"/>
        </w:rPr>
        <w:t>邬章云</w:t>
      </w:r>
    </w:p>
    <w:p w14:paraId="3C2F6E6C">
      <w:pPr>
        <w:pStyle w:val="10"/>
        <w:bidi w:val="0"/>
        <w:rPr>
          <w:rFonts w:hint="eastAsia"/>
        </w:rPr>
      </w:pPr>
      <w:r>
        <w:rPr>
          <w:rFonts w:hint="eastAsia"/>
          <w:b/>
          <w:bCs/>
        </w:rPr>
        <w:t>组织联络科科长：</w:t>
      </w:r>
      <w:r>
        <w:rPr>
          <w:rFonts w:hint="eastAsia"/>
        </w:rPr>
        <w:t>叶建华</w:t>
      </w:r>
    </w:p>
    <w:p w14:paraId="0DDE4841">
      <w:pPr>
        <w:pStyle w:val="10"/>
        <w:bidi w:val="0"/>
        <w:rPr>
          <w:rFonts w:hint="eastAsia"/>
        </w:rPr>
      </w:pPr>
      <w:r>
        <w:rPr>
          <w:rFonts w:hint="eastAsia"/>
          <w:b/>
          <w:bCs/>
        </w:rPr>
        <w:t>办公室副主任：</w:t>
      </w:r>
      <w:r>
        <w:rPr>
          <w:rFonts w:hint="eastAsia"/>
        </w:rPr>
        <w:t>黄永寿</w:t>
      </w:r>
    </w:p>
    <w:p w14:paraId="063D9486">
      <w:pPr>
        <w:pStyle w:val="10"/>
        <w:bidi w:val="0"/>
        <w:rPr>
          <w:rFonts w:hint="eastAsia"/>
          <w:lang w:eastAsia="zh-CN"/>
        </w:rPr>
      </w:pPr>
      <w:r>
        <w:rPr>
          <w:rFonts w:hint="eastAsia"/>
          <w:b/>
          <w:bCs/>
        </w:rPr>
        <w:t>组织联络科副科长：</w:t>
      </w:r>
      <w:r>
        <w:rPr>
          <w:rFonts w:hint="eastAsia"/>
        </w:rPr>
        <w:t>廖韶芳（任至</w:t>
      </w:r>
      <w:r>
        <w:t>6月</w:t>
      </w:r>
      <w:r>
        <w:rPr>
          <w:rFonts w:hint="eastAsia"/>
          <w:lang w:eastAsia="zh-CN"/>
        </w:rPr>
        <w:t>）</w:t>
      </w:r>
    </w:p>
    <w:p w14:paraId="74562BEA">
      <w:pPr>
        <w:pStyle w:val="2"/>
        <w:bidi w:val="0"/>
        <w:rPr>
          <w:rFonts w:hint="eastAsia"/>
        </w:rPr>
      </w:pPr>
      <w:r>
        <w:rPr>
          <w:rFonts w:hint="eastAsia"/>
        </w:rPr>
        <w:t>中共南雄市纪律检</w:t>
      </w:r>
      <w:r>
        <w:rPr>
          <w:rFonts w:hint="eastAsia"/>
          <w:lang w:eastAsia="zh-CN"/>
        </w:rPr>
        <w:t>查</w:t>
      </w:r>
      <w:r>
        <w:rPr>
          <w:rFonts w:hint="eastAsia"/>
        </w:rPr>
        <w:t>委员会</w:t>
      </w:r>
    </w:p>
    <w:p w14:paraId="28A4DD72">
      <w:pPr>
        <w:pStyle w:val="3"/>
        <w:bidi w:val="0"/>
        <w:rPr>
          <w:rFonts w:hint="eastAsia"/>
          <w:lang w:val="en-US" w:eastAsia="zh-CN"/>
        </w:rPr>
      </w:pPr>
      <w:r>
        <w:rPr>
          <w:rFonts w:hint="eastAsia"/>
          <w:lang w:val="en-US" w:eastAsia="zh-CN"/>
        </w:rPr>
        <w:t>综述</w:t>
      </w:r>
    </w:p>
    <w:p w14:paraId="513895E3">
      <w:pPr>
        <w:pStyle w:val="4"/>
        <w:bidi w:val="0"/>
        <w:rPr>
          <w:rFonts w:hint="eastAsia"/>
        </w:rPr>
      </w:pPr>
      <w:r>
        <w:rPr>
          <w:rFonts w:hint="eastAsia"/>
        </w:rPr>
        <w:t>【概况】</w:t>
      </w:r>
    </w:p>
    <w:p w14:paraId="3D02067E">
      <w:pPr>
        <w:rPr>
          <w:rFonts w:hint="eastAsia"/>
        </w:rPr>
      </w:pPr>
      <w:r>
        <w:rPr>
          <w:rFonts w:hint="eastAsia"/>
        </w:rPr>
        <w:t>中共南雄市纪律检</w:t>
      </w:r>
      <w:r>
        <w:rPr>
          <w:rFonts w:hint="eastAsia"/>
          <w:lang w:eastAsia="zh-CN"/>
        </w:rPr>
        <w:t>查</w:t>
      </w:r>
      <w:r>
        <w:rPr>
          <w:rFonts w:hint="eastAsia"/>
        </w:rPr>
        <w:t>委员会现有行政编制</w:t>
      </w:r>
      <w:r>
        <w:t>30名，在职人员29名；后勤服务人数3名，其</w:t>
      </w:r>
      <w:r>
        <w:rPr>
          <w:rFonts w:hint="eastAsia"/>
        </w:rPr>
        <w:t>中在职人员</w:t>
      </w:r>
      <w:r>
        <w:t>1名，自聘人员2名。内设办公室、党</w:t>
      </w:r>
      <w:r>
        <w:rPr>
          <w:rFonts w:hint="eastAsia"/>
        </w:rPr>
        <w:t>风廉政建设室、执法监察室、机关效能监察室、纪检监察室、案件审理室、信访室、宣教调研室、干部室和案件监督管理室</w:t>
      </w:r>
      <w:r>
        <w:t>10个室。2013年，全市纪</w:t>
      </w:r>
      <w:r>
        <w:rPr>
          <w:rFonts w:hint="eastAsia"/>
        </w:rPr>
        <w:t>检监察机关以推动开展“面向基层、整顿作风、服务群众”主题教育实践活动为抓手，围绕“干部清正、政府清廉、政治清明”目标，深入推进“廉洁南雄”创建工作，着力解决反腐倡廉建设中人民群众反映强烈的突出问题，以作风大转变促进经济大发展，为市经济社会科学发展、跨越发展提供坚强纪律保障。</w:t>
      </w:r>
    </w:p>
    <w:p w14:paraId="1107C75A">
      <w:pPr>
        <w:pStyle w:val="3"/>
        <w:bidi w:val="0"/>
        <w:rPr>
          <w:rFonts w:hint="default"/>
          <w:lang w:val="en-US" w:eastAsia="zh-CN"/>
        </w:rPr>
      </w:pPr>
      <w:r>
        <w:rPr>
          <w:rFonts w:hint="eastAsia"/>
          <w:lang w:val="en-US" w:eastAsia="zh-CN"/>
        </w:rPr>
        <w:t>重要会议和工作</w:t>
      </w:r>
    </w:p>
    <w:p w14:paraId="6556A5B9">
      <w:pPr>
        <w:pStyle w:val="4"/>
        <w:bidi w:val="0"/>
        <w:rPr>
          <w:rFonts w:hint="eastAsia"/>
        </w:rPr>
      </w:pPr>
      <w:r>
        <w:rPr>
          <w:rFonts w:hint="eastAsia"/>
        </w:rPr>
        <w:t>【南雄市纪委十二届三次全会】</w:t>
      </w:r>
    </w:p>
    <w:p w14:paraId="779088F5">
      <w:r>
        <w:t>3月13日上午，</w:t>
      </w:r>
      <w:r>
        <w:rPr>
          <w:rFonts w:hint="eastAsia"/>
        </w:rPr>
        <w:t>中共南雄市第十二届纪律检</w:t>
      </w:r>
      <w:r>
        <w:rPr>
          <w:rFonts w:hint="eastAsia"/>
          <w:lang w:eastAsia="zh-CN"/>
        </w:rPr>
        <w:t>查</w:t>
      </w:r>
      <w:r>
        <w:rPr>
          <w:rFonts w:hint="eastAsia"/>
        </w:rPr>
        <w:t>委员会第三次全体会议在南雄大会堂举行。会议主要内容是总结全市</w:t>
      </w:r>
      <w:r>
        <w:t>2012年党风廉政建设和反腐败工作，研究部署2013年工作任务。会议审议通过《中共南雄市第十</w:t>
      </w:r>
      <w:r>
        <w:rPr>
          <w:rFonts w:hint="eastAsia"/>
          <w:lang w:val="en-US" w:eastAsia="zh-CN"/>
        </w:rPr>
        <w:t>二</w:t>
      </w:r>
      <w:r>
        <w:rPr>
          <w:rFonts w:hint="eastAsia"/>
        </w:rPr>
        <w:t>届纪律检</w:t>
      </w:r>
      <w:r>
        <w:rPr>
          <w:rFonts w:hint="eastAsia"/>
          <w:lang w:eastAsia="zh-CN"/>
        </w:rPr>
        <w:t>查</w:t>
      </w:r>
      <w:r>
        <w:rPr>
          <w:rFonts w:hint="eastAsia"/>
        </w:rPr>
        <w:t>委员会第三次全体会议决议》和市委常委、纪委书记谢志铎代表市纪委常委会所作的工作报告。市委书记许志新出席会议并作重要讲话。市领导刘清生、何万飞、丘德周、罗勇新等四套班子成员出席会议。法检“两长”、市纪委委员，各镇（街道）党（工）委书记和镇长（主任）、党（工）委副书记、纪（工）委书记、组织委员、宣传委员，中心纪检组组长、副组长，市直副科以上（含垂直管理）单位正股级以上干部，市纪委机关室主任以上干部</w:t>
      </w:r>
      <w:r>
        <w:t>1000多人参加会议。会议还表彰2011-2012年度党风廉政建设先进单位。</w:t>
      </w:r>
    </w:p>
    <w:p w14:paraId="1FB5177B">
      <w:pPr>
        <w:pStyle w:val="4"/>
        <w:bidi w:val="0"/>
        <w:rPr>
          <w:rFonts w:hint="eastAsia"/>
        </w:rPr>
      </w:pPr>
      <w:r>
        <w:rPr>
          <w:rFonts w:hint="eastAsia"/>
          <w:lang w:eastAsia="zh-CN"/>
        </w:rPr>
        <w:t>【</w:t>
      </w:r>
      <w:r>
        <w:rPr>
          <w:rFonts w:hint="eastAsia"/>
          <w:lang w:val="en-US" w:eastAsia="zh-CN"/>
        </w:rPr>
        <w:t>廉</w:t>
      </w:r>
      <w:r>
        <w:rPr>
          <w:rFonts w:hint="eastAsia"/>
        </w:rPr>
        <w:t>政教育基地揭牌】</w:t>
      </w:r>
    </w:p>
    <w:p w14:paraId="275F5AF1">
      <w:pPr>
        <w:rPr>
          <w:rFonts w:hint="eastAsia"/>
        </w:rPr>
      </w:pPr>
      <w:r>
        <w:t>3月13日下午，南雄市党</w:t>
      </w:r>
      <w:r>
        <w:rPr>
          <w:rFonts w:hint="eastAsia"/>
        </w:rPr>
        <w:t>风廉政建设干部任前法纪教育暨预防职务犯罪教育基地正式落成并举行揭牌成立仪式。这是个集预防、教育、宣传一体的县级警示教育基地，为南雄创新推进党风廉政建设提供鲜活的实体平台。韶关市纪委副书记于莉莉、检察院副检察长傅泽熙出席仪式并参观廉政教育基地。南雄市市长刘清生主持揭牌仪式。该廉政教育基地设在该市检察院，占地</w:t>
      </w:r>
      <w:r>
        <w:t>430平方米，是集参观、展览、教学于一体的多功</w:t>
      </w:r>
      <w:r>
        <w:rPr>
          <w:rFonts w:hint="eastAsia"/>
        </w:rPr>
        <w:t>能党员领导干部学习教育场所。作为南雄党风廉政建设、干部任前法纪暨预防职务犯罪教育基地的重要载体，该基地由警示教育馆和视频播放室组成</w:t>
      </w:r>
      <w:r>
        <w:rPr>
          <w:rFonts w:hint="eastAsia"/>
          <w:lang w:eastAsia="zh-CN"/>
        </w:rPr>
        <w:t>，</w:t>
      </w:r>
      <w:r>
        <w:rPr>
          <w:rFonts w:hint="eastAsia"/>
        </w:rPr>
        <w:t>分廉吏篇、决策篇、回顾篇、法纪篇、惩治篇、</w:t>
      </w:r>
      <w:r>
        <w:t>814案和剖析篇7个部分，展出展板60余块，展</w:t>
      </w:r>
      <w:r>
        <w:rPr>
          <w:rFonts w:hint="eastAsia"/>
        </w:rPr>
        <w:t>出职务犯罪典型案例</w:t>
      </w:r>
      <w:r>
        <w:t>50余个。通过展示韶关、南</w:t>
      </w:r>
      <w:r>
        <w:rPr>
          <w:rFonts w:hint="eastAsia"/>
        </w:rPr>
        <w:t>雄检察院所办的大案要案以及播放警示教育专题片，强化警示教育的效果，藉此引导、教育党员干部牢固树立“立党为公、执政为民”的思想，真正做到“权为民所用，利为民所谋，情为民所系”，自觉抵御各种腐朽思想的侵蚀。</w:t>
      </w:r>
    </w:p>
    <w:p w14:paraId="45A0522A">
      <w:pPr>
        <w:pStyle w:val="3"/>
        <w:bidi w:val="0"/>
        <w:rPr>
          <w:rFonts w:hint="default"/>
          <w:lang w:val="en-US" w:eastAsia="zh-CN"/>
        </w:rPr>
      </w:pPr>
      <w:r>
        <w:rPr>
          <w:rFonts w:hint="eastAsia"/>
          <w:lang w:val="en-US" w:eastAsia="zh-CN"/>
        </w:rPr>
        <w:t>主要工作</w:t>
      </w:r>
    </w:p>
    <w:p w14:paraId="2B7ED7FE">
      <w:pPr>
        <w:pStyle w:val="4"/>
        <w:bidi w:val="0"/>
        <w:rPr>
          <w:rFonts w:hint="eastAsia"/>
        </w:rPr>
      </w:pPr>
      <w:r>
        <w:rPr>
          <w:rFonts w:hint="eastAsia"/>
        </w:rPr>
        <w:t>【宣传教育】</w:t>
      </w:r>
    </w:p>
    <w:p w14:paraId="3A986F13">
      <w:pPr>
        <w:rPr>
          <w:rFonts w:hint="eastAsia"/>
        </w:rPr>
      </w:pPr>
      <w:r>
        <w:rPr>
          <w:rFonts w:hint="eastAsia"/>
        </w:rPr>
        <w:t>完成市党风廉政建设、干部任前法纪教育暨预防职务犯罪教育基地建设工作，已组织</w:t>
      </w:r>
      <w:r>
        <w:t>4000多人前往接受教育，增强参观者的廉洁自律意</w:t>
      </w:r>
      <w:r>
        <w:rPr>
          <w:rFonts w:hint="eastAsia"/>
        </w:rPr>
        <w:t>识。开展以“严纪律、正作风、促廉洁”为主题的纪律教育学习月活动，编写警示教材《渎职之害》</w:t>
      </w:r>
      <w:r>
        <w:rPr>
          <w:rFonts w:hint="eastAsia"/>
          <w:lang w:eastAsia="zh-CN"/>
        </w:rPr>
        <w:t>、</w:t>
      </w:r>
      <w:r>
        <w:rPr>
          <w:rFonts w:hint="eastAsia"/>
        </w:rPr>
        <w:t>《岂容田间硕鼠横行》，面向全市政法系统开展“忠于职守，廉洁执法”警示教育、面向全市村（居）</w:t>
      </w:r>
      <w:r>
        <w:rPr>
          <w:rFonts w:hint="eastAsia"/>
          <w:lang w:eastAsia="zh-CN"/>
        </w:rPr>
        <w:t>“</w:t>
      </w:r>
      <w:r>
        <w:rPr>
          <w:rFonts w:hint="eastAsia"/>
        </w:rPr>
        <w:t>两委”干部开展“转变作风、廉洁奉公”警示教育、组织科级以上领导干部前往韶关监狱开展现场警示教育。举办领导干部廉洁从政专题报告会。扎实开展“一把手”讲“严纪律、正作风、促廉洁</w:t>
      </w:r>
      <w:r>
        <w:rPr>
          <w:rFonts w:hint="eastAsia"/>
          <w:lang w:eastAsia="zh-CN"/>
        </w:rPr>
        <w:t>”</w:t>
      </w:r>
      <w:r>
        <w:rPr>
          <w:rFonts w:hint="eastAsia"/>
        </w:rPr>
        <w:t>主题党课活动。对拟提拔的</w:t>
      </w:r>
      <w:r>
        <w:t>9名正科级领导干部进</w:t>
      </w:r>
      <w:r>
        <w:rPr>
          <w:rFonts w:hint="eastAsia"/>
        </w:rPr>
        <w:t>行任前廉政法规培训和考试。向全市</w:t>
      </w:r>
      <w:r>
        <w:t>800余名副科</w:t>
      </w:r>
      <w:r>
        <w:rPr>
          <w:rFonts w:hint="eastAsia"/>
        </w:rPr>
        <w:t>级以上党员干部每月发送</w:t>
      </w:r>
      <w:r>
        <w:t>2期“温馨廉政手机报”，</w:t>
      </w:r>
      <w:r>
        <w:rPr>
          <w:rFonts w:hint="eastAsia"/>
        </w:rPr>
        <w:t>增强党员领导的廉洁自律理念。更新廉政文化一条街图文</w:t>
      </w:r>
      <w:r>
        <w:t>128条，提升南雄廉政文化品位。举办“扬</w:t>
      </w:r>
      <w:r>
        <w:rPr>
          <w:rFonts w:hint="eastAsia"/>
        </w:rPr>
        <w:t>正气、树清风”反腐倡廉辩论赛，使广大党员干部和群众在辩论赛活动中学廉律己，思廉律行。在全市公共资源交易“三领域”，即工程建设领域、土地交易领域、政府采购领域，开展“讲诚信、不行贿”主题教育活动，引导企业经营者树立以诚信守法为荣，以违法乱纪为耻的观念。多形式、多层次的廉政教育和文化活动，取得明显成效。据统计，</w:t>
      </w:r>
      <w:r>
        <w:t>2013年全市健全完善各单位、各部门规章制度431</w:t>
      </w:r>
      <w:r>
        <w:rPr>
          <w:rFonts w:hint="eastAsia"/>
        </w:rPr>
        <w:t>项，</w:t>
      </w:r>
      <w:r>
        <w:rPr>
          <w:rFonts w:hint="eastAsia"/>
          <w:lang w:eastAsia="zh-CN"/>
        </w:rPr>
        <w:t>查</w:t>
      </w:r>
      <w:r>
        <w:rPr>
          <w:rFonts w:hint="eastAsia"/>
        </w:rPr>
        <w:t>摆解决党员干部在党性党纪、服务基层群众、化解基层矛盾等方面存在的问题</w:t>
      </w:r>
      <w:r>
        <w:t>181个，为群</w:t>
      </w:r>
      <w:r>
        <w:rPr>
          <w:rFonts w:hint="eastAsia"/>
        </w:rPr>
        <w:t>众办好事实事</w:t>
      </w:r>
      <w:r>
        <w:t>397件，并有12人向检察院投案自</w:t>
      </w:r>
      <w:r>
        <w:rPr>
          <w:rFonts w:hint="eastAsia"/>
        </w:rPr>
        <w:t>首，坦白交待问题，有力地推动党风廉政建设。</w:t>
      </w:r>
    </w:p>
    <w:p w14:paraId="6555BA07">
      <w:pPr>
        <w:pStyle w:val="4"/>
        <w:bidi w:val="0"/>
        <w:rPr>
          <w:rFonts w:hint="eastAsia"/>
        </w:rPr>
      </w:pPr>
      <w:r>
        <w:rPr>
          <w:rFonts w:hint="eastAsia"/>
        </w:rPr>
        <w:t>【作风建设】</w:t>
      </w:r>
    </w:p>
    <w:p w14:paraId="33B55A43">
      <w:pPr>
        <w:rPr>
          <w:rFonts w:hint="eastAsia"/>
        </w:rPr>
      </w:pPr>
      <w:r>
        <w:rPr>
          <w:rFonts w:hint="eastAsia"/>
        </w:rPr>
        <w:t>全面贯彻落实中央关于改进工作作风、密切联系群众八项规定，推进“面向基层、整顿作风、服务群众”活动，着力解决“四风”问题。狠抓各项制度落实，解决镇（街道）干部“走读”现象。督促开展离</w:t>
      </w:r>
      <w:r>
        <w:rPr>
          <w:rFonts w:hint="eastAsia"/>
          <w:lang w:val="en-US" w:eastAsia="zh-CN"/>
        </w:rPr>
        <w:t>岗</w:t>
      </w:r>
      <w:r>
        <w:rPr>
          <w:rFonts w:hint="eastAsia"/>
        </w:rPr>
        <w:t>吃空饷等问题专项清理，清</w:t>
      </w:r>
      <w:r>
        <w:rPr>
          <w:rFonts w:hint="eastAsia"/>
          <w:lang w:eastAsia="zh-CN"/>
        </w:rPr>
        <w:t>查</w:t>
      </w:r>
      <w:r>
        <w:rPr>
          <w:rFonts w:hint="eastAsia"/>
        </w:rPr>
        <w:t>出全市机关事业单位各类型在职不在岗人员</w:t>
      </w:r>
      <w:r>
        <w:t>273名，清退吃空饷人员7人。对全市200多个单</w:t>
      </w:r>
      <w:r>
        <w:rPr>
          <w:rFonts w:hint="eastAsia"/>
        </w:rPr>
        <w:t>位及基层站所的工作纪律执行情况进行明</w:t>
      </w:r>
      <w:r>
        <w:rPr>
          <w:rFonts w:hint="eastAsia"/>
          <w:lang w:eastAsia="zh-CN"/>
        </w:rPr>
        <w:t>查</w:t>
      </w:r>
      <w:r>
        <w:rPr>
          <w:rFonts w:hint="eastAsia"/>
        </w:rPr>
        <w:t>暗访，责令存在问题的</w:t>
      </w:r>
      <w:r>
        <w:t>25个单位进行整改落实，对涉及</w:t>
      </w:r>
      <w:r>
        <w:rPr>
          <w:rFonts w:hint="eastAsia"/>
        </w:rPr>
        <w:t>违规违纪的</w:t>
      </w:r>
      <w:r>
        <w:t>39名工作人员给予相应处分，并制作</w:t>
      </w:r>
      <w:r>
        <w:rPr>
          <w:rFonts w:hint="eastAsia"/>
        </w:rPr>
        <w:t>成暗访片予以曝光。对未参会</w:t>
      </w:r>
      <w:r>
        <w:t>19家基层卫生院负</w:t>
      </w:r>
      <w:r>
        <w:rPr>
          <w:rFonts w:hint="eastAsia"/>
        </w:rPr>
        <w:t>责人在全市范围内通报批评，并对落实会议通知精神不力的人社局和卫生局相关责任人进行责任追究和相应处理。对河堤管理处主任陈某不认真履职问题、珠玑镇副镇长刘某工作虚浮问题等进行</w:t>
      </w:r>
      <w:r>
        <w:rPr>
          <w:rFonts w:hint="eastAsia"/>
          <w:lang w:eastAsia="zh-CN"/>
        </w:rPr>
        <w:t>查</w:t>
      </w:r>
      <w:r>
        <w:rPr>
          <w:rFonts w:hint="eastAsia"/>
        </w:rPr>
        <w:t>处。深入推进服务型政府建设，在全市</w:t>
      </w:r>
      <w:r>
        <w:t>18个镇（街道）</w:t>
      </w:r>
      <w:r>
        <w:rPr>
          <w:rFonts w:hint="eastAsia"/>
        </w:rPr>
        <w:t>建立便民服务中心，在村（社区）建立便民服务站</w:t>
      </w:r>
      <w:r>
        <w:t>221个，并对全市电子政务服务、原有对外办事窗</w:t>
      </w:r>
      <w:r>
        <w:rPr>
          <w:rFonts w:hint="eastAsia"/>
        </w:rPr>
        <w:t>口和</w:t>
      </w:r>
      <w:r>
        <w:t>18个镇（街道）便民服务中心加强实时监控，</w:t>
      </w:r>
      <w:r>
        <w:rPr>
          <w:rFonts w:hint="eastAsia"/>
        </w:rPr>
        <w:t>大力推进网上办事大厅建设工作，群众办事更加方便快捷。</w:t>
      </w:r>
    </w:p>
    <w:p w14:paraId="3ED527D7">
      <w:pPr>
        <w:pStyle w:val="4"/>
        <w:bidi w:val="0"/>
        <w:rPr>
          <w:rFonts w:hint="eastAsia"/>
        </w:rPr>
      </w:pPr>
      <w:r>
        <w:rPr>
          <w:rFonts w:hint="eastAsia"/>
        </w:rPr>
        <w:t>【案件</w:t>
      </w:r>
      <w:r>
        <w:rPr>
          <w:rFonts w:hint="eastAsia"/>
          <w:lang w:eastAsia="zh-CN"/>
        </w:rPr>
        <w:t>查</w:t>
      </w:r>
      <w:r>
        <w:rPr>
          <w:rFonts w:hint="eastAsia"/>
        </w:rPr>
        <w:t>办】</w:t>
      </w:r>
    </w:p>
    <w:p w14:paraId="12EB8047">
      <w:pPr>
        <w:rPr>
          <w:rFonts w:hint="eastAsia"/>
        </w:rPr>
      </w:pPr>
      <w:r>
        <w:rPr>
          <w:rFonts w:hint="eastAsia"/>
        </w:rPr>
        <w:t>突出办案主业，毫不手软惩治腐败。</w:t>
      </w:r>
      <w:r>
        <w:t>2013年全市纪检监察机关受理信访举报169件</w:t>
      </w:r>
      <w:r>
        <w:rPr>
          <w:rFonts w:hint="eastAsia"/>
        </w:rPr>
        <w:t>（次），初核线索</w:t>
      </w:r>
      <w:r>
        <w:t>105件，立案</w:t>
      </w:r>
      <w:r>
        <w:rPr>
          <w:rFonts w:hint="eastAsia"/>
          <w:lang w:eastAsia="zh-CN"/>
        </w:rPr>
        <w:t>查</w:t>
      </w:r>
      <w:r>
        <w:t>处违纪违法案件38</w:t>
      </w:r>
      <w:r>
        <w:rPr>
          <w:rFonts w:hint="eastAsia"/>
        </w:rPr>
        <w:t>件，给予党纪政纪处分</w:t>
      </w:r>
      <w:r>
        <w:t>38人，其中副科以上党员</w:t>
      </w:r>
      <w:r>
        <w:rPr>
          <w:rFonts w:hint="eastAsia"/>
        </w:rPr>
        <w:t>干部</w:t>
      </w:r>
      <w:r>
        <w:t>9人，移送司法机关处理1人，挽回直接经济</w:t>
      </w:r>
      <w:r>
        <w:rPr>
          <w:rFonts w:hint="eastAsia"/>
        </w:rPr>
        <w:t>损失</w:t>
      </w:r>
      <w:r>
        <w:t>400多万元。加大基层纪检监察机关办案力</w:t>
      </w:r>
      <w:r>
        <w:rPr>
          <w:rFonts w:hint="eastAsia"/>
        </w:rPr>
        <w:t>度，全市</w:t>
      </w:r>
      <w:r>
        <w:t>18个镇（街道）均有自办案件，连续7</w:t>
      </w:r>
      <w:r>
        <w:rPr>
          <w:rFonts w:hint="eastAsia"/>
        </w:rPr>
        <w:t>年实现百分百镇（街道）有自办案件。通过调</w:t>
      </w:r>
      <w:r>
        <w:rPr>
          <w:rFonts w:hint="eastAsia"/>
          <w:lang w:eastAsia="zh-CN"/>
        </w:rPr>
        <w:t>查</w:t>
      </w:r>
      <w:r>
        <w:rPr>
          <w:rFonts w:hint="eastAsia"/>
        </w:rPr>
        <w:t>核实，为</w:t>
      </w:r>
      <w:r>
        <w:t>29名党员干部澄清反映失实的举报问题，</w:t>
      </w:r>
      <w:r>
        <w:rPr>
          <w:rFonts w:hint="eastAsia"/>
        </w:rPr>
        <w:t>维护党员干部的合法权利。坚持依纪依法、安全文明办案，落实办案各项管理制度和安全责任制，实现办案安全“零事故”。加强案件监督管理和案件审理工作，规范办案程序，实行“镇案市审”，提高案件质量和效率，全市纪检监察机关办案实现“零申诉”。发挥办案的治本功能，利用</w:t>
      </w:r>
      <w:r>
        <w:rPr>
          <w:rFonts w:hint="eastAsia"/>
          <w:lang w:eastAsia="zh-CN"/>
        </w:rPr>
        <w:t>查</w:t>
      </w:r>
      <w:r>
        <w:rPr>
          <w:rFonts w:hint="eastAsia"/>
        </w:rPr>
        <w:t>办的典型案件编写警示教材，在全市党员干部中开展警示教育，并推动发案单位健全制度、强化监督、堵塞漏洞。</w:t>
      </w:r>
    </w:p>
    <w:p w14:paraId="6770BB5B">
      <w:pPr>
        <w:pStyle w:val="4"/>
        <w:bidi w:val="0"/>
        <w:rPr>
          <w:rFonts w:hint="eastAsia"/>
        </w:rPr>
      </w:pPr>
      <w:r>
        <w:rPr>
          <w:rFonts w:hint="eastAsia"/>
          <w:lang w:eastAsia="zh-CN"/>
        </w:rPr>
        <w:t>【</w:t>
      </w:r>
      <w:r>
        <w:rPr>
          <w:rFonts w:hint="eastAsia"/>
        </w:rPr>
        <w:t>督</w:t>
      </w:r>
      <w:r>
        <w:rPr>
          <w:rFonts w:hint="eastAsia"/>
          <w:lang w:eastAsia="zh-CN"/>
        </w:rPr>
        <w:t>查</w:t>
      </w:r>
      <w:r>
        <w:rPr>
          <w:rFonts w:hint="eastAsia"/>
        </w:rPr>
        <w:t>督办】</w:t>
      </w:r>
    </w:p>
    <w:p w14:paraId="39F14162">
      <w:r>
        <w:rPr>
          <w:rFonts w:hint="eastAsia"/>
        </w:rPr>
        <w:t>督促职能部门严厉整治“两违”，保持整治“两违”高压态势。会同有关部门治理容积率问题，清理超容积率面积</w:t>
      </w:r>
      <w:r>
        <w:t>5932.65平方米。切</w:t>
      </w:r>
      <w:r>
        <w:rPr>
          <w:rFonts w:hint="eastAsia"/>
        </w:rPr>
        <w:t>实纠正教育乱收费行为，清退违规金额</w:t>
      </w:r>
      <w:r>
        <w:t>90多万元。</w:t>
      </w:r>
      <w:r>
        <w:rPr>
          <w:rFonts w:hint="eastAsia"/>
        </w:rPr>
        <w:t>开展规范细化自由裁量权工作，细化行政处罚裁量标准</w:t>
      </w:r>
      <w:r>
        <w:t>7540条。加强对安全生产、节能减排和环境</w:t>
      </w:r>
      <w:r>
        <w:rPr>
          <w:rFonts w:hint="eastAsia"/>
        </w:rPr>
        <w:t>保护的监督检</w:t>
      </w:r>
      <w:r>
        <w:rPr>
          <w:rFonts w:hint="eastAsia"/>
          <w:lang w:eastAsia="zh-CN"/>
        </w:rPr>
        <w:t>查</w:t>
      </w:r>
      <w:r>
        <w:rPr>
          <w:rFonts w:hint="eastAsia"/>
        </w:rPr>
        <w:t>，整改安全隐患和问题</w:t>
      </w:r>
      <w:r>
        <w:t>295项。加</w:t>
      </w:r>
      <w:r>
        <w:rPr>
          <w:rFonts w:hint="eastAsia"/>
        </w:rPr>
        <w:t>强对全市</w:t>
      </w:r>
      <w:r>
        <w:t>36个重点项目建设的监督检</w:t>
      </w:r>
      <w:r>
        <w:rPr>
          <w:rFonts w:hint="eastAsia"/>
          <w:lang w:eastAsia="zh-CN"/>
        </w:rPr>
        <w:t>查</w:t>
      </w:r>
      <w:r>
        <w:t>，促进重</w:t>
      </w:r>
      <w:r>
        <w:rPr>
          <w:rFonts w:hint="eastAsia"/>
          <w:lang w:val="en-US" w:eastAsia="zh-CN"/>
        </w:rPr>
        <w:t>点</w:t>
      </w:r>
      <w:r>
        <w:rPr>
          <w:rFonts w:hint="eastAsia"/>
        </w:rPr>
        <w:t>项目建设顺利推进。加强对保障性住房分配的监督检</w:t>
      </w:r>
      <w:r>
        <w:rPr>
          <w:rFonts w:hint="eastAsia"/>
          <w:lang w:eastAsia="zh-CN"/>
        </w:rPr>
        <w:t>查</w:t>
      </w:r>
      <w:r>
        <w:rPr>
          <w:rFonts w:hint="eastAsia"/>
        </w:rPr>
        <w:t>，严格审核程序，剔除不符合公租房资格的申请人家庭</w:t>
      </w:r>
      <w:r>
        <w:t>41户，240户中低收入家庭享受到保障</w:t>
      </w:r>
      <w:r>
        <w:rPr>
          <w:rFonts w:hint="eastAsia"/>
        </w:rPr>
        <w:t>性住房政策。扎实开展政风行风评议和“回头</w:t>
      </w:r>
      <w:r>
        <w:rPr>
          <w:rFonts w:hint="eastAsia"/>
          <w:lang w:eastAsia="zh-CN"/>
        </w:rPr>
        <w:t>查</w:t>
      </w:r>
      <w:r>
        <w:rPr>
          <w:rFonts w:hint="eastAsia"/>
        </w:rPr>
        <w:t>”活动，对参评单位进行质询，收集群众意见和建议</w:t>
      </w:r>
      <w:r>
        <w:t>500多条，督促存在问题的相关单位限期整改落实。</w:t>
      </w:r>
    </w:p>
    <w:p w14:paraId="0E356C66">
      <w:pPr>
        <w:pStyle w:val="4"/>
        <w:bidi w:val="0"/>
        <w:rPr>
          <w:rFonts w:hint="eastAsia"/>
        </w:rPr>
      </w:pPr>
      <w:r>
        <w:rPr>
          <w:rFonts w:hint="eastAsia"/>
        </w:rPr>
        <w:t>【基层党风廉政建设】</w:t>
      </w:r>
    </w:p>
    <w:p w14:paraId="43E00912">
      <w:pPr>
        <w:rPr>
          <w:rFonts w:hint="eastAsia"/>
        </w:rPr>
      </w:pPr>
      <w:r>
        <w:rPr>
          <w:rFonts w:hint="eastAsia"/>
        </w:rPr>
        <w:t>深入开展“廉洁南雄”创建活动，围绕建设廉洁高效政府、廉洁公正司法、廉洁党员干部队伍、廉洁城镇文化和廉洁诚信社会，着力营造政府廉洁高效、干部廉洁奉公、管理</w:t>
      </w:r>
      <w:r>
        <w:rPr>
          <w:rFonts w:hint="eastAsia"/>
          <w:lang w:val="en-US" w:eastAsia="zh-CN"/>
        </w:rPr>
        <w:t>民</w:t>
      </w:r>
      <w:r>
        <w:rPr>
          <w:rFonts w:hint="eastAsia"/>
        </w:rPr>
        <w:t>主公开、公民诚实守信、干群关系和谐的城镇环境。在全市党员领导干部中开展会员卡清理工作。扎实开展防止领导干部利益冲突工作，建立领导干部个人利益冲突事项档案，建立健全利益冲突回避制度，推动市委权力公开透明运行制度化、规范化、常态化，使党员领导干部从“不敢腐”、“不愿腐”向“不能腐”转变。整合市建设工程交易中心、土地交易中心、政府采购中心，组建公共资源交易中心，引</w:t>
      </w:r>
      <w:r>
        <w:rPr>
          <w:rFonts w:hint="eastAsia"/>
          <w:lang w:val="en-US" w:eastAsia="zh-CN"/>
        </w:rPr>
        <w:t>入</w:t>
      </w:r>
      <w:r>
        <w:rPr>
          <w:rFonts w:hint="eastAsia"/>
        </w:rPr>
        <w:t>竞争机制，严格执行招投标制度，依法规范招投标活动。加强党风廉政信息公开平台建设，以公开促廉洁，全年发布党务公开数据</w:t>
      </w:r>
      <w:r>
        <w:t>2151</w:t>
      </w:r>
      <w:r>
        <w:rPr>
          <w:rFonts w:hint="eastAsia"/>
        </w:rPr>
        <w:t>笔，政务、村务、厂务、事务公开数据</w:t>
      </w:r>
      <w:r>
        <w:t>6740笔，</w:t>
      </w:r>
      <w:r>
        <w:rPr>
          <w:rFonts w:hint="eastAsia"/>
        </w:rPr>
        <w:t>财务公开数据</w:t>
      </w:r>
      <w:r>
        <w:t>28830笔。推进农村“三资”监管工</w:t>
      </w:r>
      <w:r>
        <w:rPr>
          <w:rFonts w:hint="eastAsia"/>
        </w:rPr>
        <w:t>作，自主研发“村组账镇代记”管理软件，实现村组财务电脑记账和村账镇代记。在雄州街道建立农村集体资源交易平台，在其他镇便民服务中心增设农村集体资源交易窗口，稳步推进农村集体“三资”交易规范化管理。强化村务公开民主管理，全市</w:t>
      </w:r>
      <w:r>
        <w:t>208个行政村均已成立村务监督委员会，制定完</w:t>
      </w:r>
      <w:r>
        <w:rPr>
          <w:rFonts w:hint="eastAsia"/>
        </w:rPr>
        <w:t>善村务监督委员会系列工作制度。</w:t>
      </w:r>
    </w:p>
    <w:p w14:paraId="50DCA6B4">
      <w:pPr>
        <w:pStyle w:val="4"/>
        <w:bidi w:val="0"/>
        <w:rPr>
          <w:rFonts w:hint="eastAsia"/>
        </w:rPr>
      </w:pPr>
      <w:r>
        <w:rPr>
          <w:rFonts w:hint="eastAsia"/>
        </w:rPr>
        <w:t>【自身建设】</w:t>
      </w:r>
    </w:p>
    <w:p w14:paraId="6EAF9091">
      <w:pPr>
        <w:rPr>
          <w:rFonts w:hint="eastAsia"/>
          <w:lang w:eastAsia="zh-CN"/>
        </w:rPr>
      </w:pPr>
      <w:r>
        <w:rPr>
          <w:rFonts w:hint="eastAsia"/>
        </w:rPr>
        <w:t>开展纪检监察系统会员卡专项清理活动，全市</w:t>
      </w:r>
      <w:r>
        <w:t>236名从事纪检监察相关业务工作的干</w:t>
      </w:r>
      <w:r>
        <w:rPr>
          <w:rFonts w:hint="eastAsia"/>
        </w:rPr>
        <w:t>部全部做到“零持有”。全年交流提拔纪检监察干部</w:t>
      </w:r>
      <w:r>
        <w:t>15名，队伍结构优化。举办1期纪检监察综合</w:t>
      </w:r>
      <w:r>
        <w:rPr>
          <w:rFonts w:hint="eastAsia"/>
        </w:rPr>
        <w:t>业务培训班，对全市纪检监察干部进行全员培训，并选送</w:t>
      </w:r>
      <w:r>
        <w:t>9名纪检监察干部到上级纪委进行学习培</w:t>
      </w:r>
      <w:r>
        <w:rPr>
          <w:rFonts w:hint="eastAsia"/>
        </w:rPr>
        <w:t>训，纪检监察干部业务素质进一步提高。健全完善《纪检监察派驻机构干部岗位职责》、《纪检监察干部行为规范》、《纪检监察干部个人重大事项报告制度》等一系列制度，强化对纪检监察干部的刚性约</w:t>
      </w:r>
      <w:r>
        <w:rPr>
          <w:rFonts w:hint="eastAsia"/>
          <w:lang w:val="en-US" w:eastAsia="zh-CN"/>
        </w:rPr>
        <w:t>束</w:t>
      </w:r>
      <w:r>
        <w:rPr>
          <w:rFonts w:hint="eastAsia"/>
        </w:rPr>
        <w:t>和监督管理</w:t>
      </w:r>
      <w:r>
        <w:rPr>
          <w:rFonts w:hint="eastAsia"/>
          <w:lang w:eastAsia="zh-CN"/>
        </w:rPr>
        <w:t>。</w:t>
      </w:r>
    </w:p>
    <w:p w14:paraId="35532D5F">
      <w:pPr>
        <w:jc w:val="right"/>
        <w:rPr>
          <w:rFonts w:hint="eastAsia"/>
          <w:b/>
          <w:bCs/>
        </w:rPr>
      </w:pPr>
      <w:r>
        <w:rPr>
          <w:rFonts w:hint="eastAsia"/>
          <w:b/>
          <w:bCs/>
        </w:rPr>
        <w:t>（谢金城）</w:t>
      </w:r>
    </w:p>
    <w:p w14:paraId="75DA7A8D">
      <w:pPr>
        <w:pStyle w:val="10"/>
        <w:bidi w:val="0"/>
        <w:rPr>
          <w:b/>
          <w:bCs/>
        </w:rPr>
      </w:pPr>
      <w:r>
        <w:rPr>
          <w:rFonts w:hint="eastAsia"/>
          <w:b/>
          <w:bCs/>
        </w:rPr>
        <w:t>附：</w:t>
      </w:r>
      <w:r>
        <w:rPr>
          <w:b/>
          <w:bCs/>
        </w:rPr>
        <w:t>2013年市纪委监察局领导班子成员名单</w:t>
      </w:r>
    </w:p>
    <w:p w14:paraId="74C8ECA4">
      <w:pPr>
        <w:pStyle w:val="10"/>
        <w:bidi w:val="0"/>
        <w:rPr>
          <w:rFonts w:hint="eastAsia"/>
        </w:rPr>
      </w:pPr>
      <w:r>
        <w:rPr>
          <w:rFonts w:hint="eastAsia"/>
          <w:b/>
          <w:bCs/>
        </w:rPr>
        <w:t>纪委书记：</w:t>
      </w:r>
      <w:r>
        <w:rPr>
          <w:rFonts w:hint="eastAsia"/>
        </w:rPr>
        <w:t>谢志铎（兼）</w:t>
      </w:r>
    </w:p>
    <w:p w14:paraId="248BB6AD">
      <w:pPr>
        <w:pStyle w:val="10"/>
        <w:bidi w:val="0"/>
        <w:rPr>
          <w:rFonts w:hint="eastAsia"/>
        </w:rPr>
      </w:pPr>
      <w:r>
        <w:rPr>
          <w:rFonts w:hint="eastAsia"/>
          <w:b/>
          <w:bCs/>
        </w:rPr>
        <w:t>纪委副书记：</w:t>
      </w:r>
      <w:r>
        <w:rPr>
          <w:rFonts w:hint="eastAsia"/>
        </w:rPr>
        <w:t>何文忠</w:t>
      </w:r>
      <w:r>
        <w:rPr>
          <w:rFonts w:hint="eastAsia"/>
          <w:lang w:val="en-US" w:eastAsia="zh-CN"/>
        </w:rPr>
        <w:t xml:space="preserve">   </w:t>
      </w:r>
      <w:r>
        <w:rPr>
          <w:rFonts w:hint="eastAsia"/>
        </w:rPr>
        <w:t>曾</w:t>
      </w:r>
      <w:r>
        <w:rPr>
          <w:rFonts w:hint="eastAsia"/>
          <w:lang w:val="en-US" w:eastAsia="zh-CN"/>
        </w:rPr>
        <w:t xml:space="preserve">  </w:t>
      </w:r>
      <w:r>
        <w:rPr>
          <w:rFonts w:hint="eastAsia"/>
        </w:rPr>
        <w:t>光</w:t>
      </w:r>
    </w:p>
    <w:p w14:paraId="1B1A46DF">
      <w:pPr>
        <w:pStyle w:val="10"/>
        <w:bidi w:val="0"/>
        <w:rPr>
          <w:rFonts w:hint="eastAsia"/>
        </w:rPr>
      </w:pPr>
      <w:r>
        <w:rPr>
          <w:rFonts w:hint="eastAsia"/>
          <w:b/>
          <w:bCs/>
        </w:rPr>
        <w:t>纪委常委：</w:t>
      </w:r>
      <w:r>
        <w:rPr>
          <w:rFonts w:hint="eastAsia"/>
        </w:rPr>
        <w:t>谢兆锋</w:t>
      </w:r>
      <w:r>
        <w:rPr>
          <w:rFonts w:hint="eastAsia"/>
          <w:lang w:val="en-US" w:eastAsia="zh-CN"/>
        </w:rPr>
        <w:t xml:space="preserve">   </w:t>
      </w:r>
      <w:r>
        <w:rPr>
          <w:rFonts w:hint="eastAsia"/>
        </w:rPr>
        <w:t>邱荣胜</w:t>
      </w:r>
      <w:r>
        <w:rPr>
          <w:rFonts w:hint="eastAsia"/>
          <w:lang w:val="en-US" w:eastAsia="zh-CN"/>
        </w:rPr>
        <w:t xml:space="preserve">   </w:t>
      </w:r>
      <w:r>
        <w:rPr>
          <w:rFonts w:hint="eastAsia"/>
        </w:rPr>
        <w:t>王长连</w:t>
      </w:r>
    </w:p>
    <w:p w14:paraId="1F997E0A">
      <w:pPr>
        <w:pStyle w:val="10"/>
        <w:bidi w:val="0"/>
        <w:ind w:leftChars="500"/>
      </w:pPr>
      <w:r>
        <w:rPr>
          <w:rFonts w:hint="eastAsia"/>
        </w:rPr>
        <w:t>李</w:t>
      </w:r>
      <w:r>
        <w:rPr>
          <w:rFonts w:hint="eastAsia"/>
          <w:lang w:val="en-US" w:eastAsia="zh-CN"/>
        </w:rPr>
        <w:t xml:space="preserve">  </w:t>
      </w:r>
      <w:r>
        <w:rPr>
          <w:rFonts w:hint="eastAsia"/>
        </w:rPr>
        <w:t>进（</w:t>
      </w:r>
      <w:r>
        <w:t>12月任）</w:t>
      </w:r>
    </w:p>
    <w:p w14:paraId="52A34F73">
      <w:pPr>
        <w:pStyle w:val="10"/>
        <w:bidi w:val="0"/>
        <w:rPr>
          <w:rFonts w:hint="eastAsia"/>
        </w:rPr>
      </w:pPr>
      <w:r>
        <w:rPr>
          <w:rFonts w:hint="eastAsia"/>
          <w:b/>
          <w:bCs/>
        </w:rPr>
        <w:t>监察局局长：</w:t>
      </w:r>
      <w:r>
        <w:rPr>
          <w:rFonts w:hint="eastAsia"/>
        </w:rPr>
        <w:t>何文忠（兼）</w:t>
      </w:r>
    </w:p>
    <w:p w14:paraId="7CE6B656">
      <w:pPr>
        <w:pStyle w:val="10"/>
        <w:bidi w:val="0"/>
        <w:rPr>
          <w:rFonts w:hint="eastAsia"/>
        </w:rPr>
      </w:pPr>
      <w:r>
        <w:rPr>
          <w:rFonts w:hint="eastAsia"/>
          <w:b/>
          <w:bCs/>
        </w:rPr>
        <w:t>监察局副局长：</w:t>
      </w:r>
      <w:r>
        <w:rPr>
          <w:rFonts w:hint="eastAsia"/>
        </w:rPr>
        <w:t>李见宏</w:t>
      </w:r>
      <w:r>
        <w:rPr>
          <w:rFonts w:hint="eastAsia"/>
          <w:lang w:val="en-US" w:eastAsia="zh-CN"/>
        </w:rPr>
        <w:t xml:space="preserve">   </w:t>
      </w:r>
      <w:r>
        <w:rPr>
          <w:rFonts w:hint="eastAsia"/>
        </w:rPr>
        <w:t>吴</w:t>
      </w:r>
      <w:r>
        <w:rPr>
          <w:rFonts w:hint="eastAsia"/>
          <w:lang w:val="en-US" w:eastAsia="zh-CN"/>
        </w:rPr>
        <w:t xml:space="preserve">  </w:t>
      </w:r>
      <w:r>
        <w:rPr>
          <w:rFonts w:hint="eastAsia"/>
        </w:rPr>
        <w:t>越</w:t>
      </w:r>
    </w:p>
    <w:p w14:paraId="568289AC">
      <w:pPr>
        <w:pStyle w:val="10"/>
        <w:bidi w:val="0"/>
        <w:rPr>
          <w:rFonts w:hint="eastAsia"/>
        </w:rPr>
      </w:pPr>
      <w:r>
        <w:rPr>
          <w:rFonts w:hint="eastAsia"/>
          <w:b/>
          <w:bCs/>
        </w:rPr>
        <w:t>工会主席：</w:t>
      </w:r>
      <w:r>
        <w:rPr>
          <w:rFonts w:hint="eastAsia"/>
        </w:rPr>
        <w:t>邓春英</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9AC13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854D591">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76010" cy="2360295"/>
                  <wp:effectExtent l="0" t="0" r="15240" b="1905"/>
                  <wp:docPr id="50" name="图片 50" descr="南雄年鉴2014-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南雄年鉴2014-050"/>
                          <pic:cNvPicPr>
                            <a:picLocks noChangeAspect="1"/>
                          </pic:cNvPicPr>
                        </pic:nvPicPr>
                        <pic:blipFill>
                          <a:blip r:embed="rId120"/>
                          <a:stretch>
                            <a:fillRect/>
                          </a:stretch>
                        </pic:blipFill>
                        <pic:spPr>
                          <a:xfrm>
                            <a:off x="0" y="0"/>
                            <a:ext cx="6176010" cy="2360295"/>
                          </a:xfrm>
                          <a:prstGeom prst="rect">
                            <a:avLst/>
                          </a:prstGeom>
                        </pic:spPr>
                      </pic:pic>
                    </a:graphicData>
                  </a:graphic>
                </wp:inline>
              </w:drawing>
            </w:r>
          </w:p>
        </w:tc>
      </w:tr>
    </w:tbl>
    <w:p w14:paraId="2827370D">
      <w:pPr>
        <w:pStyle w:val="2"/>
        <w:bidi w:val="0"/>
        <w:rPr>
          <w:rFonts w:hint="eastAsia"/>
        </w:rPr>
      </w:pPr>
      <w:r>
        <w:rPr>
          <w:rFonts w:hint="eastAsia"/>
        </w:rPr>
        <w:t>民主党派和群团组织</w:t>
      </w:r>
    </w:p>
    <w:p w14:paraId="7022D04C">
      <w:pPr>
        <w:pStyle w:val="3"/>
        <w:bidi w:val="0"/>
        <w:rPr>
          <w:rFonts w:hint="default"/>
          <w:lang w:val="en-US" w:eastAsia="zh-CN"/>
        </w:rPr>
      </w:pPr>
      <w:r>
        <w:rPr>
          <w:rFonts w:hint="eastAsia"/>
          <w:lang w:val="en-US" w:eastAsia="zh-CN"/>
        </w:rPr>
        <w:t>民革南雄市支部</w:t>
      </w:r>
    </w:p>
    <w:p w14:paraId="69B98840">
      <w:pPr>
        <w:pStyle w:val="4"/>
        <w:bidi w:val="0"/>
        <w:rPr>
          <w:rFonts w:hint="eastAsia"/>
        </w:rPr>
      </w:pPr>
      <w:r>
        <w:rPr>
          <w:rFonts w:hint="eastAsia"/>
        </w:rPr>
        <w:t>【概况】</w:t>
      </w:r>
    </w:p>
    <w:p w14:paraId="139562A4">
      <w:pPr>
        <w:rPr>
          <w:rFonts w:hint="eastAsia"/>
        </w:rPr>
      </w:pPr>
      <w:r>
        <w:rPr>
          <w:rFonts w:hint="eastAsia"/>
        </w:rPr>
        <w:t>中国国民党革命委员会（简称“民革”）是具有政</w:t>
      </w:r>
      <w:r>
        <w:rPr>
          <w:rFonts w:hint="eastAsia"/>
          <w:lang w:eastAsia="zh-CN"/>
        </w:rPr>
        <w:t>治</w:t>
      </w:r>
      <w:r>
        <w:rPr>
          <w:rFonts w:hint="eastAsia"/>
        </w:rPr>
        <w:t>联盟性质的、致力于建设有中国特色社会主义和祖国统一事业的政党，是中国共产党领导的多党合作和政治协商制度中的参政党。它是由继承孙中山爱国、革命和不断进步精神的原中国国民党民主派及其他爱国民主人士创建，于</w:t>
      </w:r>
      <w:r>
        <w:t>1948年1</w:t>
      </w:r>
      <w:r>
        <w:rPr>
          <w:rFonts w:hint="eastAsia"/>
        </w:rPr>
        <w:t>月</w:t>
      </w:r>
      <w:r>
        <w:t>1日在香港正式宣告成立，民革第一届中央执行</w:t>
      </w:r>
      <w:r>
        <w:rPr>
          <w:rFonts w:hint="eastAsia"/>
        </w:rPr>
        <w:t>委员会常务委员会名誉主席为宋庆龄（女），主席为李济深。南雄县于</w:t>
      </w:r>
      <w:r>
        <w:t>1990年5月成立民革联络小</w:t>
      </w:r>
      <w:r>
        <w:rPr>
          <w:rFonts w:hint="eastAsia"/>
        </w:rPr>
        <w:t>组，组长林佩琪，有</w:t>
      </w:r>
      <w:r>
        <w:t>5名成员。1991年8月13日，</w:t>
      </w:r>
      <w:r>
        <w:rPr>
          <w:rFonts w:hint="eastAsia"/>
        </w:rPr>
        <w:t>民革南雄县支部正式成立，林佩琪任主任委员，郑兰荣任宣传委员，叶隆越任组织委员，成员</w:t>
      </w:r>
      <w:r>
        <w:t>7人。1996年10月民革南雄县支部更名为民革南雄市支</w:t>
      </w:r>
      <w:r>
        <w:rPr>
          <w:rFonts w:hint="eastAsia"/>
        </w:rPr>
        <w:t>部。现支部共有民革党员</w:t>
      </w:r>
      <w:r>
        <w:t>42人，其中女党员10</w:t>
      </w:r>
      <w:r>
        <w:rPr>
          <w:rFonts w:hint="eastAsia"/>
        </w:rPr>
        <w:t>人。</w:t>
      </w:r>
      <w:r>
        <w:t>2013年支部被民革韶关市委评为“民革韶关市</w:t>
      </w:r>
      <w:r>
        <w:rPr>
          <w:rFonts w:hint="eastAsia"/>
        </w:rPr>
        <w:t>先进支部”。</w:t>
      </w:r>
    </w:p>
    <w:p w14:paraId="4BFD1D55">
      <w:pPr>
        <w:pStyle w:val="4"/>
        <w:bidi w:val="0"/>
        <w:rPr>
          <w:rFonts w:hint="eastAsia"/>
        </w:rPr>
      </w:pPr>
      <w:r>
        <w:rPr>
          <w:rFonts w:hint="eastAsia"/>
        </w:rPr>
        <w:t>【组织发展】</w:t>
      </w:r>
    </w:p>
    <w:p w14:paraId="79AF8518">
      <w:r>
        <w:rPr>
          <w:rFonts w:hint="eastAsia"/>
        </w:rPr>
        <w:t>组织稳步发展，</w:t>
      </w:r>
      <w:r>
        <w:t>2013年支部发展新</w:t>
      </w:r>
      <w:r>
        <w:rPr>
          <w:rFonts w:hint="eastAsia"/>
        </w:rPr>
        <w:t>党员</w:t>
      </w:r>
      <w:r>
        <w:t>3人。</w:t>
      </w:r>
    </w:p>
    <w:p w14:paraId="3A3F77DD">
      <w:pPr>
        <w:pStyle w:val="4"/>
        <w:bidi w:val="0"/>
        <w:rPr>
          <w:rFonts w:hint="eastAsia"/>
        </w:rPr>
      </w:pPr>
      <w:r>
        <w:rPr>
          <w:rFonts w:hint="eastAsia"/>
        </w:rPr>
        <w:t>【参政议政】</w:t>
      </w:r>
    </w:p>
    <w:p w14:paraId="391ACCA6">
      <w:pPr>
        <w:rPr>
          <w:rFonts w:hint="eastAsia"/>
        </w:rPr>
      </w:pPr>
      <w:r>
        <w:rPr>
          <w:rFonts w:hint="eastAsia"/>
        </w:rPr>
        <w:t>现支部党员中当选为韶关市人大代表的有</w:t>
      </w:r>
      <w:r>
        <w:t>1人，任南雄市政府副市长实职1名，政协</w:t>
      </w:r>
      <w:r>
        <w:rPr>
          <w:rFonts w:hint="eastAsia"/>
        </w:rPr>
        <w:t>委员</w:t>
      </w:r>
      <w:r>
        <w:t>3名，其中政协副主席1名。政协南雄市九届</w:t>
      </w:r>
      <w:r>
        <w:rPr>
          <w:rFonts w:hint="eastAsia"/>
        </w:rPr>
        <w:t>三次会议期间，支部及与支部中的政协党员共提了</w:t>
      </w:r>
      <w:r>
        <w:t>8份提案，支委及部分党员组织对南雄市农村垃圾</w:t>
      </w:r>
      <w:r>
        <w:rPr>
          <w:rFonts w:hint="eastAsia"/>
        </w:rPr>
        <w:t>处理的现状及其对策的调研活动。</w:t>
      </w:r>
    </w:p>
    <w:p w14:paraId="5E606AE2">
      <w:pPr>
        <w:pStyle w:val="4"/>
        <w:bidi w:val="0"/>
        <w:rPr>
          <w:rFonts w:hint="eastAsia"/>
        </w:rPr>
      </w:pPr>
      <w:r>
        <w:rPr>
          <w:rFonts w:hint="eastAsia"/>
        </w:rPr>
        <w:t>【社会服务】</w:t>
      </w:r>
    </w:p>
    <w:p w14:paraId="4E778176">
      <w:r>
        <w:rPr>
          <w:rFonts w:hint="eastAsia"/>
          <w:lang w:val="en-US" w:eastAsia="zh-CN"/>
        </w:rPr>
        <w:t>一</w:t>
      </w:r>
      <w:r>
        <w:rPr>
          <w:rFonts w:hint="eastAsia"/>
        </w:rPr>
        <w:t>对一扶贫帮困工作，捐助资金</w:t>
      </w:r>
      <w:r>
        <w:t>3800元，做好“奇星博爱中风康复基金”在南雄</w:t>
      </w:r>
      <w:r>
        <w:rPr>
          <w:rFonts w:hint="eastAsia"/>
        </w:rPr>
        <w:t>市开展的贫困脑中风患者的关爱，免费为符合条件的患者送医送药；应民革韶关市委的倡议，踊跃交纳党员互助金共计</w:t>
      </w:r>
      <w:r>
        <w:t>3300元；扶贫济困活动党员捐</w:t>
      </w:r>
      <w:r>
        <w:rPr>
          <w:rFonts w:hint="eastAsia"/>
        </w:rPr>
        <w:t>款</w:t>
      </w:r>
      <w:r>
        <w:t>5350元。</w:t>
      </w:r>
    </w:p>
    <w:p w14:paraId="02C2A8C5">
      <w:pPr>
        <w:pStyle w:val="4"/>
        <w:bidi w:val="0"/>
        <w:rPr>
          <w:rFonts w:hint="eastAsia"/>
        </w:rPr>
      </w:pPr>
      <w:r>
        <w:rPr>
          <w:rFonts w:hint="eastAsia"/>
        </w:rPr>
        <w:t>【组织建设】</w:t>
      </w:r>
    </w:p>
    <w:p w14:paraId="3709F646">
      <w:r>
        <w:rPr>
          <w:rFonts w:hint="eastAsia"/>
        </w:rPr>
        <w:t>加强学习，密切关注、学习分析政策，努力提高参政议政能力和水平。</w:t>
      </w:r>
      <w:r>
        <w:t>2013年支部</w:t>
      </w:r>
      <w:r>
        <w:rPr>
          <w:rFonts w:hint="eastAsia"/>
        </w:rPr>
        <w:t>《团结报》订阅数</w:t>
      </w:r>
      <w:r>
        <w:t>29份、《中国统一战线》订阅6份。</w:t>
      </w:r>
    </w:p>
    <w:p w14:paraId="2C9C2B0C">
      <w:pPr>
        <w:jc w:val="right"/>
        <w:rPr>
          <w:rFonts w:hint="eastAsia"/>
          <w:b/>
          <w:bCs/>
        </w:rPr>
      </w:pPr>
      <w:r>
        <w:rPr>
          <w:rFonts w:hint="eastAsia"/>
          <w:b/>
          <w:bCs/>
        </w:rPr>
        <w:t>（谭小山）</w:t>
      </w:r>
    </w:p>
    <w:p w14:paraId="79A25DD2">
      <w:pPr>
        <w:pStyle w:val="10"/>
        <w:bidi w:val="0"/>
        <w:rPr>
          <w:b/>
          <w:bCs/>
        </w:rPr>
      </w:pPr>
      <w:r>
        <w:rPr>
          <w:rFonts w:hint="eastAsia"/>
          <w:b/>
          <w:bCs/>
        </w:rPr>
        <w:t>附：</w:t>
      </w:r>
      <w:r>
        <w:rPr>
          <w:b/>
          <w:bCs/>
        </w:rPr>
        <w:t>2013年民革南雄市支部领导班子成员名单</w:t>
      </w:r>
    </w:p>
    <w:p w14:paraId="2441AD7E">
      <w:pPr>
        <w:pStyle w:val="10"/>
        <w:bidi w:val="0"/>
        <w:rPr>
          <w:rFonts w:hint="eastAsia"/>
        </w:rPr>
      </w:pPr>
      <w:r>
        <w:rPr>
          <w:rFonts w:hint="eastAsia"/>
          <w:b/>
          <w:bCs/>
        </w:rPr>
        <w:t>主任委员：</w:t>
      </w:r>
      <w:r>
        <w:rPr>
          <w:rFonts w:hint="eastAsia"/>
        </w:rPr>
        <w:t>刘卫忠</w:t>
      </w:r>
    </w:p>
    <w:p w14:paraId="34078406">
      <w:pPr>
        <w:pStyle w:val="10"/>
        <w:bidi w:val="0"/>
        <w:rPr>
          <w:rFonts w:hint="eastAsia"/>
        </w:rPr>
      </w:pPr>
      <w:r>
        <w:rPr>
          <w:rFonts w:hint="eastAsia"/>
          <w:b/>
          <w:bCs/>
        </w:rPr>
        <w:t>副主任委员：</w:t>
      </w:r>
      <w:r>
        <w:rPr>
          <w:rFonts w:hint="eastAsia"/>
        </w:rPr>
        <w:t>谭小山</w:t>
      </w:r>
      <w:r>
        <w:rPr>
          <w:rFonts w:hint="eastAsia"/>
          <w:lang w:val="en-US" w:eastAsia="zh-CN"/>
        </w:rPr>
        <w:t xml:space="preserve">   </w:t>
      </w:r>
      <w:r>
        <w:rPr>
          <w:rFonts w:hint="eastAsia"/>
        </w:rPr>
        <w:t>朱兆清</w:t>
      </w:r>
    </w:p>
    <w:p w14:paraId="6CBDCD81">
      <w:pPr>
        <w:pStyle w:val="3"/>
        <w:bidi w:val="0"/>
        <w:rPr>
          <w:rFonts w:hint="default"/>
          <w:lang w:val="en-US" w:eastAsia="zh-CN"/>
        </w:rPr>
      </w:pPr>
      <w:r>
        <w:rPr>
          <w:rFonts w:hint="eastAsia"/>
          <w:lang w:val="en-US" w:eastAsia="zh-CN"/>
        </w:rPr>
        <w:t>民盟南雄市总支部</w:t>
      </w:r>
    </w:p>
    <w:p w14:paraId="78E51780">
      <w:pPr>
        <w:pStyle w:val="4"/>
        <w:bidi w:val="0"/>
        <w:rPr>
          <w:rFonts w:hint="eastAsia"/>
        </w:rPr>
      </w:pPr>
      <w:r>
        <w:rPr>
          <w:rFonts w:hint="eastAsia"/>
        </w:rPr>
        <w:t>【概况】</w:t>
      </w:r>
    </w:p>
    <w:p w14:paraId="5E1B3E5D">
      <w:pPr>
        <w:rPr>
          <w:rFonts w:hint="eastAsia"/>
        </w:rPr>
      </w:pPr>
      <w:r>
        <w:t>1987年5月，中国民主同盟南雄小组成</w:t>
      </w:r>
      <w:r>
        <w:rPr>
          <w:rFonts w:hint="eastAsia"/>
        </w:rPr>
        <w:t>立（简称“民盟”），有盟员</w:t>
      </w:r>
      <w:r>
        <w:t>4人。1988年7月20</w:t>
      </w:r>
      <w:r>
        <w:rPr>
          <w:rFonts w:hint="eastAsia"/>
        </w:rPr>
        <w:t>日，成立支部，盟员</w:t>
      </w:r>
      <w:r>
        <w:t>10人。1994年10月19日，</w:t>
      </w:r>
      <w:r>
        <w:rPr>
          <w:rFonts w:hint="eastAsia"/>
        </w:rPr>
        <w:t>成立总支，下设</w:t>
      </w:r>
      <w:r>
        <w:t>3个支部，有盟员32人。2010年11月19日，民盟南雄总支召开第六次全体会议，</w:t>
      </w:r>
      <w:r>
        <w:rPr>
          <w:rFonts w:hint="eastAsia"/>
        </w:rPr>
        <w:t>选举产生第六届总支委员：主委赖华焜，副主委陈盛荣、莫民润，委员刘章山、曹春梅、陈川荣、陈卫星、胡图山、尹刚。总支下设</w:t>
      </w:r>
      <w:r>
        <w:t>3个支部：南雄中</w:t>
      </w:r>
      <w:r>
        <w:rPr>
          <w:rFonts w:hint="eastAsia"/>
        </w:rPr>
        <w:t>学支部，主委胡图山；南雄一中支部，主委陈川荣；联合支部，主委尹刚。现有盟员</w:t>
      </w:r>
      <w:r>
        <w:t>44人。2013</w:t>
      </w:r>
      <w:r>
        <w:rPr>
          <w:rFonts w:hint="eastAsia"/>
        </w:rPr>
        <w:t>年民盟南雄总支部被评为民盟韶关市委先进基层；</w:t>
      </w:r>
      <w:r>
        <w:t>2013年陈卫星被评为民盟韶关市优秀支部委员，王</w:t>
      </w:r>
      <w:r>
        <w:rPr>
          <w:rFonts w:hint="eastAsia"/>
        </w:rPr>
        <w:t>洪林、沈华文被评为民盟韶关市优秀盟员；</w:t>
      </w:r>
    </w:p>
    <w:p w14:paraId="3D869E68">
      <w:pPr>
        <w:pStyle w:val="4"/>
        <w:bidi w:val="0"/>
        <w:rPr>
          <w:rFonts w:hint="eastAsia"/>
        </w:rPr>
      </w:pPr>
      <w:r>
        <w:rPr>
          <w:rFonts w:hint="eastAsia"/>
        </w:rPr>
        <w:t>【落实民盟中心任务】</w:t>
      </w:r>
    </w:p>
    <w:p w14:paraId="49100A4A">
      <w:pPr>
        <w:rPr>
          <w:rFonts w:hint="eastAsia"/>
        </w:rPr>
      </w:pPr>
      <w:r>
        <w:t>1、配合民盟韶关市委开展</w:t>
      </w:r>
      <w:r>
        <w:rPr>
          <w:rFonts w:hint="eastAsia"/>
          <w:lang w:eastAsia="zh-CN"/>
        </w:rPr>
        <w:t>《</w:t>
      </w:r>
      <w:r>
        <w:rPr>
          <w:rFonts w:hint="eastAsia"/>
        </w:rPr>
        <w:t>韶关铁路建设》课题的调研工作、协助民盟韶关市委开展送教送医活动、扶助贫困学生活动等。</w:t>
      </w:r>
    </w:p>
    <w:p w14:paraId="2B99E4A3">
      <w:pPr>
        <w:rPr>
          <w:rFonts w:hint="eastAsia"/>
        </w:rPr>
      </w:pPr>
      <w:r>
        <w:t>2、民盟参政议政，向人大、政协提出提案、</w:t>
      </w:r>
      <w:r>
        <w:rPr>
          <w:rFonts w:hint="eastAsia"/>
        </w:rPr>
        <w:t>意见和建议。如：关于“清理取缔存在安全隐患的非法幼儿园”的建议及关于“关于加强留守儿童监管和教育”的建议。</w:t>
      </w:r>
    </w:p>
    <w:p w14:paraId="5241E07B">
      <w:pPr>
        <w:rPr>
          <w:rFonts w:hint="eastAsia"/>
        </w:rPr>
      </w:pPr>
      <w:r>
        <w:t>3、总支建立常态化的成员组织生活制度。除</w:t>
      </w:r>
      <w:r>
        <w:rPr>
          <w:rFonts w:hint="eastAsia"/>
        </w:rPr>
        <w:t>正常的学习活动、专题调研活动外，总支还建立教师节、重阳节、三八妇女节、春节及一些特殊的慰问活动制度，让老盟员、妇女盟员、困难盟员等体验到组织的温暖。</w:t>
      </w:r>
    </w:p>
    <w:p w14:paraId="0B2C4034">
      <w:pPr>
        <w:rPr>
          <w:rFonts w:hint="eastAsia"/>
        </w:rPr>
      </w:pPr>
      <w:r>
        <w:t>4、雄中支部、一中支部的盟员为南雄中学</w:t>
      </w:r>
      <w:r>
        <w:rPr>
          <w:rFonts w:hint="eastAsia"/>
          <w:lang w:eastAsia="zh-CN"/>
        </w:rPr>
        <w:t>、</w:t>
      </w:r>
      <w:r>
        <w:rPr>
          <w:rFonts w:hint="eastAsia"/>
        </w:rPr>
        <w:t>南雄一中的健康发展、教育教学质量的提升、高考成绩的不断超越和历史性突破做出了贡献。南雄中医院的盟员们为南雄中医院的康复科、骨科、内科、妇产科的发展强大做出了贡献，且有一项科研成果获得韶关市卫生系统三等奖；盟员领导的康复科成功通过“国家级农村医疗机构中医特色专科</w:t>
      </w:r>
      <w:r>
        <w:rPr>
          <w:rFonts w:hint="eastAsia"/>
          <w:lang w:eastAsia="zh-CN"/>
        </w:rPr>
        <w:t>”</w:t>
      </w:r>
      <w:r>
        <w:rPr>
          <w:rFonts w:hint="eastAsia"/>
        </w:rPr>
        <w:t>和“医院重点专科”评审验收工作。民盟南雄总支已成为南雄社会各项事业发展的一支重要力量。</w:t>
      </w:r>
    </w:p>
    <w:p w14:paraId="7B41B742">
      <w:pPr>
        <w:jc w:val="right"/>
        <w:rPr>
          <w:rFonts w:hint="eastAsia"/>
          <w:b/>
          <w:bCs/>
        </w:rPr>
      </w:pPr>
      <w:r>
        <w:rPr>
          <w:rFonts w:hint="eastAsia"/>
          <w:b/>
          <w:bCs/>
        </w:rPr>
        <w:t>（民盟南雄总支部）</w:t>
      </w:r>
    </w:p>
    <w:p w14:paraId="6E74B2A2">
      <w:pPr>
        <w:pStyle w:val="10"/>
        <w:bidi w:val="0"/>
        <w:rPr>
          <w:b/>
          <w:bCs/>
        </w:rPr>
      </w:pPr>
      <w:r>
        <w:rPr>
          <w:rFonts w:hint="eastAsia"/>
          <w:b/>
          <w:bCs/>
        </w:rPr>
        <w:t>附：</w:t>
      </w:r>
      <w:r>
        <w:rPr>
          <w:b/>
          <w:bCs/>
        </w:rPr>
        <w:t>2013年民盟南雄总支部领导班子成员名单</w:t>
      </w:r>
    </w:p>
    <w:p w14:paraId="56CAB54B">
      <w:pPr>
        <w:pStyle w:val="10"/>
        <w:bidi w:val="0"/>
        <w:rPr>
          <w:rFonts w:hint="eastAsia"/>
        </w:rPr>
      </w:pPr>
      <w:r>
        <w:rPr>
          <w:rFonts w:hint="eastAsia"/>
          <w:b/>
          <w:bCs/>
        </w:rPr>
        <w:t>主</w:t>
      </w:r>
      <w:r>
        <w:rPr>
          <w:rFonts w:hint="eastAsia"/>
          <w:b/>
          <w:bCs/>
          <w:lang w:val="en-US" w:eastAsia="zh-CN"/>
        </w:rPr>
        <w:t xml:space="preserve">  </w:t>
      </w:r>
      <w:r>
        <w:rPr>
          <w:rFonts w:hint="eastAsia"/>
          <w:b/>
          <w:bCs/>
        </w:rPr>
        <w:t>委：</w:t>
      </w:r>
      <w:r>
        <w:rPr>
          <w:rFonts w:hint="eastAsia"/>
        </w:rPr>
        <w:t>赖华焜</w:t>
      </w:r>
    </w:p>
    <w:p w14:paraId="7493BD07">
      <w:pPr>
        <w:pStyle w:val="10"/>
        <w:bidi w:val="0"/>
        <w:rPr>
          <w:rFonts w:hint="eastAsia"/>
        </w:rPr>
      </w:pPr>
      <w:r>
        <w:rPr>
          <w:rFonts w:hint="eastAsia"/>
          <w:b/>
          <w:bCs/>
        </w:rPr>
        <w:t>副主委：</w:t>
      </w:r>
      <w:r>
        <w:rPr>
          <w:rFonts w:hint="eastAsia"/>
        </w:rPr>
        <w:t>陈盛荣</w:t>
      </w:r>
      <w:r>
        <w:rPr>
          <w:rFonts w:hint="eastAsia"/>
          <w:lang w:val="en-US" w:eastAsia="zh-CN"/>
        </w:rPr>
        <w:t xml:space="preserve">   </w:t>
      </w:r>
      <w:r>
        <w:rPr>
          <w:rFonts w:hint="eastAsia"/>
        </w:rPr>
        <w:t>莫民润</w:t>
      </w:r>
    </w:p>
    <w:p w14:paraId="12FD3D15">
      <w:pPr>
        <w:pStyle w:val="3"/>
        <w:bidi w:val="0"/>
        <w:rPr>
          <w:rFonts w:hint="default"/>
          <w:lang w:val="en-US" w:eastAsia="zh-CN"/>
        </w:rPr>
      </w:pPr>
      <w:r>
        <w:rPr>
          <w:rFonts w:hint="eastAsia"/>
          <w:lang w:val="en-US" w:eastAsia="zh-CN"/>
        </w:rPr>
        <w:t>九三学社南雄市支社</w:t>
      </w:r>
    </w:p>
    <w:p w14:paraId="00BD4F76">
      <w:pPr>
        <w:pStyle w:val="4"/>
        <w:bidi w:val="0"/>
        <w:rPr>
          <w:rFonts w:hint="eastAsia"/>
        </w:rPr>
      </w:pPr>
      <w:r>
        <w:rPr>
          <w:rFonts w:hint="eastAsia"/>
        </w:rPr>
        <w:t>【概况】</w:t>
      </w:r>
    </w:p>
    <w:p w14:paraId="3B455377">
      <w:pPr>
        <w:rPr>
          <w:rFonts w:hint="eastAsia"/>
        </w:rPr>
      </w:pPr>
      <w:r>
        <w:t>2008年5月成立九三学社南雄小组，2013年10月18日成立九三学社南雄市支社，2013</w:t>
      </w:r>
      <w:r>
        <w:rPr>
          <w:rFonts w:hint="eastAsia"/>
        </w:rPr>
        <w:t>年南雄市支社发展社员</w:t>
      </w:r>
      <w:r>
        <w:t>2名，现有社员10人，支</w:t>
      </w:r>
      <w:r>
        <w:rPr>
          <w:rFonts w:hint="eastAsia"/>
        </w:rPr>
        <w:t>社主委何旗明，现任南雄市九届政协常委、南雄市人民医院副院长。</w:t>
      </w:r>
      <w:r>
        <w:t>2013年张联标社员、何旗明社员</w:t>
      </w:r>
      <w:r>
        <w:rPr>
          <w:rFonts w:hint="eastAsia"/>
        </w:rPr>
        <w:t>分别被九三学社韶关市委表彰为优秀社员和参政议政积极分子。</w:t>
      </w:r>
    </w:p>
    <w:p w14:paraId="490AFD98">
      <w:pPr>
        <w:pStyle w:val="4"/>
        <w:bidi w:val="0"/>
        <w:rPr>
          <w:rFonts w:hint="eastAsia"/>
        </w:rPr>
      </w:pPr>
      <w:r>
        <w:rPr>
          <w:rFonts w:hint="eastAsia"/>
          <w:lang w:eastAsia="zh-CN"/>
        </w:rPr>
        <w:t>【</w:t>
      </w:r>
      <w:r>
        <w:rPr>
          <w:rFonts w:hint="eastAsia"/>
        </w:rPr>
        <w:t>参政议政】</w:t>
      </w:r>
    </w:p>
    <w:p w14:paraId="00681CD0">
      <w:pPr>
        <w:rPr>
          <w:rFonts w:hint="eastAsia"/>
        </w:rPr>
      </w:pPr>
      <w:r>
        <w:rPr>
          <w:rFonts w:hint="eastAsia"/>
          <w:lang w:val="en-US" w:eastAsia="zh-CN"/>
        </w:rPr>
        <w:t>支社</w:t>
      </w:r>
      <w:r>
        <w:rPr>
          <w:rFonts w:hint="eastAsia"/>
        </w:rPr>
        <w:t>针对市区三轮摩托车违章搭客，不文明行车影响交通安全和城区市民出行等问题组织社员深入调研，撰写《关于整治三轮车违章搭客的建议》和《关于在市区开通公交车的建议》，并作为九三学社南雄市支社集体提案在市政协九届三次会议上提出，获得立案并得到承办单位的重视和解决。支社于上年度政协例会上提交的《关于高起点规划高标准建设帽子峰森林公园的建议》和陈优社员提交的《关于大力发展乡村旅游</w:t>
      </w:r>
      <w:r>
        <w:t>&lt;南雄小九寨</w:t>
      </w:r>
      <w:r>
        <w:rPr>
          <w:rFonts w:hint="eastAsia"/>
        </w:rPr>
        <w:t>沟</w:t>
      </w:r>
      <w:r>
        <w:t>&gt;的建议》等两份提案，在2013年南雄市政协</w:t>
      </w:r>
      <w:r>
        <w:rPr>
          <w:rFonts w:hint="eastAsia"/>
        </w:rPr>
        <w:t>九届三次会议上被表彰为优秀提案。</w:t>
      </w:r>
    </w:p>
    <w:p w14:paraId="46BEE8DE">
      <w:pPr>
        <w:pStyle w:val="4"/>
        <w:bidi w:val="0"/>
        <w:rPr>
          <w:rFonts w:hint="eastAsia"/>
        </w:rPr>
      </w:pPr>
      <w:r>
        <w:rPr>
          <w:rFonts w:hint="eastAsia"/>
        </w:rPr>
        <w:t>【服务社会】</w:t>
      </w:r>
    </w:p>
    <w:p w14:paraId="283B06F4">
      <w:pPr>
        <w:rPr>
          <w:rFonts w:hint="eastAsia"/>
        </w:rPr>
      </w:pPr>
      <w:r>
        <w:t>2013年支社开展社会服务活动2</w:t>
      </w:r>
      <w:r>
        <w:rPr>
          <w:rFonts w:hint="eastAsia"/>
        </w:rPr>
        <w:t>次，调研</w:t>
      </w:r>
      <w:r>
        <w:t>3次，提出合理化建议6条，撰写集体提</w:t>
      </w:r>
      <w:r>
        <w:rPr>
          <w:rFonts w:hint="eastAsia"/>
        </w:rPr>
        <w:t>案</w:t>
      </w:r>
      <w:r>
        <w:t>2份。2013年11月，支社组织社员到水口镇义</w:t>
      </w:r>
      <w:r>
        <w:rPr>
          <w:rFonts w:hint="eastAsia"/>
        </w:rPr>
        <w:t>诊，到水口敬老院慰问老人并赠送价值近万元的保健药品一批。</w:t>
      </w:r>
      <w:r>
        <w:t>2013年9月李文华社员代表南雄市卫</w:t>
      </w:r>
      <w:r>
        <w:rPr>
          <w:rFonts w:hint="eastAsia"/>
        </w:rPr>
        <w:t>生局参加韶关市卫生系统羽毛球比赛获得团体第</w:t>
      </w:r>
      <w:r>
        <w:rPr>
          <w:rFonts w:hint="eastAsia"/>
          <w:lang w:val="en-US" w:eastAsia="zh-CN"/>
        </w:rPr>
        <w:t>一</w:t>
      </w:r>
      <w:r>
        <w:rPr>
          <w:rFonts w:hint="eastAsia"/>
        </w:rPr>
        <w:t>名的好成绩。</w:t>
      </w:r>
    </w:p>
    <w:p w14:paraId="6D9CF349">
      <w:pPr>
        <w:pStyle w:val="4"/>
        <w:bidi w:val="0"/>
        <w:rPr>
          <w:rFonts w:hint="eastAsia"/>
        </w:rPr>
      </w:pPr>
      <w:r>
        <w:rPr>
          <w:rFonts w:hint="eastAsia"/>
        </w:rPr>
        <w:t>【支社筹建工作顺利完成】</w:t>
      </w:r>
    </w:p>
    <w:p w14:paraId="315B69D1">
      <w:pPr>
        <w:rPr>
          <w:rFonts w:hint="eastAsia"/>
        </w:rPr>
      </w:pPr>
      <w:r>
        <w:rPr>
          <w:rFonts w:hint="eastAsia"/>
        </w:rPr>
        <w:t>经中共韶关市委统战部和中共南雄市委同意，在九三学社韶关市委和中共南雄市委统战部的组织领导下，</w:t>
      </w:r>
      <w:r>
        <w:t>2013年10月18</w:t>
      </w:r>
      <w:r>
        <w:rPr>
          <w:rFonts w:hint="eastAsia"/>
        </w:rPr>
        <w:t>日，九三学社南雄市支社正式成立。召开的支社第</w:t>
      </w:r>
      <w:r>
        <w:rPr>
          <w:rFonts w:hint="eastAsia"/>
          <w:lang w:val="en-US" w:eastAsia="zh-CN"/>
        </w:rPr>
        <w:t>一</w:t>
      </w:r>
      <w:r>
        <w:rPr>
          <w:rFonts w:hint="eastAsia"/>
        </w:rPr>
        <w:t>次社员大会，选举产生九三学社南雄市支社第</w:t>
      </w:r>
      <w:r>
        <w:rPr>
          <w:rFonts w:hint="eastAsia"/>
          <w:lang w:val="en-US" w:eastAsia="zh-CN"/>
        </w:rPr>
        <w:t>一</w:t>
      </w:r>
      <w:r>
        <w:rPr>
          <w:rFonts w:hint="eastAsia"/>
        </w:rPr>
        <w:t>届委员会，选举何旗明任主任委员，陈优任副主任委员。</w:t>
      </w:r>
    </w:p>
    <w:p w14:paraId="2499D798">
      <w:pPr>
        <w:jc w:val="right"/>
        <w:rPr>
          <w:rFonts w:hint="eastAsia"/>
          <w:b/>
          <w:bCs/>
        </w:rPr>
      </w:pPr>
      <w:r>
        <w:rPr>
          <w:rFonts w:hint="eastAsia"/>
          <w:b/>
          <w:bCs/>
        </w:rPr>
        <w:t>（九三学社南雄市支社）</w:t>
      </w:r>
    </w:p>
    <w:p w14:paraId="571AE519">
      <w:pPr>
        <w:pStyle w:val="10"/>
        <w:bidi w:val="0"/>
        <w:rPr>
          <w:b/>
          <w:bCs/>
        </w:rPr>
      </w:pPr>
      <w:r>
        <w:rPr>
          <w:rFonts w:hint="eastAsia"/>
          <w:b/>
          <w:bCs/>
        </w:rPr>
        <w:t>附：</w:t>
      </w:r>
      <w:r>
        <w:rPr>
          <w:b/>
          <w:bCs/>
        </w:rPr>
        <w:t>2013年九三学社南雄市支社领导班子成员名单</w:t>
      </w:r>
    </w:p>
    <w:p w14:paraId="32383E30">
      <w:pPr>
        <w:pStyle w:val="10"/>
        <w:bidi w:val="0"/>
        <w:rPr>
          <w:rFonts w:hint="eastAsia"/>
        </w:rPr>
      </w:pPr>
      <w:r>
        <w:rPr>
          <w:rFonts w:hint="eastAsia"/>
          <w:b/>
          <w:bCs/>
        </w:rPr>
        <w:t>主</w:t>
      </w:r>
      <w:r>
        <w:rPr>
          <w:rFonts w:hint="eastAsia"/>
          <w:b/>
          <w:bCs/>
          <w:lang w:val="en-US" w:eastAsia="zh-CN"/>
        </w:rPr>
        <w:t xml:space="preserve">  </w:t>
      </w:r>
      <w:r>
        <w:rPr>
          <w:rFonts w:hint="eastAsia"/>
          <w:b/>
          <w:bCs/>
        </w:rPr>
        <w:t>委：</w:t>
      </w:r>
      <w:r>
        <w:rPr>
          <w:rFonts w:hint="eastAsia"/>
        </w:rPr>
        <w:t>何旗明</w:t>
      </w:r>
    </w:p>
    <w:p w14:paraId="0D696332">
      <w:pPr>
        <w:pStyle w:val="10"/>
        <w:bidi w:val="0"/>
        <w:rPr>
          <w:rFonts w:hint="eastAsia"/>
        </w:rPr>
      </w:pPr>
      <w:r>
        <w:rPr>
          <w:rFonts w:hint="eastAsia"/>
          <w:b/>
          <w:bCs/>
        </w:rPr>
        <w:t>副主委：</w:t>
      </w:r>
      <w:r>
        <w:rPr>
          <w:rFonts w:hint="eastAsia"/>
        </w:rPr>
        <w:t>陈</w:t>
      </w:r>
      <w:r>
        <w:rPr>
          <w:rFonts w:hint="eastAsia"/>
          <w:lang w:val="en-US" w:eastAsia="zh-CN"/>
        </w:rPr>
        <w:t xml:space="preserve">  </w:t>
      </w:r>
      <w:r>
        <w:rPr>
          <w:rFonts w:hint="eastAsia"/>
        </w:rPr>
        <w:t>优</w:t>
      </w:r>
    </w:p>
    <w:p w14:paraId="3506D360">
      <w:pPr>
        <w:pStyle w:val="3"/>
        <w:bidi w:val="0"/>
        <w:rPr>
          <w:rFonts w:hint="eastAsia"/>
          <w:lang w:val="en-US" w:eastAsia="zh-CN"/>
        </w:rPr>
      </w:pPr>
      <w:r>
        <w:rPr>
          <w:rFonts w:hint="eastAsia"/>
          <w:lang w:val="en-US" w:eastAsia="zh-CN"/>
        </w:rPr>
        <w:t>总工会</w:t>
      </w:r>
    </w:p>
    <w:p w14:paraId="0EF9478E">
      <w:pPr>
        <w:pStyle w:val="4"/>
        <w:bidi w:val="0"/>
        <w:rPr>
          <w:rFonts w:hint="eastAsia"/>
        </w:rPr>
      </w:pPr>
      <w:r>
        <w:rPr>
          <w:rFonts w:hint="eastAsia"/>
        </w:rPr>
        <w:t>【概况】</w:t>
      </w:r>
    </w:p>
    <w:p w14:paraId="4662ADC8">
      <w:pPr>
        <w:rPr>
          <w:rFonts w:hint="eastAsia"/>
        </w:rPr>
      </w:pPr>
      <w:r>
        <w:t>2013年12月28日，总工会办公地址从</w:t>
      </w:r>
      <w:r>
        <w:rPr>
          <w:rFonts w:hint="eastAsia"/>
        </w:rPr>
        <w:t>南雄市区光明西路</w:t>
      </w:r>
      <w:r>
        <w:t>56号搬迁到浈江路68号。南雄</w:t>
      </w:r>
      <w:r>
        <w:rPr>
          <w:rFonts w:hint="eastAsia"/>
        </w:rPr>
        <w:t>市总工会成立于</w:t>
      </w:r>
      <w:r>
        <w:t>1926年5月1日，是正科级群众团</w:t>
      </w:r>
      <w:r>
        <w:rPr>
          <w:rFonts w:hint="eastAsia"/>
        </w:rPr>
        <w:t>体，参公管理单位。行政编制</w:t>
      </w:r>
      <w:r>
        <w:t>7人，其中主席1</w:t>
      </w:r>
      <w:r>
        <w:rPr>
          <w:rFonts w:hint="eastAsia"/>
        </w:rPr>
        <w:t>名，副主席</w:t>
      </w:r>
      <w:r>
        <w:t>2名，股长（部长）4名。内设机构</w:t>
      </w:r>
      <w:r>
        <w:rPr>
          <w:rFonts w:hint="eastAsia"/>
        </w:rPr>
        <w:t>有：办公室、组宣部、权益保障部、财务女工部。下辖事业单位南雄市工人文化宫，事业编制</w:t>
      </w:r>
      <w:r>
        <w:t>8人。2013年度，南雄市总工会在韶关市工会工作综合考</w:t>
      </w:r>
      <w:r>
        <w:rPr>
          <w:rFonts w:hint="eastAsia"/>
        </w:rPr>
        <w:t>核中被评为优秀单位。</w:t>
      </w:r>
    </w:p>
    <w:p w14:paraId="6D55A53C">
      <w:pPr>
        <w:pStyle w:val="4"/>
        <w:bidi w:val="0"/>
        <w:rPr>
          <w:rFonts w:hint="eastAsia"/>
        </w:rPr>
      </w:pPr>
      <w:r>
        <w:rPr>
          <w:rFonts w:hint="eastAsia"/>
          <w:lang w:eastAsia="zh-CN"/>
        </w:rPr>
        <w:t>【</w:t>
      </w:r>
      <w:r>
        <w:rPr>
          <w:rFonts w:hint="eastAsia"/>
        </w:rPr>
        <w:t>“两个普</w:t>
      </w:r>
      <w:r>
        <w:rPr>
          <w:rFonts w:hint="eastAsia"/>
          <w:lang w:val="en-US" w:eastAsia="zh-CN"/>
        </w:rPr>
        <w:t>遍</w:t>
      </w:r>
      <w:r>
        <w:rPr>
          <w:rFonts w:hint="eastAsia"/>
        </w:rPr>
        <w:t>”工作】</w:t>
      </w:r>
    </w:p>
    <w:p w14:paraId="771FE5AE">
      <w:pPr>
        <w:rPr>
          <w:rFonts w:hint="eastAsia"/>
        </w:rPr>
      </w:pPr>
      <w:r>
        <w:t>2013年，南雄市扎实推进</w:t>
      </w:r>
      <w:r>
        <w:rPr>
          <w:rFonts w:hint="eastAsia"/>
        </w:rPr>
        <w:t>工会组建和工资集体协商建制工作，基本完成“两个普遍”</w:t>
      </w:r>
      <w:r>
        <w:t>3年规划的目标任务。</w:t>
      </w:r>
      <w:r>
        <w:rPr>
          <w:rFonts w:hint="eastAsia"/>
        </w:rPr>
        <w:t>工会组建方面，至</w:t>
      </w:r>
      <w:r>
        <w:t>2013年底，南雄市共有工</w:t>
      </w:r>
      <w:r>
        <w:rPr>
          <w:rFonts w:hint="eastAsia"/>
        </w:rPr>
        <w:t>会组织</w:t>
      </w:r>
      <w:r>
        <w:t>837家，其中独立基层工会731家，联合基</w:t>
      </w:r>
      <w:r>
        <w:rPr>
          <w:rFonts w:hint="eastAsia"/>
        </w:rPr>
        <w:t>层工会</w:t>
      </w:r>
      <w:r>
        <w:t>106家，基层工会涵盖单位8003个，工会</w:t>
      </w:r>
      <w:r>
        <w:rPr>
          <w:rFonts w:hint="eastAsia"/>
        </w:rPr>
        <w:t>会员</w:t>
      </w:r>
      <w:r>
        <w:t>61104人，农民工会员25515人；有女职工组</w:t>
      </w:r>
      <w:r>
        <w:rPr>
          <w:rFonts w:hint="eastAsia"/>
        </w:rPr>
        <w:t>织</w:t>
      </w:r>
      <w:r>
        <w:t>829个，女职工会员23338人。其中2013年组建</w:t>
      </w:r>
      <w:r>
        <w:rPr>
          <w:rFonts w:hint="eastAsia"/>
        </w:rPr>
        <w:t>独立基层工会</w:t>
      </w:r>
      <w:r>
        <w:t>22个，发展会员3152人，其中农民</w:t>
      </w:r>
      <w:r>
        <w:rPr>
          <w:rFonts w:hint="eastAsia"/>
        </w:rPr>
        <w:t>工会员</w:t>
      </w:r>
      <w:r>
        <w:t>2047人，完成韶关市总工会下达的工会组</w:t>
      </w:r>
      <w:r>
        <w:rPr>
          <w:rFonts w:hint="eastAsia"/>
        </w:rPr>
        <w:t>建任务。</w:t>
      </w:r>
    </w:p>
    <w:p w14:paraId="4AF3B597">
      <w:r>
        <w:rPr>
          <w:rFonts w:hint="eastAsia"/>
        </w:rPr>
        <w:t>工资集体协商建制方面，总工会在全市企业全力推行工资集体协商制度，采取沟通在前，协商</w:t>
      </w:r>
      <w:r>
        <w:rPr>
          <w:rFonts w:hint="eastAsia"/>
          <w:lang w:val="en-US" w:eastAsia="zh-CN"/>
        </w:rPr>
        <w:t>一</w:t>
      </w:r>
      <w:r>
        <w:rPr>
          <w:rFonts w:hint="eastAsia"/>
        </w:rPr>
        <w:t>致，最后推进的工作方法，以点带面地将工资集体协商工作覆盖到已组建工会的每个企业。到</w:t>
      </w:r>
      <w:r>
        <w:t>2013</w:t>
      </w:r>
      <w:r>
        <w:rPr>
          <w:rFonts w:hint="eastAsia"/>
        </w:rPr>
        <w:t>年底，签订区域性集体合同</w:t>
      </w:r>
      <w:r>
        <w:t>21份，覆盖企业936</w:t>
      </w:r>
      <w:r>
        <w:rPr>
          <w:rFonts w:hint="eastAsia"/>
        </w:rPr>
        <w:t>家，覆盖职工</w:t>
      </w:r>
      <w:r>
        <w:t>58203人，签订行业性集体合同12</w:t>
      </w:r>
      <w:r>
        <w:rPr>
          <w:rFonts w:hint="eastAsia"/>
        </w:rPr>
        <w:t>份，覆盖企业</w:t>
      </w:r>
      <w:r>
        <w:t>245家，覆盖职工30533人。国有及</w:t>
      </w:r>
      <w:r>
        <w:rPr>
          <w:rFonts w:hint="eastAsia"/>
        </w:rPr>
        <w:t>控股企业、外资企业全部签订工资集体协商合同，私营企业也达到</w:t>
      </w:r>
      <w:r>
        <w:t>90%以上。</w:t>
      </w:r>
    </w:p>
    <w:p w14:paraId="29E5BF43">
      <w:pPr>
        <w:pStyle w:val="4"/>
        <w:bidi w:val="0"/>
        <w:rPr>
          <w:rFonts w:hint="eastAsia"/>
        </w:rPr>
      </w:pPr>
      <w:r>
        <w:rPr>
          <w:rFonts w:hint="eastAsia"/>
        </w:rPr>
        <w:t>【创建和谐劳动关系】</w:t>
      </w:r>
    </w:p>
    <w:p w14:paraId="1A79B252">
      <w:pPr>
        <w:rPr>
          <w:rFonts w:hint="eastAsia"/>
        </w:rPr>
      </w:pPr>
      <w:r>
        <w:rPr>
          <w:rFonts w:hint="eastAsia"/>
        </w:rPr>
        <w:t>一是推行集体合同和劳动合同签订工作。</w:t>
      </w:r>
      <w:r>
        <w:t>2013年，全市签订集体合同的基层</w:t>
      </w:r>
      <w:r>
        <w:rPr>
          <w:rFonts w:hint="eastAsia"/>
        </w:rPr>
        <w:t>工会</w:t>
      </w:r>
      <w:r>
        <w:t>719个，涵盖单位5683家，覆盖职工41962</w:t>
      </w:r>
      <w:r>
        <w:rPr>
          <w:rFonts w:hint="eastAsia"/>
        </w:rPr>
        <w:t>人；签订劳动合同基层工会</w:t>
      </w:r>
      <w:r>
        <w:t>702个，涵盖单位5625</w:t>
      </w:r>
      <w:r>
        <w:rPr>
          <w:rFonts w:hint="eastAsia"/>
        </w:rPr>
        <w:t>家，覆盖职工</w:t>
      </w:r>
      <w:r>
        <w:t>45956人。二是加强企业民主管理和</w:t>
      </w:r>
      <w:r>
        <w:rPr>
          <w:rFonts w:hint="eastAsia"/>
        </w:rPr>
        <w:t>厂务公开工作。</w:t>
      </w:r>
      <w:r>
        <w:t>2013年该市国有、集体及其控股企</w:t>
      </w:r>
      <w:r>
        <w:rPr>
          <w:rFonts w:hint="eastAsia"/>
        </w:rPr>
        <w:t>业和学校、医院等事业单位全部建立职代会制度，</w:t>
      </w:r>
      <w:r>
        <w:t>546家非公企业中有543家建立职代会制度，建制</w:t>
      </w:r>
      <w:r>
        <w:rPr>
          <w:rFonts w:hint="eastAsia"/>
        </w:rPr>
        <w:t>率达</w:t>
      </w:r>
      <w:r>
        <w:t>99.5%。全市国有、集体及其控股企业厂务公</w:t>
      </w:r>
      <w:r>
        <w:rPr>
          <w:rFonts w:hint="eastAsia"/>
        </w:rPr>
        <w:t>开推行率达</w:t>
      </w:r>
      <w:r>
        <w:t>100%。规模以上非公企业厂务公推行</w:t>
      </w:r>
      <w:r>
        <w:rPr>
          <w:rFonts w:hint="eastAsia"/>
        </w:rPr>
        <w:t>率达</w:t>
      </w:r>
      <w:r>
        <w:t>95%以上，其他非公企业推行率达到80%以</w:t>
      </w:r>
      <w:r>
        <w:rPr>
          <w:rFonts w:hint="eastAsia"/>
        </w:rPr>
        <w:t>上。三是深化工会劳动保护工作。与市安委会和市卫生局、环保局组织的安全生产和职业病防范大检</w:t>
      </w:r>
      <w:r>
        <w:rPr>
          <w:rFonts w:hint="eastAsia"/>
          <w:lang w:eastAsia="zh-CN"/>
        </w:rPr>
        <w:t>查</w:t>
      </w:r>
      <w:r>
        <w:t>6次，检</w:t>
      </w:r>
      <w:r>
        <w:rPr>
          <w:rFonts w:hint="eastAsia"/>
          <w:lang w:eastAsia="zh-CN"/>
        </w:rPr>
        <w:t>查</w:t>
      </w:r>
      <w:r>
        <w:t>各类企业90家，发现安全隐患4个，</w:t>
      </w:r>
      <w:r>
        <w:rPr>
          <w:rFonts w:hint="eastAsia"/>
        </w:rPr>
        <w:t>发出整改通知书</w:t>
      </w:r>
      <w:r>
        <w:t>4份，监督企业整改隐患3项，有</w:t>
      </w:r>
      <w:r>
        <w:rPr>
          <w:rFonts w:hint="eastAsia"/>
        </w:rPr>
        <w:t>效地遏制各类事故的发生，保障企业和职工的生命财产安全；继续开展“安康杯”竞赛等多种形式的职工安全文化活动，发动职工主动参与到“治理隐患、促进健康”中来，促进企业职工的安全生产自主意识，杜绝安全生产责任事故的发生。四是搭建社会矛盾疏解工作平台。坚持职工信访信息定期报送和职工群体性上访及重大事件信息快报制度。利用职工服务中心窗口，畅通职工诉求表达渠道。</w:t>
      </w:r>
      <w:r>
        <w:t>2013年，中心窗口受理各类来信来访43件，全部</w:t>
      </w:r>
      <w:r>
        <w:rPr>
          <w:rFonts w:hint="eastAsia"/>
        </w:rPr>
        <w:t>给予办理和回复，办结率</w:t>
      </w:r>
      <w:r>
        <w:t>100%，其中有5件职工</w:t>
      </w:r>
      <w:r>
        <w:rPr>
          <w:rFonts w:hint="eastAsia"/>
        </w:rPr>
        <w:t>诉求得到有效解决。</w:t>
      </w:r>
      <w:r>
        <w:t>2013年4月，与人社局、外经</w:t>
      </w:r>
      <w:r>
        <w:rPr>
          <w:rFonts w:hint="eastAsia"/>
        </w:rPr>
        <w:t>局、信访局、社保中心等部门一道，成功调处正勤手袋厂的劳资纠纷，平息集体上访事态，保护职工合法权益，维护社会稳定。</w:t>
      </w:r>
    </w:p>
    <w:p w14:paraId="0CC821A4">
      <w:pPr>
        <w:pStyle w:val="4"/>
        <w:bidi w:val="0"/>
        <w:rPr>
          <w:rFonts w:hint="eastAsia"/>
        </w:rPr>
      </w:pPr>
      <w:r>
        <w:rPr>
          <w:rFonts w:hint="eastAsia"/>
        </w:rPr>
        <w:t>【帮扶服务】</w:t>
      </w:r>
    </w:p>
    <w:p w14:paraId="4037F083">
      <w:r>
        <w:rPr>
          <w:rFonts w:hint="eastAsia"/>
        </w:rPr>
        <w:t>总工会开展“百万帮扶暖行家”行动，利用帮扶中心平台，以解决职工（农民工）最关心、最直接、最现实的切身利益为目标，围绕为政府分忧、替企业解困、为职工服务的宗旨，踏踏实实、诚心诚意地为职工群众做好事、办实事、解难事。一是缓解困难职工医疗困难。对</w:t>
      </w:r>
      <w:r>
        <w:t>17名有大</w:t>
      </w:r>
      <w:r>
        <w:rPr>
          <w:rFonts w:hint="eastAsia"/>
        </w:rPr>
        <w:t>病困难的职工发放临时医疗应急救助金</w:t>
      </w:r>
      <w:r>
        <w:t>11700元；</w:t>
      </w:r>
      <w:r>
        <w:rPr>
          <w:rFonts w:hint="eastAsia"/>
        </w:rPr>
        <w:t>二是推进“职工医疗互助”和“女职工安康互助”保障计划。全市参与“职工医疗互助保障计划”的职工有</w:t>
      </w:r>
      <w:r>
        <w:t>2732人，参与“女职工安康互助保障计划”</w:t>
      </w:r>
      <w:r>
        <w:rPr>
          <w:rFonts w:hint="eastAsia"/>
        </w:rPr>
        <w:t>的女职工有</w:t>
      </w:r>
      <w:r>
        <w:t>828人，有8人因特种重大疾病住院获</w:t>
      </w:r>
      <w:r>
        <w:rPr>
          <w:rFonts w:hint="eastAsia"/>
        </w:rPr>
        <w:t>得赔付达</w:t>
      </w:r>
      <w:r>
        <w:t>21万元；三是加强农民工就业援助工作。</w:t>
      </w:r>
      <w:r>
        <w:rPr>
          <w:rFonts w:hint="eastAsia"/>
        </w:rPr>
        <w:t>筹措资金</w:t>
      </w:r>
      <w:r>
        <w:t>7万元举办就业技能培训班，培训下</w:t>
      </w:r>
      <w:r>
        <w:rPr>
          <w:rFonts w:hint="eastAsia"/>
          <w:lang w:eastAsia="zh-CN"/>
        </w:rPr>
        <w:t>岗</w:t>
      </w:r>
      <w:r>
        <w:t>工</w:t>
      </w:r>
      <w:r>
        <w:rPr>
          <w:rFonts w:hint="eastAsia"/>
        </w:rPr>
        <w:t>人、农民工</w:t>
      </w:r>
      <w:r>
        <w:t>100人，对325名下岗职工、农民工进</w:t>
      </w:r>
      <w:r>
        <w:rPr>
          <w:rFonts w:hint="eastAsia"/>
        </w:rPr>
        <w:t>行就业指导，使他们重新走上工作岗位；四是开展重大节日“送温暖工程”行动。春节期间走访慰问各类型企业中的困难或特困职工、劳模、农民工等</w:t>
      </w:r>
      <w:r>
        <w:t>1600人，发放慰问金、慰问品共35万元。端午、</w:t>
      </w:r>
      <w:r>
        <w:rPr>
          <w:rFonts w:hint="eastAsia"/>
        </w:rPr>
        <w:t>中秋慰问特困劳模、职工、农民工</w:t>
      </w:r>
      <w:r>
        <w:t>289人，发放慰</w:t>
      </w:r>
      <w:r>
        <w:rPr>
          <w:rFonts w:hint="eastAsia"/>
          <w:lang w:val="en-US" w:eastAsia="zh-CN"/>
        </w:rPr>
        <w:t>问</w:t>
      </w:r>
      <w:r>
        <w:rPr>
          <w:rFonts w:hint="eastAsia"/>
        </w:rPr>
        <w:t>金</w:t>
      </w:r>
      <w:r>
        <w:t>14万元；五是开展“夏日送清凉”活动。对10多个私营企业在高温一线作业的职工进行慰问，</w:t>
      </w:r>
      <w:r>
        <w:rPr>
          <w:rFonts w:hint="eastAsia"/>
        </w:rPr>
        <w:t>送去价值</w:t>
      </w:r>
      <w:r>
        <w:t>5.5万元的清凉降温饮品；六是开展“金</w:t>
      </w:r>
      <w:r>
        <w:rPr>
          <w:rFonts w:hint="eastAsia"/>
        </w:rPr>
        <w:t>秋助学”活动。本着不让一个困难职工和农民工子女因贫困失学的宗旨，在调</w:t>
      </w:r>
      <w:r>
        <w:rPr>
          <w:rFonts w:hint="eastAsia"/>
          <w:lang w:eastAsia="zh-CN"/>
        </w:rPr>
        <w:t>查</w:t>
      </w:r>
      <w:r>
        <w:rPr>
          <w:rFonts w:hint="eastAsia"/>
        </w:rPr>
        <w:t>摸底的基础上，共计帮助</w:t>
      </w:r>
      <w:r>
        <w:t>71名困难职工家庭子女（农民工子女21人）</w:t>
      </w:r>
      <w:r>
        <w:rPr>
          <w:rFonts w:hint="eastAsia"/>
        </w:rPr>
        <w:t>解决了</w:t>
      </w:r>
      <w:r>
        <w:rPr>
          <w:rFonts w:hint="eastAsia"/>
          <w:lang w:val="en-US" w:eastAsia="zh-CN"/>
        </w:rPr>
        <w:t>入</w:t>
      </w:r>
      <w:r>
        <w:rPr>
          <w:rFonts w:hint="eastAsia"/>
        </w:rPr>
        <w:t>学难的问题，其中帮助</w:t>
      </w:r>
      <w:r>
        <w:t>53名困难职工家</w:t>
      </w:r>
      <w:r>
        <w:rPr>
          <w:rFonts w:hint="eastAsia"/>
        </w:rPr>
        <w:t>庭子女圆大学梦，发放帮扶资金</w:t>
      </w:r>
      <w:r>
        <w:t>15万元，困难职</w:t>
      </w:r>
      <w:r>
        <w:rPr>
          <w:rFonts w:hint="eastAsia"/>
        </w:rPr>
        <w:t>工子女分别领到</w:t>
      </w:r>
      <w:r>
        <w:t>800元（高中）、2000元（大专）</w:t>
      </w:r>
      <w:r>
        <w:rPr>
          <w:rFonts w:hint="eastAsia"/>
          <w:lang w:eastAsia="zh-CN"/>
        </w:rPr>
        <w:t>、</w:t>
      </w:r>
      <w:r>
        <w:t>2500元（本科）助学金。</w:t>
      </w:r>
    </w:p>
    <w:p w14:paraId="34FBC34C">
      <w:pPr>
        <w:pStyle w:val="4"/>
        <w:bidi w:val="0"/>
        <w:rPr>
          <w:rFonts w:hint="eastAsia"/>
        </w:rPr>
      </w:pPr>
      <w:r>
        <w:rPr>
          <w:rFonts w:hint="eastAsia"/>
        </w:rPr>
        <w:t>【工会活动】</w:t>
      </w:r>
    </w:p>
    <w:p w14:paraId="474EB2E0">
      <w:pPr>
        <w:rPr>
          <w:rFonts w:hint="eastAsia"/>
        </w:rPr>
      </w:pPr>
      <w:r>
        <w:rPr>
          <w:rFonts w:hint="eastAsia"/>
        </w:rPr>
        <w:t>一是在南雄市精细化工园开展“情系职工”电影放映活动，共放映</w:t>
      </w:r>
      <w:r>
        <w:t>20场次，丰富园</w:t>
      </w:r>
      <w:r>
        <w:rPr>
          <w:rFonts w:hint="eastAsia"/>
        </w:rPr>
        <w:t>区企业职工的精神文化生活，二是把中国梦的宣传教育活动引向深入，开展以“中国梦、劳动美”为主题的征文、演讲比赛。在该市演讲比赛中获得前三名的南雄人民医院何惠敏选手，在推荐参加韶关市总的比赛中获得优胜奖。该市征文比赛收到的各基层工会职工撰写的</w:t>
      </w:r>
      <w:r>
        <w:t>80篇征文中评选出的10篇优</w:t>
      </w:r>
      <w:r>
        <w:rPr>
          <w:rFonts w:hint="eastAsia"/>
        </w:rPr>
        <w:t>秀征文推荐参加韶关征文竞赛，国税局曹玉华获得韶关市二等奖，农业局张朝玉、水口小学曾宪灵同时获得韶关市优胜奖；三是开展送书下基层活动。筹集资金</w:t>
      </w:r>
      <w:r>
        <w:t>11万元，采购各类图书5500册分别赠送</w:t>
      </w:r>
      <w:r>
        <w:rPr>
          <w:rFonts w:hint="eastAsia"/>
        </w:rPr>
        <w:t>到康绿宝、乐华陶瓷、珠玑、退管会等企业和单位，受到企业和职工的欢迎。</w:t>
      </w:r>
    </w:p>
    <w:p w14:paraId="60922954">
      <w:pPr>
        <w:pStyle w:val="4"/>
        <w:bidi w:val="0"/>
        <w:rPr>
          <w:rFonts w:hint="eastAsia"/>
        </w:rPr>
      </w:pPr>
      <w:r>
        <w:rPr>
          <w:rFonts w:hint="eastAsia"/>
        </w:rPr>
        <w:t>【建功立业工程】</w:t>
      </w:r>
    </w:p>
    <w:p w14:paraId="019DA474">
      <w:pPr>
        <w:rPr>
          <w:rFonts w:hint="eastAsia"/>
        </w:rPr>
      </w:pPr>
      <w:r>
        <w:t>2013年，总工会深入开展创先</w:t>
      </w:r>
      <w:r>
        <w:rPr>
          <w:rFonts w:hint="eastAsia"/>
        </w:rPr>
        <w:t>争优建功立业活动。南雄雄州水电分公司荣获广东省“安康杯”竞赛优胜单位奖；南雄市中医院内科主任赖朝华获广东省五一劳动奖章；南雄市浈江电业公司陈泽明、南雄市</w:t>
      </w:r>
      <w:r>
        <w:rPr>
          <w:rFonts w:hint="eastAsia"/>
          <w:lang w:val="en-US" w:eastAsia="zh-CN"/>
        </w:rPr>
        <w:t>湖</w:t>
      </w:r>
      <w:r>
        <w:rPr>
          <w:rFonts w:hint="eastAsia"/>
        </w:rPr>
        <w:t>口镇岗围村刘烈亿、南雄市地方公路管理站黄艳芬、南雄市开心大药房周细</w:t>
      </w:r>
      <w:r>
        <w:rPr>
          <w:rFonts w:hint="eastAsia"/>
          <w:lang w:val="en-US" w:eastAsia="zh-CN"/>
        </w:rPr>
        <w:t>妹</w:t>
      </w:r>
      <w:r>
        <w:rPr>
          <w:rFonts w:hint="eastAsia"/>
        </w:rPr>
        <w:t>分别被评为韶关市劳动模范；南雄公路局珠玑养护中心后勤组、南雄市国家税务局收入核算科、</w:t>
      </w:r>
      <w:r>
        <w:rPr>
          <w:rFonts w:hint="eastAsia"/>
          <w:lang w:val="en-US" w:eastAsia="zh-CN"/>
        </w:rPr>
        <w:t>广</w:t>
      </w:r>
      <w:r>
        <w:rPr>
          <w:rFonts w:hint="eastAsia"/>
        </w:rPr>
        <w:t>东韶能集团股份有限公司南雄雄州水电分公司财务部分别荣获韶关市</w:t>
      </w:r>
      <w:r>
        <w:rPr>
          <w:rFonts w:hint="eastAsia"/>
          <w:lang w:eastAsia="zh-CN"/>
        </w:rPr>
        <w:t>粤</w:t>
      </w:r>
      <w:r>
        <w:rPr>
          <w:rFonts w:hint="eastAsia"/>
        </w:rPr>
        <w:t>北女职工文明</w:t>
      </w:r>
      <w:r>
        <w:rPr>
          <w:rFonts w:hint="eastAsia"/>
          <w:lang w:eastAsia="zh-CN"/>
        </w:rPr>
        <w:t>岗</w:t>
      </w:r>
      <w:r>
        <w:rPr>
          <w:rFonts w:hint="eastAsia"/>
        </w:rPr>
        <w:t>称号；南雄市全安中心小学校长陈香等</w:t>
      </w:r>
      <w:r>
        <w:t>5人分别荣获韶关市</w:t>
      </w:r>
      <w:r>
        <w:rPr>
          <w:rFonts w:hint="eastAsia"/>
          <w:lang w:eastAsia="zh-CN"/>
        </w:rPr>
        <w:t>粤</w:t>
      </w:r>
      <w:r>
        <w:t>北</w:t>
      </w:r>
      <w:r>
        <w:rPr>
          <w:rFonts w:hint="eastAsia"/>
        </w:rPr>
        <w:t>建功立业女能手称号。</w:t>
      </w:r>
    </w:p>
    <w:p w14:paraId="4E036694">
      <w:pPr>
        <w:pStyle w:val="4"/>
        <w:bidi w:val="0"/>
        <w:rPr>
          <w:rFonts w:hint="eastAsia"/>
        </w:rPr>
      </w:pPr>
      <w:r>
        <w:rPr>
          <w:rFonts w:hint="eastAsia"/>
        </w:rPr>
        <w:t>【女工工作】</w:t>
      </w:r>
    </w:p>
    <w:p w14:paraId="442FAF38">
      <w:pPr>
        <w:rPr>
          <w:rFonts w:hint="eastAsia"/>
        </w:rPr>
      </w:pPr>
      <w:r>
        <w:rPr>
          <w:rFonts w:hint="eastAsia"/>
        </w:rPr>
        <w:t>一是抓好女职工组织建设工作。按照工会工作开展到哪里，女职工工作就开展到哪里的原则，健全女职工组织网络，扩大女职工组织覆盖面。</w:t>
      </w:r>
      <w:r>
        <w:t>2013年，全市建立女职工组织829个，有女</w:t>
      </w:r>
      <w:r>
        <w:rPr>
          <w:rFonts w:hint="eastAsia"/>
        </w:rPr>
        <w:t>职工会员</w:t>
      </w:r>
      <w:r>
        <w:t>23338人，有女工的单位100%建立女职</w:t>
      </w:r>
      <w:r>
        <w:rPr>
          <w:rFonts w:hint="eastAsia"/>
        </w:rPr>
        <w:t>工组织；二是推动《女职工权益保护专项集体合同》的签订工作，签订</w:t>
      </w:r>
      <w:r>
        <w:t>412份，切实保护女职工的</w:t>
      </w:r>
      <w:r>
        <w:rPr>
          <w:rFonts w:hint="eastAsia"/>
        </w:rPr>
        <w:t>合法权益和特殊利益；三是开展丰富多彩的女职工文体活动。</w:t>
      </w:r>
      <w:r>
        <w:t>2013年上半年开展《女职工劳动保护特</w:t>
      </w:r>
      <w:r>
        <w:rPr>
          <w:rFonts w:hint="eastAsia"/>
        </w:rPr>
        <w:t>别规定》知识竞赛。有</w:t>
      </w:r>
      <w:r>
        <w:t>4579名机关、事业、企业</w:t>
      </w:r>
      <w:r>
        <w:rPr>
          <w:rFonts w:hint="eastAsia"/>
        </w:rPr>
        <w:t>单位的女干部或女职工参加竞赛活动，提高女职工学法、用法的积极性和自我保护意识；四是邀请全总女性生殖健康特聘讲师李秀云教授在各基层工会巡回开展女性健康知识讲座</w:t>
      </w:r>
      <w:r>
        <w:t>11场，有1300人次的</w:t>
      </w:r>
      <w:r>
        <w:rPr>
          <w:rFonts w:hint="eastAsia"/>
        </w:rPr>
        <w:t>女职工聆听讲座，增强女职工防病、治病意识，提高女性健康水平和生活质量，推动广大女性树立起健康生活、快乐工作理念。</w:t>
      </w:r>
    </w:p>
    <w:p w14:paraId="59D24AA5">
      <w:pPr>
        <w:pStyle w:val="4"/>
        <w:bidi w:val="0"/>
        <w:rPr>
          <w:rFonts w:hint="eastAsia"/>
        </w:rPr>
      </w:pPr>
      <w:r>
        <w:rPr>
          <w:rFonts w:hint="eastAsia"/>
        </w:rPr>
        <w:t>【出席中国工会十六大】</w:t>
      </w:r>
    </w:p>
    <w:p w14:paraId="2CDF9582">
      <w:pPr>
        <w:rPr>
          <w:rFonts w:hint="eastAsia"/>
        </w:rPr>
      </w:pPr>
      <w:r>
        <w:rPr>
          <w:rFonts w:hint="eastAsia"/>
        </w:rPr>
        <w:t>南雄市人大副主任、总工会主席张宗财当选中国工会十六大代表出席中国工会第十六次全国代表大会，这是韶关市中国工会十六大代表中唯一一名县级工会干部代表，也是南雄工会史上第一个参加全国工会代表大会的代表。</w:t>
      </w:r>
    </w:p>
    <w:p w14:paraId="6563DBCB">
      <w:pPr>
        <w:jc w:val="right"/>
        <w:rPr>
          <w:rFonts w:hint="eastAsia"/>
          <w:b/>
          <w:bCs/>
          <w:lang w:eastAsia="zh-CN"/>
        </w:rPr>
      </w:pPr>
      <w:r>
        <w:rPr>
          <w:rFonts w:hint="eastAsia"/>
          <w:b/>
          <w:bCs/>
        </w:rPr>
        <w:t>（凌</w:t>
      </w:r>
      <w:r>
        <w:rPr>
          <w:rFonts w:hint="eastAsia"/>
          <w:b/>
          <w:bCs/>
          <w:lang w:val="en-US" w:eastAsia="zh-CN"/>
        </w:rPr>
        <w:t xml:space="preserve">  </w:t>
      </w:r>
      <w:r>
        <w:rPr>
          <w:rFonts w:hint="eastAsia"/>
          <w:b/>
          <w:bCs/>
        </w:rPr>
        <w:t>宁</w:t>
      </w:r>
      <w:r>
        <w:rPr>
          <w:rFonts w:hint="eastAsia"/>
          <w:b/>
          <w:bCs/>
          <w:lang w:eastAsia="zh-CN"/>
        </w:rPr>
        <w:t>）</w:t>
      </w:r>
    </w:p>
    <w:p w14:paraId="34B6E3CB">
      <w:pPr>
        <w:pStyle w:val="10"/>
        <w:bidi w:val="0"/>
        <w:rPr>
          <w:b/>
          <w:bCs/>
        </w:rPr>
      </w:pPr>
      <w:r>
        <w:rPr>
          <w:rFonts w:hint="eastAsia"/>
          <w:b/>
          <w:bCs/>
        </w:rPr>
        <w:t>附：</w:t>
      </w:r>
      <w:r>
        <w:rPr>
          <w:b/>
          <w:bCs/>
        </w:rPr>
        <w:t>2013年市总工会领导班子成员名单</w:t>
      </w:r>
    </w:p>
    <w:p w14:paraId="7DC24650">
      <w:pPr>
        <w:pStyle w:val="10"/>
        <w:bidi w:val="0"/>
        <w:rPr>
          <w:rFonts w:hint="eastAsia"/>
        </w:rPr>
      </w:pPr>
      <w:r>
        <w:rPr>
          <w:rFonts w:hint="eastAsia"/>
          <w:b/>
          <w:bCs/>
        </w:rPr>
        <w:t>主</w:t>
      </w:r>
      <w:r>
        <w:rPr>
          <w:rFonts w:hint="eastAsia"/>
          <w:b/>
          <w:bCs/>
          <w:lang w:val="en-US" w:eastAsia="zh-CN"/>
        </w:rPr>
        <w:t xml:space="preserve">  </w:t>
      </w:r>
      <w:r>
        <w:rPr>
          <w:rFonts w:hint="eastAsia"/>
          <w:b/>
          <w:bCs/>
        </w:rPr>
        <w:t>席：</w:t>
      </w:r>
      <w:r>
        <w:rPr>
          <w:rFonts w:hint="eastAsia"/>
          <w:b w:val="0"/>
          <w:bCs w:val="0"/>
        </w:rPr>
        <w:t>张</w:t>
      </w:r>
      <w:r>
        <w:rPr>
          <w:rFonts w:hint="eastAsia"/>
        </w:rPr>
        <w:t>宗财（兼）</w:t>
      </w:r>
    </w:p>
    <w:p w14:paraId="12D0AD53">
      <w:pPr>
        <w:pStyle w:val="10"/>
        <w:bidi w:val="0"/>
        <w:rPr>
          <w:rFonts w:hint="eastAsia"/>
        </w:rPr>
      </w:pPr>
      <w:r>
        <w:rPr>
          <w:rFonts w:hint="eastAsia"/>
          <w:b/>
          <w:bCs/>
        </w:rPr>
        <w:t>副主席：</w:t>
      </w:r>
      <w:r>
        <w:rPr>
          <w:rFonts w:hint="eastAsia"/>
        </w:rPr>
        <w:t>朱冬平</w:t>
      </w:r>
      <w:r>
        <w:rPr>
          <w:rFonts w:hint="eastAsia"/>
          <w:lang w:val="en-US" w:eastAsia="zh-CN"/>
        </w:rPr>
        <w:t xml:space="preserve">   </w:t>
      </w:r>
      <w:r>
        <w:rPr>
          <w:rFonts w:hint="eastAsia"/>
        </w:rPr>
        <w:t>吴显娣</w:t>
      </w:r>
    </w:p>
    <w:p w14:paraId="12B9163F">
      <w:pPr>
        <w:pStyle w:val="3"/>
        <w:bidi w:val="0"/>
        <w:rPr>
          <w:rFonts w:hint="default"/>
          <w:lang w:val="en-US" w:eastAsia="zh-CN"/>
        </w:rPr>
      </w:pPr>
      <w:r>
        <w:rPr>
          <w:rFonts w:hint="eastAsia"/>
          <w:lang w:val="en-US" w:eastAsia="zh-CN"/>
        </w:rPr>
        <w:t>共青团南雄市委员会</w:t>
      </w:r>
    </w:p>
    <w:p w14:paraId="17D1FB90">
      <w:pPr>
        <w:pStyle w:val="4"/>
        <w:bidi w:val="0"/>
        <w:rPr>
          <w:rFonts w:hint="eastAsia"/>
        </w:rPr>
      </w:pPr>
      <w:r>
        <w:rPr>
          <w:rFonts w:hint="eastAsia"/>
          <w:lang w:eastAsia="zh-CN"/>
        </w:rPr>
        <w:t>【</w:t>
      </w:r>
      <w:r>
        <w:rPr>
          <w:rFonts w:hint="eastAsia"/>
        </w:rPr>
        <w:t>概况】</w:t>
      </w:r>
    </w:p>
    <w:p w14:paraId="273FE64C">
      <w:r>
        <w:rPr>
          <w:rFonts w:hint="eastAsia"/>
        </w:rPr>
        <w:t>中国共产主义青年团南雄市委员会（简称“团市委”），是中国共产党领导的先进青年的群众组织。团市委内设办公室、社会部和团务部。截止</w:t>
      </w:r>
      <w:r>
        <w:t>2013年底，团市委行政编制4人，目前在编人</w:t>
      </w:r>
      <w:r>
        <w:rPr>
          <w:rFonts w:hint="eastAsia"/>
        </w:rPr>
        <w:t>员</w:t>
      </w:r>
      <w:r>
        <w:t>3人，全市共有30个基层团委。</w:t>
      </w:r>
    </w:p>
    <w:p w14:paraId="463B5981">
      <w:pPr>
        <w:pStyle w:val="4"/>
        <w:bidi w:val="0"/>
        <w:rPr>
          <w:rFonts w:hint="eastAsia"/>
        </w:rPr>
      </w:pPr>
      <w:r>
        <w:rPr>
          <w:rFonts w:hint="eastAsia"/>
        </w:rPr>
        <w:t>【政治理论学习教育活动】</w:t>
      </w:r>
    </w:p>
    <w:p w14:paraId="6BEE9CD6">
      <w:pPr>
        <w:rPr>
          <w:rFonts w:hint="eastAsia"/>
        </w:rPr>
      </w:pPr>
      <w:r>
        <w:rPr>
          <w:rFonts w:hint="eastAsia"/>
        </w:rPr>
        <w:t>一是围绕市委、市政府开展的“面向基层、整顿作风、服务群众”主题活动要求，响应团省委关于深入开展走进基层、走进青年，与青年“同劳动、同学习、同生活”（简称“两进三同”）的号召，团市委组织团市委机关干部、市直机关、学校团干深入珠玑三佳村旭佳金银花专业合作社团支部开展“两进三同”暨读书沙龙活动。团干们在与农村青年同学习、同生活、同劳动的亲身体验中，建立纯洁的友谊，掌握基层的具体情况，了解农村青年的普遍诉求，帮助青年解决实际困难；二是按照市纪律教育月活动领导小组的要求，组织全体党员干部观看反腐倡廉警示教育片，并就如何加强党性修养等问题开展讨论。三是团市委参加南雄市反腐倡廉辩论赛获得冠军，代表南雄参加韶关第二届“扬三江正气、树六岸清风”反腐倡廉辩论赛进入决赛获得“优秀奖”。</w:t>
      </w:r>
    </w:p>
    <w:p w14:paraId="4CAED785">
      <w:pPr>
        <w:pStyle w:val="4"/>
        <w:bidi w:val="0"/>
        <w:rPr>
          <w:rFonts w:hint="eastAsia"/>
        </w:rPr>
      </w:pPr>
      <w:r>
        <w:rPr>
          <w:rFonts w:hint="eastAsia"/>
        </w:rPr>
        <w:t>【青少年思想道德建设】</w:t>
      </w:r>
    </w:p>
    <w:p w14:paraId="1518244E">
      <w:pPr>
        <w:rPr>
          <w:rFonts w:hint="eastAsia"/>
          <w:lang w:eastAsia="zh-CN"/>
        </w:rPr>
      </w:pPr>
      <w:r>
        <w:rPr>
          <w:rFonts w:hint="eastAsia"/>
        </w:rPr>
        <w:t>为深入开展青少年思想政治教育宣传活动，推进青少年的思想道德建设</w:t>
      </w:r>
      <w:r>
        <w:rPr>
          <w:rFonts w:hint="eastAsia"/>
          <w:lang w:eastAsia="zh-CN"/>
        </w:rPr>
        <w:t>，</w:t>
      </w:r>
      <w:r>
        <w:rPr>
          <w:rFonts w:hint="eastAsia"/>
        </w:rPr>
        <w:t>全市各级团组织始终用爱国主义、集体主义激励青年、号召青年、凝聚青年。全市各基层团委依托本单位的活动阵地，有针对性地开展青少年思想政治教育。一是结合重大纪念日，加强青少年的爱党</w:t>
      </w:r>
      <w:r>
        <w:rPr>
          <w:rFonts w:hint="eastAsia"/>
          <w:lang w:eastAsia="zh-CN"/>
        </w:rPr>
        <w:t>、</w:t>
      </w:r>
      <w:r>
        <w:rPr>
          <w:rFonts w:hint="eastAsia"/>
        </w:rPr>
        <w:t>爱国教育。召开南雄市青年岗位能手“五四”表彰座谈会，开展纪念</w:t>
      </w:r>
      <w:r>
        <w:rPr>
          <w:rFonts w:hint="eastAsia"/>
          <w:lang w:eastAsia="zh-CN"/>
        </w:rPr>
        <w:t>五四运动</w:t>
      </w:r>
      <w:r>
        <w:t>94周年团史图文</w:t>
      </w:r>
      <w:r>
        <w:rPr>
          <w:rFonts w:hint="eastAsia"/>
        </w:rPr>
        <w:t>展暨青春微梦想分享会活动，在儿童节、建军节</w:t>
      </w:r>
      <w:r>
        <w:rPr>
          <w:rFonts w:hint="eastAsia"/>
          <w:lang w:eastAsia="zh-CN"/>
        </w:rPr>
        <w:t>、</w:t>
      </w:r>
      <w:r>
        <w:rPr>
          <w:rFonts w:hint="eastAsia"/>
        </w:rPr>
        <w:t>国庆节、国际禁毒日等重大节日中，广泛开展思想教育、爱国主义教育活动。二是以“志愿服务”</w:t>
      </w:r>
      <w:r>
        <w:rPr>
          <w:rFonts w:hint="eastAsia"/>
          <w:lang w:eastAsia="zh-CN"/>
        </w:rPr>
        <w:t>、</w:t>
      </w:r>
      <w:r>
        <w:rPr>
          <w:rFonts w:hint="eastAsia"/>
        </w:rPr>
        <w:t>“三下乡”、“交通安全宣传”等品牌活动，深入开展社会公德、职业道德、家庭美德教育，全面提高青少年的道德素质和科学素养。三是通过系列主题活动推进该市青少年思想教育工作。全市广大青少年在丰富多彩的品牌活动中，磨练意志，锻炼能力。通过开展歌咏才艺大赛、第二届青年音乐之夜、“青春梦”托起“中国梦”纪念五四运动</w:t>
      </w:r>
      <w:r>
        <w:t>94周年团史图文展暨青春微梦想分享会活动等主题</w:t>
      </w:r>
      <w:r>
        <w:rPr>
          <w:rFonts w:hint="eastAsia"/>
        </w:rPr>
        <w:t>教育活动，用社会主义核心价值体系来教育引导青少年，培养青少年对党、对社会主义祖国的朴素感情，坚定青少年的理想信念</w:t>
      </w:r>
      <w:r>
        <w:rPr>
          <w:rFonts w:hint="eastAsia"/>
          <w:lang w:eastAsia="zh-CN"/>
        </w:rPr>
        <w:t>。</w:t>
      </w:r>
    </w:p>
    <w:p w14:paraId="3199B19D">
      <w:pPr>
        <w:pStyle w:val="4"/>
        <w:bidi w:val="0"/>
        <w:rPr>
          <w:rFonts w:hint="eastAsia"/>
        </w:rPr>
      </w:pPr>
      <w:r>
        <w:rPr>
          <w:rFonts w:hint="eastAsia"/>
        </w:rPr>
        <w:t>【帮助弱势</w:t>
      </w:r>
      <w:r>
        <w:rPr>
          <w:rFonts w:hint="eastAsia"/>
          <w:lang w:val="en-US" w:eastAsia="zh-CN"/>
        </w:rPr>
        <w:t>青</w:t>
      </w:r>
      <w:r>
        <w:rPr>
          <w:rFonts w:hint="eastAsia"/>
        </w:rPr>
        <w:t>少年群体】</w:t>
      </w:r>
    </w:p>
    <w:p w14:paraId="16341AE9">
      <w:r>
        <w:rPr>
          <w:rFonts w:hint="eastAsia"/>
        </w:rPr>
        <w:t>团市委抓好关爱“留守学生”品牌建设，扎实开展青少年关爱行动，关注特困青少年、农村留守儿童、孤残青少年等弱势青少年群体，针对其心里健康、生活、学习等方面的需求，开展心里咨询辅导、卫生常识、网络知识等校外辅导活动。全年分批次向留守学生之家捐赠书包、书籍、文具和亲情联系卡等物资和慰问金；深入开展青春情暖·爱心汇聚小鸟巢城乡少年手拉手活动和“朝阳行动——关爱农民工子女行动”，通过在全镇招募志愿者，对农民工子女进行摸底，开展结对工作，发动青年志愿者关爱农民工子女，新建界址镇赵坑小学希望家园、界址镇大坊希望家园和湖口镇三水汉清小学希望家园，全市建设</w:t>
      </w:r>
      <w:r>
        <w:t>8间希</w:t>
      </w:r>
      <w:r>
        <w:rPr>
          <w:rFonts w:hint="eastAsia"/>
        </w:rPr>
        <w:t>望家园，形成关爱农民工子女的良好氛围。</w:t>
      </w:r>
      <w:r>
        <w:t>2013年</w:t>
      </w:r>
      <w:r>
        <w:rPr>
          <w:rFonts w:hint="eastAsia"/>
          <w:lang w:val="en-US" w:eastAsia="zh-CN"/>
        </w:rPr>
        <w:t>-</w:t>
      </w:r>
      <w:r>
        <w:t>2014年第一学期资助59名贫困学生，共计1.95</w:t>
      </w:r>
      <w:r>
        <w:rPr>
          <w:rFonts w:hint="eastAsia"/>
        </w:rPr>
        <w:t>万元；开展“加多宝圆梦大学”计划，资助</w:t>
      </w:r>
      <w:r>
        <w:t>10名</w:t>
      </w:r>
      <w:r>
        <w:rPr>
          <w:rFonts w:hint="eastAsia"/>
        </w:rPr>
        <w:t>考取大学的贫困学生，计助学金</w:t>
      </w:r>
      <w:r>
        <w:t>5万元；通过“南</w:t>
      </w:r>
      <w:r>
        <w:rPr>
          <w:rFonts w:hint="eastAsia"/>
          <w:lang w:eastAsia="zh-CN"/>
        </w:rPr>
        <w:t>粤</w:t>
      </w:r>
      <w:r>
        <w:rPr>
          <w:rFonts w:hint="eastAsia"/>
        </w:rPr>
        <w:t>会亲一韶城会亲”行动，资助</w:t>
      </w:r>
      <w:r>
        <w:t>14名贫困小学生，</w:t>
      </w:r>
      <w:r>
        <w:rPr>
          <w:rFonts w:hint="eastAsia"/>
        </w:rPr>
        <w:t>共计</w:t>
      </w:r>
      <w:r>
        <w:t>1.4万元。团市委在南雄中学举行2013年希</w:t>
      </w:r>
      <w:r>
        <w:rPr>
          <w:rFonts w:hint="eastAsia"/>
        </w:rPr>
        <w:t>望工程——南</w:t>
      </w:r>
      <w:r>
        <w:rPr>
          <w:rFonts w:hint="eastAsia"/>
          <w:lang w:eastAsia="zh-CN"/>
        </w:rPr>
        <w:t>粤</w:t>
      </w:r>
      <w:r>
        <w:rPr>
          <w:rFonts w:hint="eastAsia"/>
        </w:rPr>
        <w:t>（南雄）会亲活动，结对资助</w:t>
      </w:r>
      <w:r>
        <w:t>87</w:t>
      </w:r>
      <w:r>
        <w:rPr>
          <w:rFonts w:hint="eastAsia"/>
        </w:rPr>
        <w:t>名小学生，共计资助</w:t>
      </w:r>
      <w:r>
        <w:t>4.35万元。开展“温暖小手</w:t>
      </w:r>
      <w:r>
        <w:rPr>
          <w:rFonts w:hint="eastAsia"/>
        </w:rPr>
        <w:t>情暖南雄”赠送爱心能量包低碳骑行微公益活动，</w:t>
      </w:r>
      <w:r>
        <w:t>100名青年志愿者分赴6个镇给300名贫困儿童送</w:t>
      </w:r>
      <w:r>
        <w:rPr>
          <w:rFonts w:hint="eastAsia"/>
        </w:rPr>
        <w:t>去</w:t>
      </w:r>
      <w:r>
        <w:t>300个爱心能量包。</w:t>
      </w:r>
    </w:p>
    <w:p w14:paraId="643E8E4E">
      <w:pPr>
        <w:pStyle w:val="4"/>
        <w:bidi w:val="0"/>
        <w:rPr>
          <w:rFonts w:hint="eastAsia"/>
        </w:rPr>
      </w:pPr>
      <w:r>
        <w:rPr>
          <w:rFonts w:hint="eastAsia"/>
          <w:lang w:eastAsia="zh-CN"/>
        </w:rPr>
        <w:t>【</w:t>
      </w:r>
      <w:r>
        <w:rPr>
          <w:rFonts w:hint="eastAsia"/>
        </w:rPr>
        <w:t>服务</w:t>
      </w:r>
      <w:r>
        <w:rPr>
          <w:rFonts w:hint="eastAsia"/>
          <w:lang w:val="en-US" w:eastAsia="zh-CN"/>
        </w:rPr>
        <w:t>青</w:t>
      </w:r>
      <w:r>
        <w:rPr>
          <w:rFonts w:hint="eastAsia"/>
        </w:rPr>
        <w:t>年就业创业】</w:t>
      </w:r>
    </w:p>
    <w:p w14:paraId="619AC295">
      <w:pPr>
        <w:rPr>
          <w:rFonts w:hint="eastAsia"/>
        </w:rPr>
      </w:pPr>
      <w:r>
        <w:rPr>
          <w:rFonts w:hint="eastAsia"/>
        </w:rPr>
        <w:t>一是推进农业产业化发展，发挥共青团组织在服务农村经济发展和农村青年增收成才的重要作用，团市委组织</w:t>
      </w:r>
      <w:r>
        <w:t>40多名青年种粮</w:t>
      </w:r>
      <w:r>
        <w:rPr>
          <w:rFonts w:hint="eastAsia"/>
        </w:rPr>
        <w:t>大户、镇团委书记到广东金友集团参观学习；二是利用农村党员远程教育网，依托“农科网络大讲堂”平台，传授养殖和加工服务等多个项目知识，造就一支有文化、懂技术、会经营的新型青年农民队伍；联合组织部开展农村创业青年普及培训班</w:t>
      </w:r>
      <w:r>
        <w:rPr>
          <w:rFonts w:hint="eastAsia"/>
          <w:lang w:eastAsia="zh-CN"/>
        </w:rPr>
        <w:t>，</w:t>
      </w:r>
      <w:r>
        <w:rPr>
          <w:rFonts w:hint="eastAsia"/>
        </w:rPr>
        <w:t>创业培训班主要向学员们传授农业产业化发展及经验介绍、农民专业合作社运营模式、农产品质量安全生产与认证、水产养殖和疾病防疫等理论知识</w:t>
      </w:r>
      <w:r>
        <w:rPr>
          <w:rFonts w:hint="eastAsia"/>
          <w:lang w:eastAsia="zh-CN"/>
        </w:rPr>
        <w:t>；</w:t>
      </w:r>
      <w:r>
        <w:rPr>
          <w:rFonts w:hint="eastAsia"/>
        </w:rPr>
        <w:t>三是团市委联合人力资源和社会保障局深入实施“广东扶持农村青年创业小额贷款项目”，共计发放小额贷款</w:t>
      </w:r>
      <w:r>
        <w:t>50万元，切实帮助扶持农村青年的创业</w:t>
      </w:r>
      <w:r>
        <w:rPr>
          <w:rFonts w:hint="eastAsia"/>
        </w:rPr>
        <w:t>就业；四是以服务农村青年增收成才为重点，强化农村青年致富带头人的培养，发挥团组织的联络协调优势，培养一批引领现代农业发展的优秀青年致富带头人。五是落实“党建带团建”，开展“两进三同”活动（走进青年、走进基层，同学习，同生活、同劳动），通过贴近青年，了解青年诉求，解决青年困难，做青年的知心人、贴心人。同时，与部门协调，反映心声，争取资源，为了解和解决青年所想所需提供解决方案，真正实现为青年办实事，办好事。</w:t>
      </w:r>
    </w:p>
    <w:p w14:paraId="1ADE4E4C">
      <w:pPr>
        <w:pStyle w:val="4"/>
        <w:bidi w:val="0"/>
        <w:rPr>
          <w:rFonts w:hint="eastAsia"/>
        </w:rPr>
      </w:pPr>
      <w:r>
        <w:rPr>
          <w:rFonts w:hint="eastAsia"/>
          <w:lang w:eastAsia="zh-CN"/>
        </w:rPr>
        <w:t>【</w:t>
      </w:r>
      <w:r>
        <w:rPr>
          <w:rFonts w:hint="eastAsia"/>
        </w:rPr>
        <w:t>志愿服务行动】</w:t>
      </w:r>
    </w:p>
    <w:p w14:paraId="2E9D6D00">
      <w:pPr>
        <w:rPr>
          <w:rFonts w:hint="eastAsia"/>
        </w:rPr>
      </w:pPr>
      <w:r>
        <w:rPr>
          <w:rFonts w:hint="eastAsia"/>
        </w:rPr>
        <w:t>在全市青年志愿者的努力下，该市青年志愿服务活动已深入人心，使青年志愿服务成为一项品牌活动，志愿服务事业正向全民化</w:t>
      </w:r>
      <w:r>
        <w:rPr>
          <w:rFonts w:hint="eastAsia"/>
          <w:lang w:eastAsia="zh-CN"/>
        </w:rPr>
        <w:t>、</w:t>
      </w:r>
      <w:r>
        <w:rPr>
          <w:rFonts w:hint="eastAsia"/>
        </w:rPr>
        <w:t>社会化、规范化、事业化发展。一是</w:t>
      </w:r>
      <w:r>
        <w:t>1月25日，</w:t>
      </w:r>
      <w:r>
        <w:rPr>
          <w:rFonts w:hint="eastAsia"/>
        </w:rPr>
        <w:t>团市委举办的“温暖小手情暖南雄”赠送爱心能量包低碳骑行微公益活动，</w:t>
      </w:r>
      <w:r>
        <w:t>100名青年志愿者分赴6</w:t>
      </w:r>
      <w:r>
        <w:rPr>
          <w:rFonts w:hint="eastAsia"/>
        </w:rPr>
        <w:t>个镇给</w:t>
      </w:r>
      <w:r>
        <w:t>300名贫困儿童送去300个爱心能量包；</w:t>
      </w:r>
      <w:r>
        <w:rPr>
          <w:rFonts w:hint="eastAsia"/>
          <w:lang w:val="en-US" w:eastAsia="zh-CN"/>
        </w:rPr>
        <w:t>二</w:t>
      </w:r>
      <w:r>
        <w:rPr>
          <w:rFonts w:hint="eastAsia"/>
        </w:rPr>
        <w:t>是春节前期，为帮助外出务工人员平安、顺利返乡，团市委联合南雄大学生联合会、南雄市青年志愿者协会组织</w:t>
      </w:r>
      <w:r>
        <w:t>40多名青年志愿者在南雄客运总站</w:t>
      </w:r>
      <w:r>
        <w:rPr>
          <w:rFonts w:hint="eastAsia"/>
          <w:lang w:eastAsia="zh-CN"/>
        </w:rPr>
        <w:t>、</w:t>
      </w:r>
      <w:r>
        <w:rPr>
          <w:rFonts w:hint="eastAsia"/>
        </w:rPr>
        <w:t>新城汽车站开展为期</w:t>
      </w:r>
      <w:r>
        <w:t>4天的“温暖回家路”主题服</w:t>
      </w:r>
      <w:r>
        <w:rPr>
          <w:rFonts w:hint="eastAsia"/>
        </w:rPr>
        <w:t>务活动；三是</w:t>
      </w:r>
      <w:r>
        <w:t>3月7日，团市委联合市委宣传部等</w:t>
      </w:r>
      <w:r>
        <w:rPr>
          <w:rFonts w:hint="eastAsia"/>
        </w:rPr>
        <w:t>单位在</w:t>
      </w:r>
      <w:r>
        <w:rPr>
          <w:rFonts w:hint="eastAsia"/>
          <w:lang w:val="en-US" w:eastAsia="zh-CN"/>
        </w:rPr>
        <w:t>全</w:t>
      </w:r>
      <w:r>
        <w:rPr>
          <w:rFonts w:hint="eastAsia"/>
        </w:rPr>
        <w:t>市范围内启动以“弘扬志愿精神，参与志愿服务”为主题的青年志愿者集中服务月活动；四是</w:t>
      </w:r>
      <w:r>
        <w:t>6月24日，团市委组织青年志愿者在市政府大</w:t>
      </w:r>
      <w:r>
        <w:rPr>
          <w:rFonts w:hint="eastAsia"/>
        </w:rPr>
        <w:t>门口右侧参加大型禁毒宣传活动，通过发动青年志愿者上街发放禁毒宣传资料，并向社会各界人士宣传普法知识，得到社会各界的一致赞誉；五是团市委携手南方医大专家到界址镇开展送医送药下乡活动。开展“幸福广东、健康同行”广东青年医疗志愿者志愿服务活动，以集中义诊和走村入户形式，深入贫困村开展“做一次体检、送一批爱心药品</w:t>
      </w:r>
      <w:r>
        <w:rPr>
          <w:rFonts w:hint="eastAsia"/>
          <w:lang w:eastAsia="zh-CN"/>
        </w:rPr>
        <w:t>、</w:t>
      </w:r>
      <w:r>
        <w:rPr>
          <w:rFonts w:hint="eastAsia"/>
        </w:rPr>
        <w:t>送一次健康知识、帮扶一个卫生站、联系一批困难群众”的“五个一”志愿服务活动，让农村困难群众得实惠，扶贫济困活动更深入人心。六是开展“关爱老年人、青春暖夕阳”志愿服务活动，团市委通过组织志愿者在中秋、重阳、春节等重大节日，走进敬老院和孤寡老人家中，赠送洗衣机、电视机、棉被等物质给老人，与老人聊天，为老人包饺子，给老人送上温暖和问候。团市委通过开展青少年志愿服务活动，践行南雄市青年志愿组织“尽</w:t>
      </w:r>
      <w:r>
        <w:rPr>
          <w:rFonts w:hint="eastAsia"/>
          <w:lang w:val="en-US" w:eastAsia="zh-CN"/>
        </w:rPr>
        <w:t>己</w:t>
      </w:r>
      <w:r>
        <w:rPr>
          <w:rFonts w:hint="eastAsia"/>
        </w:rPr>
        <w:t>所能、不计报酬、帮助他人、服务社会”工作理</w:t>
      </w:r>
      <w:r>
        <w:rPr>
          <w:rFonts w:hint="eastAsia"/>
          <w:lang w:val="en-US" w:eastAsia="zh-CN"/>
        </w:rPr>
        <w:t>念，</w:t>
      </w:r>
      <w:r>
        <w:rPr>
          <w:rFonts w:hint="eastAsia"/>
        </w:rPr>
        <w:t>大力宣传“奉献、友爱、互助、进步”青年志愿者精神，展现新时期南雄青年时代风貌。</w:t>
      </w:r>
    </w:p>
    <w:p w14:paraId="42CBCDAE">
      <w:pPr>
        <w:pStyle w:val="4"/>
        <w:bidi w:val="0"/>
        <w:rPr>
          <w:rFonts w:hint="eastAsia"/>
        </w:rPr>
      </w:pPr>
      <w:r>
        <w:rPr>
          <w:rFonts w:hint="eastAsia"/>
          <w:lang w:eastAsia="zh-CN"/>
        </w:rPr>
        <w:t>【</w:t>
      </w:r>
      <w:r>
        <w:rPr>
          <w:rFonts w:hint="eastAsia"/>
        </w:rPr>
        <w:t>加强团的自身建设】</w:t>
      </w:r>
    </w:p>
    <w:p w14:paraId="4DD5B3E1">
      <w:pPr>
        <w:rPr>
          <w:rFonts w:hint="eastAsia"/>
        </w:rPr>
      </w:pPr>
      <w:r>
        <w:rPr>
          <w:rFonts w:hint="eastAsia"/>
        </w:rPr>
        <w:t>为联系和凝聚大学生村官群体，发挥大学生村官在农村共青团工作中的作用，推动乡镇实体化“大团委”建设，团南雄市委要求各镇（街道）团（工）委根据实际情况，以乡镇实体化“大团委”建设契机，在符合建团条件的大学生村官群体中建立直属团支部；同时，根据大学生村官的需求，发挥乡镇实体化“大团委”的平台，科学、合理设计直属团组织活动，把大学生村官真正联系、凝聚起来。</w:t>
      </w:r>
      <w:r>
        <w:t>2013年11月，在市委</w:t>
      </w:r>
      <w:r>
        <w:rPr>
          <w:rFonts w:hint="eastAsia"/>
        </w:rPr>
        <w:t>组织部关心和支持下，在团市委的具体指导下，南雄市大学生村官成立南雄市大学生村官联谊会，联谊会的成立更有效服务大学生“村官”的个人发展，构筑青年人才新高地，引导带动全体大学生“村官”投身于社会主义新农村建设。</w:t>
      </w:r>
    </w:p>
    <w:p w14:paraId="21338BF6">
      <w:pPr>
        <w:rPr>
          <w:rFonts w:hint="eastAsia"/>
        </w:rPr>
      </w:pPr>
      <w:r>
        <w:rPr>
          <w:rFonts w:hint="eastAsia"/>
        </w:rPr>
        <w:t>为体现共青团在服务大局、服务党政工作重心的重要作用，团南雄市委以打造</w:t>
      </w:r>
      <w:r>
        <w:rPr>
          <w:rFonts w:hint="eastAsia"/>
          <w:lang w:val="en-US" w:eastAsia="zh-CN"/>
        </w:rPr>
        <w:t>一、二、</w:t>
      </w:r>
      <w:r>
        <w:rPr>
          <w:rFonts w:hint="eastAsia"/>
        </w:rPr>
        <w:t>三产业特色团建体系为目标，初步完成三大产业建团体系，探索出一条服务党政工作的有效路径。第一产业建团是通过推动以广东（南雄）金友集团为农业龙头企业建团，带动和辐射各类涉农企业、农村作坊</w:t>
      </w:r>
      <w:r>
        <w:rPr>
          <w:rFonts w:hint="eastAsia"/>
          <w:lang w:eastAsia="zh-CN"/>
        </w:rPr>
        <w:t>、</w:t>
      </w:r>
      <w:r>
        <w:rPr>
          <w:rFonts w:hint="eastAsia"/>
        </w:rPr>
        <w:t>农村经济合作社建团；第二产业建团是以工业园管委会建团，带动和辐射园区内外外资企业、民营企业建团，鼓励在没有建党组织的企业率先建立团组织，通过团组织开展企业接受，青年欢迎的各类文体公益活动，增强组织的凝聚力，有力促进党组织的建设；第三产业建团是依托服务业建团，通过在南雄市旅游公司建团，带动和辐射企业金融服务</w:t>
      </w:r>
      <w:r>
        <w:rPr>
          <w:rFonts w:hint="eastAsia"/>
          <w:lang w:eastAsia="zh-CN"/>
        </w:rPr>
        <w:t>、</w:t>
      </w:r>
      <w:r>
        <w:rPr>
          <w:rFonts w:hint="eastAsia"/>
        </w:rPr>
        <w:t>广告宣传、饮食文化服务等领域企业建团，通过在三大产业建团，为政府与企业青年沟通搭建桥梁，提高企业青年的凝聚力、向心力和工作效率。</w:t>
      </w:r>
    </w:p>
    <w:p w14:paraId="290A5A27">
      <w:pPr>
        <w:rPr>
          <w:rFonts w:hint="eastAsia"/>
          <w:lang w:eastAsia="zh-CN"/>
        </w:rPr>
      </w:pPr>
      <w:r>
        <w:rPr>
          <w:rFonts w:hint="eastAsia"/>
        </w:rPr>
        <w:t>团南雄市委为全面激发基层团干部的工作热情和创新能力，实行重心下移，坚持眼睛向下、重心下移，组织各基层团组织参与“广东省农村青年科技文化活动月”主题团日活动，通过在辖区内开展</w:t>
      </w:r>
      <w:r>
        <w:rPr>
          <w:rFonts w:hint="eastAsia"/>
          <w:lang w:val="en-US" w:eastAsia="zh-CN"/>
        </w:rPr>
        <w:t>一</w:t>
      </w:r>
      <w:r>
        <w:rPr>
          <w:rFonts w:hint="eastAsia"/>
        </w:rPr>
        <w:t>系列组织青年、凝聚青年、服务青年的活动，并将活动方案和活动情况汇总到团省委参加“活动月”优秀组织奖和优秀活动项目的竞赛，通过参加广东省乡镇实体化“大团委”建设乡镇优秀团组织评选，为基层团组织开展活动提供</w:t>
      </w:r>
      <w:r>
        <w:t>2.9万元的经费</w:t>
      </w:r>
      <w:r>
        <w:rPr>
          <w:rFonts w:hint="eastAsia"/>
        </w:rPr>
        <w:t>支持，增强基层团组织活力，加强基层团组织建设。同时，在市委市政府的关心和重视下，市委组织部、团市委联合下发《关于落实乡镇（街道）团组织工作经费的通知》明确乡镇团委不少于</w:t>
      </w:r>
      <w:r>
        <w:t>2万元</w:t>
      </w:r>
      <w:r>
        <w:rPr>
          <w:rFonts w:hint="eastAsia"/>
        </w:rPr>
        <w:t>的年度工作经费要求</w:t>
      </w:r>
      <w:r>
        <w:rPr>
          <w:rFonts w:hint="eastAsia"/>
          <w:lang w:eastAsia="zh-CN"/>
        </w:rPr>
        <w:t>。</w:t>
      </w:r>
    </w:p>
    <w:p w14:paraId="1AFBACE8">
      <w:pPr>
        <w:jc w:val="right"/>
        <w:rPr>
          <w:rFonts w:hint="eastAsia"/>
          <w:b/>
          <w:bCs/>
          <w:lang w:eastAsia="zh-CN"/>
        </w:rPr>
      </w:pPr>
      <w:r>
        <w:rPr>
          <w:rFonts w:hint="eastAsia"/>
          <w:b/>
          <w:bCs/>
        </w:rPr>
        <w:t>（王</w:t>
      </w:r>
      <w:r>
        <w:rPr>
          <w:rFonts w:hint="eastAsia"/>
          <w:b/>
          <w:bCs/>
          <w:lang w:val="en-US" w:eastAsia="zh-CN"/>
        </w:rPr>
        <w:t xml:space="preserve">  </w:t>
      </w:r>
      <w:r>
        <w:rPr>
          <w:rFonts w:hint="eastAsia"/>
          <w:b/>
          <w:bCs/>
        </w:rPr>
        <w:t>昊</w:t>
      </w:r>
      <w:r>
        <w:rPr>
          <w:rFonts w:hint="eastAsia"/>
          <w:b/>
          <w:bCs/>
          <w:lang w:eastAsia="zh-CN"/>
        </w:rPr>
        <w:t>）</w:t>
      </w:r>
    </w:p>
    <w:p w14:paraId="254CD443">
      <w:pPr>
        <w:pStyle w:val="10"/>
        <w:bidi w:val="0"/>
        <w:rPr>
          <w:b/>
          <w:bCs/>
        </w:rPr>
      </w:pPr>
      <w:r>
        <w:rPr>
          <w:rFonts w:hint="eastAsia"/>
          <w:b/>
          <w:bCs/>
        </w:rPr>
        <w:t>附：</w:t>
      </w:r>
      <w:r>
        <w:rPr>
          <w:b/>
          <w:bCs/>
        </w:rPr>
        <w:t>2013年共青团南雄市委领导班子成员名单</w:t>
      </w:r>
    </w:p>
    <w:p w14:paraId="732FD8DB">
      <w:pPr>
        <w:pStyle w:val="10"/>
        <w:bidi w:val="0"/>
        <w:rPr>
          <w:rFonts w:hint="eastAsia"/>
        </w:rPr>
      </w:pPr>
      <w:r>
        <w:rPr>
          <w:rFonts w:hint="eastAsia"/>
          <w:b/>
          <w:bCs/>
        </w:rPr>
        <w:t>书</w:t>
      </w:r>
      <w:r>
        <w:rPr>
          <w:rFonts w:hint="eastAsia"/>
          <w:b/>
          <w:bCs/>
          <w:lang w:val="en-US" w:eastAsia="zh-CN"/>
        </w:rPr>
        <w:t xml:space="preserve">  </w:t>
      </w:r>
      <w:r>
        <w:rPr>
          <w:rFonts w:hint="eastAsia"/>
          <w:b/>
          <w:bCs/>
        </w:rPr>
        <w:t>记：</w:t>
      </w:r>
      <w:r>
        <w:rPr>
          <w:rFonts w:hint="eastAsia"/>
        </w:rPr>
        <w:t>黄恢伟</w:t>
      </w:r>
    </w:p>
    <w:p w14:paraId="090FA386">
      <w:pPr>
        <w:pStyle w:val="10"/>
        <w:bidi w:val="0"/>
        <w:rPr>
          <w:rFonts w:hint="eastAsia"/>
        </w:rPr>
      </w:pPr>
      <w:r>
        <w:rPr>
          <w:rFonts w:hint="eastAsia"/>
          <w:b/>
          <w:bCs/>
        </w:rPr>
        <w:t>副书记：</w:t>
      </w:r>
      <w:r>
        <w:rPr>
          <w:rFonts w:hint="eastAsia"/>
        </w:rPr>
        <w:t>袁</w:t>
      </w:r>
      <w:r>
        <w:rPr>
          <w:rFonts w:hint="eastAsia"/>
          <w:lang w:val="en-US" w:eastAsia="zh-CN"/>
        </w:rPr>
        <w:t xml:space="preserve">  </w:t>
      </w:r>
      <w:r>
        <w:rPr>
          <w:rFonts w:hint="eastAsia"/>
        </w:rPr>
        <w:t>斌</w:t>
      </w:r>
    </w:p>
    <w:p w14:paraId="3DE8A838">
      <w:pPr>
        <w:pStyle w:val="3"/>
        <w:bidi w:val="0"/>
        <w:rPr>
          <w:rFonts w:hint="default"/>
          <w:lang w:val="en-US" w:eastAsia="zh-CN"/>
        </w:rPr>
      </w:pPr>
      <w:r>
        <w:rPr>
          <w:rFonts w:hint="eastAsia"/>
          <w:lang w:val="en-US" w:eastAsia="zh-CN"/>
        </w:rPr>
        <w:t>妇女联合会</w:t>
      </w:r>
    </w:p>
    <w:p w14:paraId="7B9AAF91">
      <w:pPr>
        <w:pStyle w:val="4"/>
        <w:bidi w:val="0"/>
        <w:rPr>
          <w:rFonts w:hint="eastAsia"/>
        </w:rPr>
      </w:pPr>
      <w:r>
        <w:rPr>
          <w:rFonts w:hint="eastAsia"/>
        </w:rPr>
        <w:t>【概况】</w:t>
      </w:r>
    </w:p>
    <w:p w14:paraId="171B28CB">
      <w:r>
        <w:rPr>
          <w:rFonts w:hint="eastAsia"/>
        </w:rPr>
        <w:t>市妇女联合会为正科级群众团体，内设</w:t>
      </w:r>
      <w:r>
        <w:t>3个部门（综合部、权益部，市妇女儿童工作委员</w:t>
      </w:r>
      <w:r>
        <w:rPr>
          <w:rFonts w:hint="eastAsia"/>
        </w:rPr>
        <w:t>会），办公室设在市妇联，人员编制</w:t>
      </w:r>
      <w:r>
        <w:t>5名，其中领</w:t>
      </w:r>
      <w:r>
        <w:rPr>
          <w:rFonts w:hint="eastAsia"/>
        </w:rPr>
        <w:t>导职数</w:t>
      </w:r>
      <w:r>
        <w:t>3名（1正2副）其它干部1名，工人1名。</w:t>
      </w:r>
    </w:p>
    <w:p w14:paraId="14FCC708">
      <w:pPr>
        <w:pStyle w:val="4"/>
        <w:bidi w:val="0"/>
        <w:rPr>
          <w:rFonts w:hint="eastAsia"/>
        </w:rPr>
      </w:pPr>
      <w:r>
        <w:rPr>
          <w:rFonts w:hint="eastAsia"/>
        </w:rPr>
        <w:t>【小额信贷服务支持行动】</w:t>
      </w:r>
    </w:p>
    <w:p w14:paraId="6D9F6464">
      <w:r>
        <w:rPr>
          <w:rFonts w:hint="eastAsia"/>
        </w:rPr>
        <w:t>为南雄市</w:t>
      </w:r>
      <w:r>
        <w:t>6</w:t>
      </w:r>
      <w:r>
        <w:rPr>
          <w:rFonts w:hint="eastAsia"/>
          <w:lang w:val="en-US" w:eastAsia="zh-CN"/>
        </w:rPr>
        <w:t>9</w:t>
      </w:r>
      <w:r>
        <w:t>户获取担</w:t>
      </w:r>
      <w:r>
        <w:rPr>
          <w:rFonts w:hint="eastAsia"/>
        </w:rPr>
        <w:t>保贷款，计总额为</w:t>
      </w:r>
      <w:r>
        <w:t>339万元。</w:t>
      </w:r>
    </w:p>
    <w:p w14:paraId="3C3AADBB">
      <w:pPr>
        <w:pStyle w:val="4"/>
        <w:bidi w:val="0"/>
        <w:rPr>
          <w:rFonts w:hint="eastAsia"/>
        </w:rPr>
      </w:pPr>
      <w:r>
        <w:rPr>
          <w:rFonts w:hint="eastAsia"/>
        </w:rPr>
        <w:t>【妇女健康服务支持行动】</w:t>
      </w:r>
    </w:p>
    <w:p w14:paraId="2301BE6E">
      <w:r>
        <w:t>1.动员广大群众参加</w:t>
      </w:r>
      <w:r>
        <w:rPr>
          <w:rFonts w:hint="eastAsia"/>
        </w:rPr>
        <w:t>妇女心理健康知识网络竞赛活动。接上级妇联关于开展“知心”相伴、幸福同行——妇女心理健康知识网络竞赛活动的通知后，市妇联贯彻落实，将通知转发至各乡镇妇联、市直机关妇委会，动员广大妇女群众于</w:t>
      </w:r>
      <w:r>
        <w:t>2月5日至3月1日期间登录韶关市妇</w:t>
      </w:r>
      <w:r>
        <w:rPr>
          <w:rFonts w:hint="eastAsia"/>
        </w:rPr>
        <w:t>女维权与信息服务网站进行答题，以引导妇女群众学习掌握健康心理知识，宣传倡导“美丽人生、幸福生活，从心开始”；</w:t>
      </w:r>
      <w:r>
        <w:t>2.6月6日上午，南雄市妇联</w:t>
      </w:r>
      <w:r>
        <w:rPr>
          <w:rFonts w:hint="eastAsia"/>
        </w:rPr>
        <w:t>联合市妇幼保健院在妇幼保健院</w:t>
      </w:r>
      <w:r>
        <w:t>6楼会议室举办农</w:t>
      </w:r>
      <w:r>
        <w:rPr>
          <w:rFonts w:hint="eastAsia"/>
        </w:rPr>
        <w:t>村适龄妇女“两癌”免费筛</w:t>
      </w:r>
      <w:r>
        <w:rPr>
          <w:rFonts w:hint="eastAsia"/>
          <w:lang w:eastAsia="zh-CN"/>
        </w:rPr>
        <w:t>查</w:t>
      </w:r>
      <w:r>
        <w:rPr>
          <w:rFonts w:hint="eastAsia"/>
        </w:rPr>
        <w:t>培训暨动员大会；</w:t>
      </w:r>
      <w:r>
        <w:t>3.6月7日南雄市妇联特邀广东省工业高级技工学</w:t>
      </w:r>
      <w:r>
        <w:rPr>
          <w:rFonts w:hint="eastAsia"/>
        </w:rPr>
        <w:t>校、国家二级心理咨询师曾丽华老师来到南雄市油山镇举办“我的青春我做主”为主题的女性青春期生理卫生知识讲座。参加讲座的有韶关市妇联维权站、南雄市妇联、油山镇政府相关领导以及油山中学所有女同学近</w:t>
      </w:r>
      <w:r>
        <w:t>600人。4.8月2日，南雄市妇联</w:t>
      </w:r>
      <w:r>
        <w:rPr>
          <w:rFonts w:hint="eastAsia"/>
        </w:rPr>
        <w:t>在市信访局</w:t>
      </w:r>
      <w:r>
        <w:t>2楼会议室举办农村妇女“两癌”免费</w:t>
      </w:r>
      <w:r>
        <w:rPr>
          <w:rFonts w:hint="eastAsia"/>
        </w:rPr>
        <w:t>筛</w:t>
      </w:r>
      <w:r>
        <w:rPr>
          <w:rFonts w:hint="eastAsia"/>
          <w:lang w:eastAsia="zh-CN"/>
        </w:rPr>
        <w:t>查</w:t>
      </w:r>
      <w:r>
        <w:rPr>
          <w:rFonts w:hint="eastAsia"/>
        </w:rPr>
        <w:t>业务培训；</w:t>
      </w:r>
      <w:r>
        <w:t>5.9月26日市妇联、市妇幼保健院</w:t>
      </w:r>
      <w:r>
        <w:rPr>
          <w:rFonts w:hint="eastAsia"/>
        </w:rPr>
        <w:t>为深入开展农村妇女“两癌”免费检</w:t>
      </w:r>
      <w:r>
        <w:rPr>
          <w:rFonts w:hint="eastAsia"/>
          <w:lang w:eastAsia="zh-CN"/>
        </w:rPr>
        <w:t>查</w:t>
      </w:r>
      <w:r>
        <w:rPr>
          <w:rFonts w:hint="eastAsia"/>
        </w:rPr>
        <w:t>活动，精心组织、统筹安排，制定了“两</w:t>
      </w:r>
      <w:r>
        <w:rPr>
          <w:rFonts w:hint="eastAsia"/>
          <w:lang w:val="en-US" w:eastAsia="zh-CN"/>
        </w:rPr>
        <w:t>癌</w:t>
      </w:r>
      <w:r>
        <w:rPr>
          <w:rFonts w:hint="eastAsia"/>
        </w:rPr>
        <w:t>”筛</w:t>
      </w:r>
      <w:r>
        <w:rPr>
          <w:rFonts w:hint="eastAsia"/>
          <w:lang w:eastAsia="zh-CN"/>
        </w:rPr>
        <w:t>查</w:t>
      </w:r>
      <w:r>
        <w:rPr>
          <w:rFonts w:hint="eastAsia"/>
        </w:rPr>
        <w:t>流程、病历、登记、追访等制度；</w:t>
      </w:r>
      <w:r>
        <w:t>6.10月29日，省妇儿工</w:t>
      </w:r>
      <w:r>
        <w:rPr>
          <w:rFonts w:hint="eastAsia"/>
        </w:rPr>
        <w:t>委调研组在韶关市妇儿工委办领导和南雄市妇联、市卫生局、市妇幼保健院等领导的陪同下，来到南雄市全安镇开展农村妇女两癌免费筛</w:t>
      </w:r>
      <w:r>
        <w:rPr>
          <w:rFonts w:hint="eastAsia"/>
          <w:lang w:eastAsia="zh-CN"/>
        </w:rPr>
        <w:t>查</w:t>
      </w:r>
      <w:r>
        <w:rPr>
          <w:rFonts w:hint="eastAsia"/>
        </w:rPr>
        <w:t>项目专项调研；</w:t>
      </w:r>
      <w:r>
        <w:t>7.11月2日举行“我要做妈妈”公益活动。</w:t>
      </w:r>
    </w:p>
    <w:p w14:paraId="1D33BDDF">
      <w:pPr>
        <w:pStyle w:val="4"/>
        <w:bidi w:val="0"/>
        <w:rPr>
          <w:rFonts w:hint="eastAsia"/>
        </w:rPr>
      </w:pPr>
      <w:r>
        <w:rPr>
          <w:rFonts w:hint="eastAsia"/>
        </w:rPr>
        <w:t>【扶贫助困服务支持行动】</w:t>
      </w:r>
    </w:p>
    <w:p w14:paraId="569B26DB">
      <w:r>
        <w:t>1.开展扶贫救助工</w:t>
      </w:r>
      <w:r>
        <w:rPr>
          <w:rFonts w:hint="eastAsia"/>
        </w:rPr>
        <w:t>作。市妇联为挂钩扶贫村江头镇武岭村实行一对</w:t>
      </w:r>
      <w:r>
        <w:rPr>
          <w:rFonts w:hint="eastAsia"/>
          <w:lang w:val="en-US" w:eastAsia="zh-CN"/>
        </w:rPr>
        <w:t>一</w:t>
      </w:r>
      <w:r>
        <w:rPr>
          <w:rFonts w:hint="eastAsia"/>
        </w:rPr>
        <w:t>帮扶；</w:t>
      </w:r>
      <w:r>
        <w:t>2.实施援建母亲安居房项目。2013年5月，</w:t>
      </w:r>
      <w:r>
        <w:rPr>
          <w:rFonts w:hint="eastAsia"/>
        </w:rPr>
        <w:t>该市争取省、韶关市妇联</w:t>
      </w:r>
      <w:r>
        <w:t>1.3万元帮扶资金援建1</w:t>
      </w:r>
      <w:r>
        <w:rPr>
          <w:rFonts w:hint="eastAsia"/>
        </w:rPr>
        <w:t>户母亲安居房；</w:t>
      </w:r>
      <w:r>
        <w:t>3.开展单亲特困母亲春节慰问活</w:t>
      </w:r>
      <w:r>
        <w:rPr>
          <w:rFonts w:hint="eastAsia"/>
        </w:rPr>
        <w:t>动。</w:t>
      </w:r>
      <w:r>
        <w:t>65户单亲特困母亲得到市妇联的援助，帮扶资</w:t>
      </w:r>
      <w:r>
        <w:rPr>
          <w:rFonts w:hint="eastAsia"/>
        </w:rPr>
        <w:t>金共</w:t>
      </w:r>
      <w:r>
        <w:t>2万多元，让单亲特困母亲在节日里感受到妇</w:t>
      </w:r>
      <w:r>
        <w:rPr>
          <w:rFonts w:hint="eastAsia"/>
        </w:rPr>
        <w:t>联是她们的“温暖之家”；</w:t>
      </w:r>
      <w:r>
        <w:t>4.帮助5名“两</w:t>
      </w:r>
      <w:r>
        <w:rPr>
          <w:rFonts w:hint="eastAsia"/>
          <w:lang w:val="en-US" w:eastAsia="zh-CN"/>
        </w:rPr>
        <w:t>癌</w:t>
      </w:r>
      <w:r>
        <w:t>”患</w:t>
      </w:r>
      <w:r>
        <w:rPr>
          <w:rFonts w:hint="eastAsia"/>
        </w:rPr>
        <w:t>者申报“粉红春天关怀基金”援助项目，目前，该市</w:t>
      </w:r>
      <w:r>
        <w:t>4名患者喜获援助资金，合计12000元。</w:t>
      </w:r>
    </w:p>
    <w:p w14:paraId="2474D63A">
      <w:pPr>
        <w:pStyle w:val="4"/>
        <w:bidi w:val="0"/>
        <w:rPr>
          <w:rFonts w:hint="eastAsia"/>
        </w:rPr>
      </w:pPr>
      <w:r>
        <w:rPr>
          <w:rFonts w:hint="eastAsia"/>
          <w:lang w:eastAsia="zh-CN"/>
        </w:rPr>
        <w:t>【</w:t>
      </w:r>
      <w:r>
        <w:rPr>
          <w:rFonts w:hint="eastAsia"/>
        </w:rPr>
        <w:t>保护妇女儿童权益】</w:t>
      </w:r>
    </w:p>
    <w:p w14:paraId="4A681BCD">
      <w:r>
        <w:rPr>
          <w:rFonts w:hint="eastAsia"/>
        </w:rPr>
        <w:t>维护妇女儿童的合法权益是妇联组织的天职，全年处理群众来信来访</w:t>
      </w:r>
      <w:r>
        <w:t>43宗，</w:t>
      </w:r>
      <w:r>
        <w:rPr>
          <w:rFonts w:hint="eastAsia"/>
        </w:rPr>
        <w:t>办结率</w:t>
      </w:r>
      <w:r>
        <w:t>98%；妇联干部陪审员参与案件审理14宗，</w:t>
      </w:r>
      <w:r>
        <w:rPr>
          <w:rFonts w:hint="eastAsia"/>
        </w:rPr>
        <w:t>代理</w:t>
      </w:r>
      <w:r>
        <w:t>2宗，为妇女提供法律援助19件。</w:t>
      </w:r>
    </w:p>
    <w:p w14:paraId="28F6F722">
      <w:pPr>
        <w:pStyle w:val="4"/>
        <w:bidi w:val="0"/>
        <w:rPr>
          <w:rFonts w:hint="eastAsia"/>
        </w:rPr>
      </w:pPr>
      <w:r>
        <w:rPr>
          <w:rFonts w:hint="eastAsia"/>
        </w:rPr>
        <w:t>【配合禁毒部门开展系列活动】</w:t>
      </w:r>
    </w:p>
    <w:p w14:paraId="0C47B0CA">
      <w:pPr>
        <w:rPr>
          <w:rFonts w:hint="eastAsia"/>
        </w:rPr>
      </w:pPr>
      <w:r>
        <w:t>1.结合“美德在</w:t>
      </w:r>
      <w:r>
        <w:rPr>
          <w:rFonts w:hint="eastAsia"/>
        </w:rPr>
        <w:t>农家”活动。在农村深入持久地抓好“不让黄赌毒邪进我家”活动；在社区开展创建“无害家庭”活动；</w:t>
      </w:r>
      <w:r>
        <w:t>2.结合创“五好文明家庭”、“文明村镇”活</w:t>
      </w:r>
      <w:r>
        <w:rPr>
          <w:rFonts w:hint="eastAsia"/>
        </w:rPr>
        <w:t>动做好禁毒</w:t>
      </w:r>
      <w:r>
        <w:rPr>
          <w:rFonts w:hint="eastAsia"/>
          <w:lang w:val="en-US" w:eastAsia="zh-CN"/>
        </w:rPr>
        <w:t>工</w:t>
      </w:r>
      <w:r>
        <w:rPr>
          <w:rFonts w:hint="eastAsia"/>
        </w:rPr>
        <w:t>作，开展禁毒日法制宣传活动。</w:t>
      </w:r>
      <w:r>
        <w:t>6月26日上午，市妇联与相关单位联合举行禁毒日法制</w:t>
      </w:r>
      <w:r>
        <w:rPr>
          <w:rFonts w:hint="eastAsia"/>
        </w:rPr>
        <w:t>宣传活动，活动现场向市民派发</w:t>
      </w:r>
      <w:r>
        <w:t>3000余份禁毒宣</w:t>
      </w:r>
      <w:r>
        <w:rPr>
          <w:rFonts w:hint="eastAsia"/>
        </w:rPr>
        <w:t>传资料，并播放毒品警示及案例的音像，为全民参与禁毒，构建和谐南雄提供良好的舆论氛围。</w:t>
      </w:r>
    </w:p>
    <w:p w14:paraId="1C2807ED">
      <w:pPr>
        <w:pStyle w:val="4"/>
        <w:bidi w:val="0"/>
        <w:rPr>
          <w:rFonts w:hint="eastAsia"/>
        </w:rPr>
      </w:pPr>
      <w:r>
        <w:rPr>
          <w:rFonts w:hint="eastAsia"/>
        </w:rPr>
        <w:t>【举行“三八”主题活动】</w:t>
      </w:r>
    </w:p>
    <w:p w14:paraId="36A3EFDC">
      <w:r>
        <w:rPr>
          <w:rFonts w:hint="eastAsia"/>
        </w:rPr>
        <w:t>一是</w:t>
      </w:r>
      <w:r>
        <w:t>3月6日上午，</w:t>
      </w:r>
      <w:r>
        <w:rPr>
          <w:rFonts w:hint="eastAsia"/>
        </w:rPr>
        <w:t>南雄市妇联在人民大会堂隆重举行庆祝“三八”国际劳动妇女节</w:t>
      </w:r>
      <w:r>
        <w:t>103周年表彰大会暨文艺汇演。大会</w:t>
      </w:r>
      <w:r>
        <w:rPr>
          <w:rFonts w:hint="eastAsia"/>
        </w:rPr>
        <w:t>表彰“巾帼文明岗”</w:t>
      </w:r>
      <w:r>
        <w:t>2个单位，“巾帼建功”活动</w:t>
      </w:r>
      <w:r>
        <w:rPr>
          <w:rFonts w:hint="eastAsia"/>
        </w:rPr>
        <w:t>先进个人</w:t>
      </w:r>
      <w:r>
        <w:t>18名，“双学双比”活动女能手100名，</w:t>
      </w:r>
      <w:r>
        <w:rPr>
          <w:rFonts w:hint="eastAsia"/>
        </w:rPr>
        <w:t>“女子成才班”学员</w:t>
      </w:r>
      <w:r>
        <w:t>6名，为她们送上荣誉证书和</w:t>
      </w:r>
      <w:r>
        <w:rPr>
          <w:rFonts w:hint="eastAsia"/>
        </w:rPr>
        <w:t>礼品；二是</w:t>
      </w:r>
      <w:r>
        <w:t>3月7日至8日上午，市妇联联合相关</w:t>
      </w:r>
      <w:r>
        <w:rPr>
          <w:rFonts w:hint="eastAsia"/>
        </w:rPr>
        <w:t>单位在市三影广场举办以“关爱妇孺、幸福同行为主题的妇女维权法制、健康咨询活动。活动现场向群众推介妇联领导热线接听日活动，鼓励群众妇女反映诉求、建言献策。据统计，本次活动前来咨询的市民有近</w:t>
      </w:r>
      <w:r>
        <w:t>300人次，发放宣传资料1000多份。</w:t>
      </w:r>
    </w:p>
    <w:p w14:paraId="1D602FA5">
      <w:pPr>
        <w:pStyle w:val="4"/>
        <w:bidi w:val="0"/>
        <w:rPr>
          <w:rFonts w:hint="eastAsia"/>
        </w:rPr>
      </w:pPr>
      <w:r>
        <w:rPr>
          <w:rFonts w:hint="eastAsia"/>
        </w:rPr>
        <w:t>【开展“六一”送健康、送温暖活动】</w:t>
      </w:r>
    </w:p>
    <w:p w14:paraId="7C67692B">
      <w:pPr>
        <w:rPr>
          <w:rFonts w:hint="eastAsia"/>
        </w:rPr>
      </w:pPr>
      <w:r>
        <w:t>5月27</w:t>
      </w:r>
      <w:r>
        <w:rPr>
          <w:rFonts w:hint="eastAsia"/>
        </w:rPr>
        <w:t>日，南雄市妇联到界址镇中心小学开展庆“六一”暨“关爱留守儿童”座谈会。市委常委、组织部部长叶济熊，副市长马细妹，市妇联主席林彩虹，市教育局和界址镇有关领导出席座谈会，与留守儿童亲切座谈，和孩子们共度节日。</w:t>
      </w:r>
    </w:p>
    <w:p w14:paraId="78004EF9">
      <w:pPr>
        <w:pStyle w:val="4"/>
        <w:bidi w:val="0"/>
      </w:pPr>
      <w:r>
        <w:rPr>
          <w:rFonts w:hint="eastAsia"/>
        </w:rPr>
        <w:t>【开通</w:t>
      </w:r>
      <w:r>
        <w:t>12338维权服务热线】</w:t>
      </w:r>
    </w:p>
    <w:p w14:paraId="750006A6">
      <w:r>
        <w:t>市妇联自从开通12338妇女维权服务热线，为全市广大妇女群众提</w:t>
      </w:r>
      <w:r>
        <w:rPr>
          <w:rFonts w:hint="eastAsia"/>
        </w:rPr>
        <w:t>供法律、婚姻、家庭、心理、教育咨询等，受理有关妇女儿童侵权案件投诉。据统计：接听日当天，全市各级妇联主席接听热线电话</w:t>
      </w:r>
      <w:r>
        <w:t>2宗，现场接访30</w:t>
      </w:r>
      <w:r>
        <w:rPr>
          <w:rFonts w:hint="eastAsia"/>
          <w:lang w:val="en-US" w:eastAsia="zh-CN"/>
        </w:rPr>
        <w:t>宗</w:t>
      </w:r>
      <w:r>
        <w:t>。</w:t>
      </w:r>
    </w:p>
    <w:p w14:paraId="1EDDEB18">
      <w:pPr>
        <w:pStyle w:val="4"/>
        <w:bidi w:val="0"/>
        <w:rPr>
          <w:rFonts w:hint="eastAsia"/>
        </w:rPr>
      </w:pPr>
      <w:r>
        <w:rPr>
          <w:rFonts w:hint="eastAsia"/>
        </w:rPr>
        <w:t>【妇女之家】</w:t>
      </w:r>
    </w:p>
    <w:p w14:paraId="40172609">
      <w:pPr>
        <w:rPr>
          <w:rFonts w:hint="eastAsia"/>
          <w:lang w:eastAsia="zh-CN"/>
        </w:rPr>
      </w:pPr>
      <w:r>
        <w:t>4月17日南雄市妇联特邀请韶关市</w:t>
      </w:r>
      <w:r>
        <w:rPr>
          <w:rFonts w:hint="eastAsia"/>
        </w:rPr>
        <w:t>法律援助处刘颢璇律师前往妇女之家示范点河南村委会开展妇女法律知识讲座。参加讲座的有南雄市妇联、雄州街道妇联、村妇代会主任近</w:t>
      </w:r>
      <w:r>
        <w:t>100人。4</w:t>
      </w:r>
      <w:r>
        <w:rPr>
          <w:rFonts w:hint="eastAsia"/>
        </w:rPr>
        <w:t>月</w:t>
      </w:r>
      <w:r>
        <w:t>18日南雄市妇联在“妇女之家”河南村开展</w:t>
      </w:r>
      <w:r>
        <w:rPr>
          <w:rFonts w:hint="eastAsia"/>
        </w:rPr>
        <w:t>“厉行勤俭节约、反对铺张浪费”宣传活动。参加活动的有市妇联全体人员、街道妇联干部、村妇代会主任、女村民近</w:t>
      </w:r>
      <w:r>
        <w:t>100人。与会人员还观摩河南村</w:t>
      </w:r>
      <w:r>
        <w:rPr>
          <w:rFonts w:hint="eastAsia"/>
        </w:rPr>
        <w:t>“妇女之家”的读书屋、信息化活动室、宣传栏以及资料规范管理、活动内容丰富多彩、整理齐全的档案材料。全市创建</w:t>
      </w:r>
      <w:r>
        <w:t>10个示范点，其中，水南村</w:t>
      </w:r>
      <w:r>
        <w:rPr>
          <w:rFonts w:hint="eastAsia"/>
          <w:lang w:eastAsia="zh-CN"/>
        </w:rPr>
        <w:t>、</w:t>
      </w:r>
      <w:r>
        <w:rPr>
          <w:rFonts w:hint="eastAsia"/>
        </w:rPr>
        <w:t>河南村、黎口村、江头村是省妇联的“妇女之家”示范点</w:t>
      </w:r>
      <w:r>
        <w:rPr>
          <w:rFonts w:hint="eastAsia"/>
          <w:lang w:eastAsia="zh-CN"/>
        </w:rPr>
        <w:t>。</w:t>
      </w:r>
    </w:p>
    <w:p w14:paraId="2450C44C">
      <w:pPr>
        <w:pStyle w:val="4"/>
        <w:bidi w:val="0"/>
        <w:rPr>
          <w:rFonts w:hint="eastAsia"/>
          <w:lang w:eastAsia="zh-CN"/>
        </w:rPr>
      </w:pPr>
      <w:r>
        <w:rPr>
          <w:rFonts w:hint="eastAsia"/>
        </w:rPr>
        <w:t>【扶持家庭教育大讲堂进社区（乡树）</w:t>
      </w:r>
      <w:r>
        <w:rPr>
          <w:rFonts w:hint="eastAsia"/>
          <w:lang w:eastAsia="zh-CN"/>
        </w:rPr>
        <w:t>】</w:t>
      </w:r>
    </w:p>
    <w:p w14:paraId="366E35ED">
      <w:r>
        <w:rPr>
          <w:rFonts w:hint="eastAsia"/>
        </w:rPr>
        <w:t>为加强和改进未成年人思想道德建设，普及推广家庭教育知识，确实提高广大家长科学教子的能力和水平。</w:t>
      </w:r>
      <w:r>
        <w:t>3月份，韶关市妇联、市教育局、市妇女维权信息</w:t>
      </w:r>
      <w:r>
        <w:rPr>
          <w:rFonts w:hint="eastAsia"/>
        </w:rPr>
        <w:t>与服务站、南雄市妇联联合广东省金牌讲师罗教授深入南雄市黎灿小学举办</w:t>
      </w:r>
      <w:r>
        <w:t>4场家庭教育讲座活动。</w:t>
      </w:r>
      <w:r>
        <w:rPr>
          <w:rFonts w:hint="eastAsia"/>
        </w:rPr>
        <w:t>南雄市妇儿工委办、教育局相关领导出席本次活动，参加活动的学生家长达</w:t>
      </w:r>
      <w:r>
        <w:t>3000多人次。</w:t>
      </w:r>
    </w:p>
    <w:p w14:paraId="5AF1224D">
      <w:pPr>
        <w:pStyle w:val="4"/>
        <w:bidi w:val="0"/>
        <w:rPr>
          <w:rFonts w:hint="eastAsia"/>
        </w:rPr>
      </w:pPr>
      <w:r>
        <w:rPr>
          <w:rFonts w:hint="eastAsia"/>
        </w:rPr>
        <w:t>【报刊发行工作】</w:t>
      </w:r>
    </w:p>
    <w:p w14:paraId="3E310140">
      <w:r>
        <w:rPr>
          <w:rFonts w:hint="eastAsia"/>
        </w:rPr>
        <w:t>为全面、鲜活、深刻地宣传党的路线方针政策，传递妇联工作信息，加强和改进妇女思想政治工作，抽调专人，分成</w:t>
      </w:r>
      <w:r>
        <w:t>2组，深入到</w:t>
      </w:r>
      <w:r>
        <w:rPr>
          <w:rFonts w:hint="eastAsia"/>
        </w:rPr>
        <w:t>各乡镇、市直各单位妇委会、非公企业妇代会征订《中国妇女报》、《中国妇运》、《家庭》、《农家女》等报刊杂志。截至日前，共征订《中国妇女报》</w:t>
      </w:r>
      <w:r>
        <w:t>55</w:t>
      </w:r>
      <w:r>
        <w:rPr>
          <w:rFonts w:hint="eastAsia"/>
        </w:rPr>
        <w:t>份、《中国妇运》</w:t>
      </w:r>
      <w:r>
        <w:t>53份、《家庭》3412份、《农家</w:t>
      </w:r>
      <w:r>
        <w:rPr>
          <w:rFonts w:hint="eastAsia"/>
        </w:rPr>
        <w:t>女》</w:t>
      </w:r>
      <w:r>
        <w:t>152份，更好地完成征订任务。</w:t>
      </w:r>
    </w:p>
    <w:p w14:paraId="1FCB0114">
      <w:pPr>
        <w:pStyle w:val="4"/>
        <w:bidi w:val="0"/>
        <w:rPr>
          <w:rFonts w:hint="eastAsia"/>
        </w:rPr>
      </w:pPr>
      <w:r>
        <w:rPr>
          <w:rFonts w:hint="eastAsia"/>
        </w:rPr>
        <w:t>【新两</w:t>
      </w:r>
      <w:r>
        <w:rPr>
          <w:rFonts w:hint="eastAsia"/>
          <w:lang w:val="en-US" w:eastAsia="zh-CN"/>
        </w:rPr>
        <w:t>纲</w:t>
      </w:r>
      <w:r>
        <w:rPr>
          <w:rFonts w:hint="eastAsia"/>
        </w:rPr>
        <w:t>年度监测统计工作】</w:t>
      </w:r>
    </w:p>
    <w:p w14:paraId="281E7D77">
      <w:pPr>
        <w:rPr>
          <w:rFonts w:hint="eastAsia"/>
        </w:rPr>
      </w:pPr>
      <w:r>
        <w:rPr>
          <w:rFonts w:hint="eastAsia"/>
        </w:rPr>
        <w:t>根据上级统计局</w:t>
      </w:r>
      <w:r>
        <w:rPr>
          <w:rFonts w:hint="eastAsia"/>
          <w:lang w:eastAsia="zh-CN"/>
        </w:rPr>
        <w:t>、</w:t>
      </w:r>
      <w:r>
        <w:rPr>
          <w:rFonts w:hint="eastAsia"/>
        </w:rPr>
        <w:t>妇儿工委的统一安排，南雄市于</w:t>
      </w:r>
      <w:r>
        <w:t>4月份开展2013</w:t>
      </w:r>
      <w:r>
        <w:rPr>
          <w:rFonts w:hint="eastAsia"/>
        </w:rPr>
        <w:t>年妇女儿童发展规划监测数据的收集整理工作。全市总人口</w:t>
      </w:r>
      <w:r>
        <w:t>47.79万人，比上年增加0.31万人，同比</w:t>
      </w:r>
      <w:r>
        <w:rPr>
          <w:rFonts w:hint="eastAsia"/>
        </w:rPr>
        <w:t>上年增长</w:t>
      </w:r>
      <w:r>
        <w:t>0.6%。总人口中，女性23.24万人，占</w:t>
      </w:r>
      <w:r>
        <w:rPr>
          <w:rFonts w:hint="eastAsia"/>
        </w:rPr>
        <w:t>总人口比例</w:t>
      </w:r>
      <w:r>
        <w:t>48.63%；男女人口性别比106.10</w:t>
      </w:r>
      <w:r>
        <w:rPr>
          <w:rFonts w:hint="eastAsia"/>
          <w:lang w:eastAsia="zh-CN"/>
        </w:rPr>
        <w:t>：</w:t>
      </w:r>
      <w:r>
        <w:t>100，相比2011年、2012更趋向合理人口结构，人</w:t>
      </w:r>
      <w:r>
        <w:rPr>
          <w:rFonts w:hint="eastAsia"/>
        </w:rPr>
        <w:t>口质量有提高。</w:t>
      </w:r>
    </w:p>
    <w:p w14:paraId="01B95648">
      <w:pPr>
        <w:jc w:val="right"/>
        <w:rPr>
          <w:rFonts w:hint="eastAsia"/>
          <w:b/>
          <w:bCs/>
        </w:rPr>
      </w:pPr>
      <w:r>
        <w:rPr>
          <w:rFonts w:hint="eastAsia"/>
          <w:b/>
          <w:bCs/>
        </w:rPr>
        <w:t>（谢祥英）</w:t>
      </w:r>
    </w:p>
    <w:p w14:paraId="2DB877EB">
      <w:pPr>
        <w:pStyle w:val="10"/>
        <w:bidi w:val="0"/>
        <w:rPr>
          <w:b/>
          <w:bCs/>
        </w:rPr>
      </w:pPr>
      <w:r>
        <w:rPr>
          <w:rFonts w:hint="eastAsia"/>
          <w:b/>
          <w:bCs/>
        </w:rPr>
        <w:t>附：</w:t>
      </w:r>
      <w:r>
        <w:rPr>
          <w:b/>
          <w:bCs/>
        </w:rPr>
        <w:t>2013年市妇联领导班子成员名单</w:t>
      </w:r>
    </w:p>
    <w:p w14:paraId="4B076D49">
      <w:pPr>
        <w:pStyle w:val="10"/>
        <w:bidi w:val="0"/>
        <w:rPr>
          <w:rFonts w:hint="eastAsia"/>
        </w:rPr>
      </w:pPr>
      <w:r>
        <w:rPr>
          <w:rFonts w:hint="eastAsia"/>
          <w:b/>
          <w:bCs/>
        </w:rPr>
        <w:t>主</w:t>
      </w:r>
      <w:r>
        <w:rPr>
          <w:rFonts w:hint="eastAsia"/>
          <w:b/>
          <w:bCs/>
          <w:lang w:val="en-US" w:eastAsia="zh-CN"/>
        </w:rPr>
        <w:t xml:space="preserve">  </w:t>
      </w:r>
      <w:r>
        <w:rPr>
          <w:rFonts w:hint="eastAsia"/>
          <w:b/>
          <w:bCs/>
        </w:rPr>
        <w:t>席：</w:t>
      </w:r>
      <w:r>
        <w:rPr>
          <w:rFonts w:hint="eastAsia"/>
        </w:rPr>
        <w:t>林彩虹</w:t>
      </w:r>
    </w:p>
    <w:p w14:paraId="2C76CC19">
      <w:pPr>
        <w:pStyle w:val="10"/>
        <w:bidi w:val="0"/>
        <w:rPr>
          <w:rFonts w:hint="eastAsia"/>
        </w:rPr>
      </w:pPr>
      <w:r>
        <w:rPr>
          <w:rFonts w:hint="eastAsia"/>
          <w:b/>
          <w:bCs/>
        </w:rPr>
        <w:t>副主席：</w:t>
      </w:r>
      <w:r>
        <w:rPr>
          <w:rFonts w:hint="eastAsia"/>
        </w:rPr>
        <w:t>邓红春</w:t>
      </w:r>
      <w:r>
        <w:rPr>
          <w:rFonts w:hint="eastAsia"/>
          <w:lang w:val="en-US" w:eastAsia="zh-CN"/>
        </w:rPr>
        <w:t xml:space="preserve">   </w:t>
      </w:r>
      <w:r>
        <w:rPr>
          <w:rFonts w:hint="eastAsia"/>
        </w:rPr>
        <w:t>谢祥英</w:t>
      </w:r>
    </w:p>
    <w:p w14:paraId="47333289">
      <w:pPr>
        <w:pStyle w:val="3"/>
        <w:bidi w:val="0"/>
        <w:rPr>
          <w:rFonts w:hint="default"/>
          <w:lang w:val="en-US" w:eastAsia="zh-CN"/>
        </w:rPr>
      </w:pPr>
      <w:r>
        <w:rPr>
          <w:rFonts w:hint="eastAsia"/>
          <w:lang w:val="en-US" w:eastAsia="zh-CN"/>
        </w:rPr>
        <w:t>残疾人联合会</w:t>
      </w:r>
    </w:p>
    <w:p w14:paraId="50887049">
      <w:pPr>
        <w:pStyle w:val="4"/>
        <w:bidi w:val="0"/>
        <w:rPr>
          <w:rFonts w:hint="eastAsia"/>
        </w:rPr>
      </w:pPr>
      <w:r>
        <w:rPr>
          <w:rFonts w:hint="eastAsia"/>
        </w:rPr>
        <w:t>【概况】</w:t>
      </w:r>
    </w:p>
    <w:p w14:paraId="71BBCD25">
      <w:pPr>
        <w:rPr>
          <w:rFonts w:hint="eastAsia"/>
        </w:rPr>
      </w:pPr>
      <w:r>
        <w:rPr>
          <w:rFonts w:hint="eastAsia"/>
        </w:rPr>
        <w:t>南雄市残疾人联合会经市政府批准，于</w:t>
      </w:r>
      <w:r>
        <w:t>1990年6月正式成立的、将残疾人自身代表组织、</w:t>
      </w:r>
      <w:r>
        <w:rPr>
          <w:rFonts w:hint="eastAsia"/>
        </w:rPr>
        <w:t>社会福利团体和事业管理机构融为一体的残疾人事业单位，为中国残疾人联合会的地方组织。具有代表、服务、管理三种职能。南雄市残联为正科级单位，现有理事长</w:t>
      </w:r>
      <w:r>
        <w:t>1人，副理事长2人，其他股室工</w:t>
      </w:r>
      <w:r>
        <w:rPr>
          <w:rFonts w:hint="eastAsia"/>
        </w:rPr>
        <w:t>作人员</w:t>
      </w:r>
      <w:r>
        <w:t>5人，设有办公室、康复教育就业股。原办</w:t>
      </w:r>
      <w:r>
        <w:rPr>
          <w:rFonts w:hint="eastAsia"/>
        </w:rPr>
        <w:t>公场地因城市综合体建设需要，在</w:t>
      </w:r>
      <w:r>
        <w:t>2012年6月搬</w:t>
      </w:r>
      <w:r>
        <w:rPr>
          <w:rFonts w:hint="eastAsia"/>
        </w:rPr>
        <w:t>迁到原“二轻工艺厂”临时办公。</w:t>
      </w:r>
    </w:p>
    <w:p w14:paraId="3DDED0BB">
      <w:pPr>
        <w:pStyle w:val="4"/>
        <w:bidi w:val="0"/>
        <w:rPr>
          <w:rFonts w:hint="eastAsia"/>
        </w:rPr>
      </w:pPr>
      <w:r>
        <w:rPr>
          <w:rFonts w:hint="eastAsia"/>
        </w:rPr>
        <w:t>【残疾人康复中心大楼建设】</w:t>
      </w:r>
    </w:p>
    <w:p w14:paraId="526895BA">
      <w:r>
        <w:rPr>
          <w:rFonts w:hint="eastAsia"/>
        </w:rPr>
        <w:t>原南雄市残疾人康复中心大楼是上世纪</w:t>
      </w:r>
      <w:r>
        <w:t>90年代未，在雄中路113号</w:t>
      </w:r>
      <w:r>
        <w:rPr>
          <w:rFonts w:hint="eastAsia"/>
        </w:rPr>
        <w:t>购买宅楼（</w:t>
      </w:r>
      <w:r>
        <w:t>2-4层）改造建成。根据南雄市城市</w:t>
      </w:r>
      <w:r>
        <w:rPr>
          <w:rFonts w:hint="eastAsia"/>
        </w:rPr>
        <w:t>综合体开发搬迁需要，决定在新八一路小学北面新建残疾人康复中心大楼。新建残疾人康复中心大楼占地面积</w:t>
      </w:r>
      <w:r>
        <w:t>489平方米，建筑面积2505.5平方米。总</w:t>
      </w:r>
      <w:r>
        <w:rPr>
          <w:rFonts w:hint="eastAsia"/>
        </w:rPr>
        <w:t>投资</w:t>
      </w:r>
      <w:r>
        <w:t>600万元，基中本市财政安排250万元，社会</w:t>
      </w:r>
      <w:r>
        <w:rPr>
          <w:rFonts w:hint="eastAsia"/>
        </w:rPr>
        <w:t>自筹资金</w:t>
      </w:r>
      <w:r>
        <w:t>50万元，省拔专项资金300万元。残疾</w:t>
      </w:r>
      <w:r>
        <w:rPr>
          <w:rFonts w:hint="eastAsia"/>
        </w:rPr>
        <w:t>人康复中心大楼按省级残疾人康复中心二类等级标准设计，配备电梯及先进康复设备，集康复训练、文化教育、家长培训于一体。南雄市残疾人康复中心大楼</w:t>
      </w:r>
      <w:r>
        <w:t>2012年12月18日举行开工典礼，2013年10月主体工程已完工，现大楼已进入水电安装阶</w:t>
      </w:r>
      <w:r>
        <w:rPr>
          <w:rFonts w:hint="eastAsia"/>
        </w:rPr>
        <w:t>段，约</w:t>
      </w:r>
      <w:r>
        <w:t>2014年11月投入使用。</w:t>
      </w:r>
    </w:p>
    <w:p w14:paraId="301AC109">
      <w:pPr>
        <w:pStyle w:val="4"/>
        <w:bidi w:val="0"/>
        <w:rPr>
          <w:rFonts w:hint="eastAsia"/>
        </w:rPr>
      </w:pPr>
      <w:r>
        <w:rPr>
          <w:rFonts w:hint="eastAsia"/>
        </w:rPr>
        <w:t>【扶贫助残】</w:t>
      </w:r>
    </w:p>
    <w:p w14:paraId="193B7652">
      <w:r>
        <w:t>2013年，本着对残疾人的一片热</w:t>
      </w:r>
      <w:r>
        <w:rPr>
          <w:rFonts w:hint="eastAsia"/>
        </w:rPr>
        <w:t>情，经上下共同努力，输送</w:t>
      </w:r>
      <w:r>
        <w:t>115名残疾人到外地打</w:t>
      </w:r>
      <w:r>
        <w:rPr>
          <w:rFonts w:hint="eastAsia"/>
        </w:rPr>
        <w:t>工，月收入都在</w:t>
      </w:r>
      <w:r>
        <w:t>1500元以上，在一定程度上为残</w:t>
      </w:r>
      <w:r>
        <w:rPr>
          <w:rFonts w:hint="eastAsia"/>
        </w:rPr>
        <w:t>疾人家庭增加收入，为社会创造财富；选送</w:t>
      </w:r>
      <w:r>
        <w:t>26人</w:t>
      </w:r>
      <w:r>
        <w:rPr>
          <w:rFonts w:hint="eastAsia"/>
        </w:rPr>
        <w:t>参加</w:t>
      </w:r>
      <w:r>
        <w:rPr>
          <w:rFonts w:hint="eastAsia"/>
          <w:lang w:eastAsia="zh-CN"/>
        </w:rPr>
        <w:t>粤</w:t>
      </w:r>
      <w:r>
        <w:rPr>
          <w:rFonts w:hint="eastAsia"/>
        </w:rPr>
        <w:t>北训练基地进行种养、电脑、盲人按摩、网络运营、烹饪技术等培训，使他们能掌握一技之长，阳光家园补助</w:t>
      </w:r>
      <w:r>
        <w:t>80人，惠及资金6万元；高等</w:t>
      </w:r>
      <w:r>
        <w:rPr>
          <w:rFonts w:hint="eastAsia"/>
        </w:rPr>
        <w:t>及中专受助残疾人入学</w:t>
      </w:r>
      <w:r>
        <w:t>23人，惠及资金1.54万</w:t>
      </w:r>
      <w:r>
        <w:rPr>
          <w:rFonts w:hint="eastAsia"/>
        </w:rPr>
        <w:t>元；发放上年度残疾人生活津贴及重度残疾人护理补贴</w:t>
      </w:r>
      <w:r>
        <w:t>6029人，惠及资金92.1980万；为全市重度残</w:t>
      </w:r>
      <w:r>
        <w:rPr>
          <w:rFonts w:hint="eastAsia"/>
        </w:rPr>
        <w:t>疾人</w:t>
      </w:r>
      <w:r>
        <w:t>1945人办理新型社保，惠及资金10.6975万</w:t>
      </w:r>
      <w:r>
        <w:rPr>
          <w:rFonts w:hint="eastAsia"/>
        </w:rPr>
        <w:t>元，办理医疗保险</w:t>
      </w:r>
      <w:r>
        <w:t>2212人，惠及资金13.2720万</w:t>
      </w:r>
      <w:r>
        <w:rPr>
          <w:rFonts w:hint="eastAsia"/>
        </w:rPr>
        <w:t>元，残疾特困资助及春节慰问</w:t>
      </w:r>
      <w:r>
        <w:t>380户，资金达26</w:t>
      </w:r>
      <w:r>
        <w:rPr>
          <w:rFonts w:hint="eastAsia"/>
        </w:rPr>
        <w:t>万元，精神病防治</w:t>
      </w:r>
      <w:r>
        <w:t>533人，投入近18万元；为符</w:t>
      </w:r>
      <w:r>
        <w:rPr>
          <w:rFonts w:hint="eastAsia"/>
        </w:rPr>
        <w:t>合条件的</w:t>
      </w:r>
      <w:r>
        <w:t>293名残疾人申请燃油补助，计币6.7860</w:t>
      </w:r>
      <w:r>
        <w:rPr>
          <w:rFonts w:hint="eastAsia"/>
        </w:rPr>
        <w:t>万元；发放专职委员补贴</w:t>
      </w:r>
      <w:r>
        <w:t>235人，资金16.08万元；</w:t>
      </w:r>
      <w:r>
        <w:rPr>
          <w:rFonts w:hint="eastAsia"/>
        </w:rPr>
        <w:t>发放残疾人轮椅</w:t>
      </w:r>
      <w:r>
        <w:t>35台；国家彩票基金扶持0-6岁</w:t>
      </w:r>
      <w:r>
        <w:rPr>
          <w:rFonts w:hint="eastAsia"/>
        </w:rPr>
        <w:t>儿童辅助器</w:t>
      </w:r>
      <w:r>
        <w:t>14人；白内障免费719人；社区康复</w:t>
      </w:r>
      <w:r>
        <w:rPr>
          <w:rFonts w:hint="eastAsia"/>
        </w:rPr>
        <w:t>协调员培训</w:t>
      </w:r>
      <w:r>
        <w:t>40人；举办一期盲人定向行走22人；</w:t>
      </w:r>
      <w:r>
        <w:rPr>
          <w:rFonts w:hint="eastAsia"/>
        </w:rPr>
        <w:t>康复</w:t>
      </w:r>
      <w:r>
        <w:t>0-6岁儿童16人，智力康复5人，言语聋儿</w:t>
      </w:r>
      <w:r>
        <w:rPr>
          <w:rFonts w:hint="eastAsia"/>
        </w:rPr>
        <w:t>康复</w:t>
      </w:r>
      <w:r>
        <w:t>5人，孤独症康复1人；各类宣传报道20篇。</w:t>
      </w:r>
    </w:p>
    <w:p w14:paraId="31604C59">
      <w:pPr>
        <w:pStyle w:val="4"/>
        <w:bidi w:val="0"/>
        <w:rPr>
          <w:rFonts w:hint="eastAsia"/>
        </w:rPr>
      </w:pPr>
      <w:r>
        <w:rPr>
          <w:rFonts w:hint="eastAsia"/>
        </w:rPr>
        <w:t>【双联双促】</w:t>
      </w:r>
    </w:p>
    <w:p w14:paraId="3F931E42">
      <w:r>
        <w:rPr>
          <w:rFonts w:hint="eastAsia"/>
        </w:rPr>
        <w:t>“双联双促”活动，挂点珠玑镇珠玑村委会。主要面对残疾人弱势人群，在推进“扶贫双到面上工作”活动中，投入资金</w:t>
      </w:r>
      <w:r>
        <w:t>2.6万多元，</w:t>
      </w:r>
      <w:r>
        <w:rPr>
          <w:rFonts w:hint="eastAsia"/>
        </w:rPr>
        <w:t>为特困残疾人危房改造</w:t>
      </w:r>
      <w:r>
        <w:t>3户，资金1.8万元，制定</w:t>
      </w:r>
      <w:r>
        <w:rPr>
          <w:rFonts w:hint="eastAsia"/>
        </w:rPr>
        <w:t>帮扶措施</w:t>
      </w:r>
      <w:r>
        <w:t>3条，化解矛盾纠纷2宗，为民办好事实</w:t>
      </w:r>
      <w:r>
        <w:rPr>
          <w:rFonts w:hint="eastAsia"/>
        </w:rPr>
        <w:t>事</w:t>
      </w:r>
      <w:r>
        <w:t>3件，在结对帮扶联系户中，8名干部每人负责</w:t>
      </w:r>
      <w:r>
        <w:rPr>
          <w:rFonts w:hint="eastAsia"/>
        </w:rPr>
        <w:t>联系</w:t>
      </w:r>
      <w:r>
        <w:t>1户。</w:t>
      </w:r>
    </w:p>
    <w:p w14:paraId="36DE1784">
      <w:pPr>
        <w:jc w:val="right"/>
        <w:rPr>
          <w:rFonts w:hint="eastAsia"/>
          <w:b/>
          <w:bCs/>
        </w:rPr>
      </w:pPr>
      <w:r>
        <w:rPr>
          <w:rFonts w:hint="eastAsia"/>
          <w:b/>
          <w:bCs/>
        </w:rPr>
        <w:t>（赖传文）</w:t>
      </w:r>
    </w:p>
    <w:p w14:paraId="16DF5615">
      <w:pPr>
        <w:pStyle w:val="10"/>
        <w:bidi w:val="0"/>
        <w:rPr>
          <w:b/>
          <w:bCs/>
        </w:rPr>
      </w:pPr>
      <w:r>
        <w:rPr>
          <w:rFonts w:hint="eastAsia"/>
          <w:b/>
          <w:bCs/>
        </w:rPr>
        <w:t>附：</w:t>
      </w:r>
      <w:r>
        <w:rPr>
          <w:b/>
          <w:bCs/>
        </w:rPr>
        <w:t>2013年市残联领导班子成员名单</w:t>
      </w:r>
    </w:p>
    <w:p w14:paraId="41381661">
      <w:pPr>
        <w:pStyle w:val="10"/>
        <w:bidi w:val="0"/>
        <w:rPr>
          <w:rFonts w:hint="eastAsia"/>
        </w:rPr>
      </w:pPr>
      <w:r>
        <w:rPr>
          <w:rFonts w:hint="eastAsia"/>
          <w:b/>
          <w:bCs/>
        </w:rPr>
        <w:t>理</w:t>
      </w:r>
      <w:r>
        <w:rPr>
          <w:rFonts w:hint="eastAsia"/>
          <w:b/>
          <w:bCs/>
          <w:lang w:val="en-US" w:eastAsia="zh-CN"/>
        </w:rPr>
        <w:t xml:space="preserve"> </w:t>
      </w:r>
      <w:r>
        <w:rPr>
          <w:rFonts w:hint="eastAsia"/>
          <w:b/>
          <w:bCs/>
        </w:rPr>
        <w:t>事</w:t>
      </w:r>
      <w:r>
        <w:rPr>
          <w:rFonts w:hint="eastAsia"/>
          <w:b/>
          <w:bCs/>
          <w:lang w:val="en-US" w:eastAsia="zh-CN"/>
        </w:rPr>
        <w:t xml:space="preserve"> </w:t>
      </w:r>
      <w:r>
        <w:rPr>
          <w:rFonts w:hint="eastAsia"/>
          <w:b/>
          <w:bCs/>
        </w:rPr>
        <w:t>长：</w:t>
      </w:r>
      <w:r>
        <w:rPr>
          <w:rFonts w:hint="eastAsia"/>
        </w:rPr>
        <w:t>李吉祥</w:t>
      </w:r>
    </w:p>
    <w:p w14:paraId="249217D9">
      <w:pPr>
        <w:pStyle w:val="10"/>
        <w:bidi w:val="0"/>
        <w:rPr>
          <w:rFonts w:hint="eastAsia"/>
        </w:rPr>
      </w:pPr>
      <w:r>
        <w:rPr>
          <w:rFonts w:hint="eastAsia"/>
          <w:b/>
          <w:bCs/>
        </w:rPr>
        <w:t>副理事长：</w:t>
      </w:r>
      <w:r>
        <w:rPr>
          <w:rFonts w:hint="eastAsia"/>
        </w:rPr>
        <w:t>钟爱兰</w:t>
      </w:r>
      <w:r>
        <w:rPr>
          <w:rFonts w:hint="eastAsia"/>
          <w:lang w:val="en-US" w:eastAsia="zh-CN"/>
        </w:rPr>
        <w:t xml:space="preserve">   黄</w:t>
      </w:r>
      <w:r>
        <w:rPr>
          <w:rFonts w:hint="eastAsia"/>
        </w:rPr>
        <w:t>志星</w:t>
      </w:r>
    </w:p>
    <w:p w14:paraId="2FBC7615">
      <w:pPr>
        <w:pStyle w:val="3"/>
        <w:bidi w:val="0"/>
        <w:rPr>
          <w:rFonts w:hint="eastAsia"/>
        </w:rPr>
      </w:pPr>
      <w:r>
        <w:rPr>
          <w:rFonts w:hint="eastAsia"/>
        </w:rPr>
        <w:t>工商业联合会</w:t>
      </w:r>
    </w:p>
    <w:p w14:paraId="5C3CEC96">
      <w:pPr>
        <w:rPr>
          <w:rFonts w:hint="eastAsia"/>
        </w:rPr>
      </w:pPr>
      <w:r>
        <w:rPr>
          <w:rFonts w:hint="eastAsia"/>
        </w:rPr>
        <w:t>南雄市工商业联合会又称南雄市总商会，与统战部合署办公。由工商界组成的人民团体和民间商会，是党和政府联系非公有制经济人士的桥梁和纽带，是政府管理非公有制经济的助手，是中国共产党统一战线工作和经济工作的重要内容，具有统战性、经济性、民间性的特点。</w:t>
      </w:r>
    </w:p>
    <w:p w14:paraId="386045F7">
      <w:r>
        <w:t>1、联系实际，提高参政议政水平。组织经济</w:t>
      </w:r>
      <w:r>
        <w:rPr>
          <w:rFonts w:hint="eastAsia"/>
        </w:rPr>
        <w:t>代表人士</w:t>
      </w:r>
      <w:r>
        <w:t>180人次参观视察市工业园；撰写议案和</w:t>
      </w:r>
      <w:r>
        <w:rPr>
          <w:rFonts w:hint="eastAsia"/>
        </w:rPr>
        <w:t>提案</w:t>
      </w:r>
      <w:r>
        <w:t>10宗，其中获得优秀提案有2宗。</w:t>
      </w:r>
    </w:p>
    <w:p w14:paraId="4D070D53">
      <w:pPr>
        <w:rPr>
          <w:rFonts w:hint="eastAsia"/>
        </w:rPr>
      </w:pPr>
      <w:r>
        <w:t>2、促进非公经济稳步发展。广东金友集团有</w:t>
      </w:r>
      <w:r>
        <w:rPr>
          <w:rFonts w:hint="eastAsia"/>
        </w:rPr>
        <w:t>限公司，扩大农业产业基地来提高企业的竞争力和树立央视上榜品牌。目前，有机农业基地已有</w:t>
      </w:r>
      <w:r>
        <w:t>6000</w:t>
      </w:r>
      <w:r>
        <w:rPr>
          <w:rFonts w:hint="eastAsia"/>
        </w:rPr>
        <w:t>多亩，并逐步向万亩基地发展，同时，扩展到邻县、邻省，为实现国内中小企业板快上市迈上了坚实的步伐。</w:t>
      </w:r>
    </w:p>
    <w:p w14:paraId="6AB12C7E">
      <w:pPr>
        <w:rPr>
          <w:rFonts w:hint="eastAsia"/>
        </w:rPr>
      </w:pPr>
      <w:r>
        <w:t>3、教育引导，切实做好非公有制经济人士政</w:t>
      </w:r>
      <w:r>
        <w:rPr>
          <w:rFonts w:hint="eastAsia"/>
          <w:lang w:eastAsia="zh-CN"/>
        </w:rPr>
        <w:t>治</w:t>
      </w:r>
      <w:r>
        <w:rPr>
          <w:rFonts w:hint="eastAsia"/>
        </w:rPr>
        <w:t>安排。对一些社会影响好的企业，给予表扬鼓励，并将这些企业的负责人推荐到人大、政协、工商联担任人大代表、政协委员、工商联执委等政治职务。</w:t>
      </w:r>
    </w:p>
    <w:p w14:paraId="00EA7EF0">
      <w:pPr>
        <w:rPr>
          <w:rFonts w:hint="eastAsia"/>
        </w:rPr>
      </w:pPr>
      <w:r>
        <w:t>4、抓好组织建设，壮大工商联会员队伍。发</w:t>
      </w:r>
      <w:r>
        <w:rPr>
          <w:rFonts w:hint="eastAsia"/>
        </w:rPr>
        <w:t>展</w:t>
      </w:r>
      <w:r>
        <w:t>66名会员，成立南雄市化工协会。2013年3月</w:t>
      </w:r>
      <w:r>
        <w:rPr>
          <w:rFonts w:hint="eastAsia"/>
        </w:rPr>
        <w:t>成立关心下一代工作委员会。</w:t>
      </w:r>
    </w:p>
    <w:p w14:paraId="50B74850">
      <w:r>
        <w:t>5、开展理想信念教育实践活动。7月1日，组</w:t>
      </w:r>
      <w:r>
        <w:rPr>
          <w:rFonts w:hint="eastAsia"/>
        </w:rPr>
        <w:t>织统战社团和工商企业的爱心代表来到粤北名校南雄中学举行奖教助学活动，奖励该校优秀教师和</w:t>
      </w:r>
      <w:r>
        <w:t>22</w:t>
      </w:r>
      <w:r>
        <w:rPr>
          <w:rFonts w:hint="eastAsia"/>
        </w:rPr>
        <w:t>名贫困优秀学子，捐款金额达</w:t>
      </w:r>
      <w:r>
        <w:t>58万元，</w:t>
      </w:r>
    </w:p>
    <w:p w14:paraId="50BBB2D7">
      <w:r>
        <w:t>6、开展光彩事业。8月22日，召开2013年慈</w:t>
      </w:r>
      <w:r>
        <w:rPr>
          <w:rFonts w:hint="eastAsia"/>
        </w:rPr>
        <w:t>善文化座谈会，</w:t>
      </w:r>
      <w:r>
        <w:t>50名非公制经济人士代表参与，11</w:t>
      </w:r>
      <w:r>
        <w:rPr>
          <w:rFonts w:hint="eastAsia"/>
        </w:rPr>
        <w:t>名企业家与</w:t>
      </w:r>
      <w:r>
        <w:t>11名贫困学生现场结对帮扶，现场给</w:t>
      </w:r>
      <w:r>
        <w:rPr>
          <w:rFonts w:hint="eastAsia"/>
        </w:rPr>
        <w:t>每位学生各</w:t>
      </w:r>
      <w:r>
        <w:t>1000元助学金。</w:t>
      </w:r>
    </w:p>
    <w:p w14:paraId="263C276D">
      <w:pPr>
        <w:pStyle w:val="10"/>
        <w:bidi w:val="0"/>
        <w:rPr>
          <w:rFonts w:hint="eastAsia"/>
          <w:b/>
          <w:bCs/>
        </w:rPr>
      </w:pPr>
      <w:r>
        <w:rPr>
          <w:rFonts w:hint="eastAsia"/>
          <w:b/>
          <w:bCs/>
        </w:rPr>
        <w:t>附：</w:t>
      </w:r>
      <w:r>
        <w:rPr>
          <w:b/>
          <w:bCs/>
        </w:rPr>
        <w:t>2013年市工商业联合会（总商会）领导班子</w:t>
      </w:r>
      <w:r>
        <w:rPr>
          <w:rFonts w:hint="eastAsia"/>
          <w:b/>
          <w:bCs/>
        </w:rPr>
        <w:t>成员名单</w:t>
      </w:r>
    </w:p>
    <w:p w14:paraId="51703C8A">
      <w:pPr>
        <w:pStyle w:val="10"/>
        <w:bidi w:val="0"/>
        <w:rPr>
          <w:rFonts w:hint="eastAsia"/>
        </w:rPr>
      </w:pPr>
      <w:r>
        <w:rPr>
          <w:rFonts w:hint="eastAsia"/>
          <w:b/>
          <w:bCs/>
        </w:rPr>
        <w:t>主</w:t>
      </w:r>
      <w:r>
        <w:rPr>
          <w:rFonts w:hint="eastAsia"/>
          <w:b/>
          <w:bCs/>
          <w:lang w:val="en-US" w:eastAsia="zh-CN"/>
        </w:rPr>
        <w:t xml:space="preserve">  </w:t>
      </w:r>
      <w:r>
        <w:rPr>
          <w:rFonts w:hint="eastAsia"/>
          <w:b/>
          <w:bCs/>
        </w:rPr>
        <w:t>席：</w:t>
      </w:r>
      <w:r>
        <w:rPr>
          <w:rFonts w:hint="eastAsia"/>
        </w:rPr>
        <w:t>丁礼金</w:t>
      </w:r>
    </w:p>
    <w:p w14:paraId="254961A7">
      <w:pPr>
        <w:pStyle w:val="10"/>
        <w:bidi w:val="0"/>
        <w:rPr>
          <w:rFonts w:hint="eastAsia"/>
        </w:rPr>
      </w:pPr>
      <w:r>
        <w:rPr>
          <w:rFonts w:hint="eastAsia"/>
          <w:b/>
          <w:bCs/>
        </w:rPr>
        <w:t>党组书记：</w:t>
      </w:r>
      <w:r>
        <w:rPr>
          <w:rFonts w:hint="eastAsia"/>
        </w:rPr>
        <w:t>董祖明</w:t>
      </w:r>
    </w:p>
    <w:p w14:paraId="17C328F9">
      <w:pPr>
        <w:pStyle w:val="10"/>
        <w:bidi w:val="0"/>
        <w:rPr>
          <w:rFonts w:hint="eastAsia"/>
        </w:rPr>
      </w:pPr>
      <w:r>
        <w:rPr>
          <w:rFonts w:hint="eastAsia"/>
          <w:b/>
          <w:bCs/>
        </w:rPr>
        <w:t>副主席：</w:t>
      </w:r>
      <w:r>
        <w:rPr>
          <w:rFonts w:hint="eastAsia"/>
        </w:rPr>
        <w:t>董祖明（兼）熊文荣（兼）</w:t>
      </w:r>
    </w:p>
    <w:p w14:paraId="02DB7BB3">
      <w:pPr>
        <w:pStyle w:val="10"/>
        <w:bidi w:val="0"/>
        <w:ind w:leftChars="400"/>
        <w:rPr>
          <w:rFonts w:hint="eastAsia"/>
        </w:rPr>
      </w:pPr>
      <w:r>
        <w:rPr>
          <w:rFonts w:hint="eastAsia"/>
        </w:rPr>
        <w:t>康小松</w:t>
      </w:r>
      <w:r>
        <w:rPr>
          <w:rFonts w:hint="eastAsia"/>
          <w:lang w:val="en-US" w:eastAsia="zh-CN"/>
        </w:rPr>
        <w:t xml:space="preserve">   </w:t>
      </w:r>
      <w:r>
        <w:rPr>
          <w:rFonts w:hint="eastAsia"/>
        </w:rPr>
        <w:t>敖卓海</w:t>
      </w:r>
      <w:r>
        <w:rPr>
          <w:rFonts w:hint="eastAsia"/>
          <w:lang w:val="en-US" w:eastAsia="zh-CN"/>
        </w:rPr>
        <w:t xml:space="preserve">   </w:t>
      </w:r>
      <w:r>
        <w:rPr>
          <w:rFonts w:hint="eastAsia"/>
        </w:rPr>
        <w:t>王伟雄</w:t>
      </w:r>
      <w:r>
        <w:rPr>
          <w:rFonts w:hint="eastAsia"/>
          <w:lang w:val="en-US" w:eastAsia="zh-CN"/>
        </w:rPr>
        <w:t xml:space="preserve">   </w:t>
      </w:r>
      <w:r>
        <w:rPr>
          <w:rFonts w:hint="eastAsia"/>
        </w:rPr>
        <w:t>王才生</w:t>
      </w:r>
    </w:p>
    <w:p w14:paraId="3D74D850">
      <w:pPr>
        <w:pStyle w:val="10"/>
        <w:bidi w:val="0"/>
        <w:ind w:leftChars="400"/>
        <w:rPr>
          <w:rFonts w:hint="eastAsia"/>
        </w:rPr>
      </w:pPr>
      <w:r>
        <w:rPr>
          <w:rFonts w:hint="eastAsia"/>
        </w:rPr>
        <w:t>霍振辉</w:t>
      </w:r>
      <w:r>
        <w:rPr>
          <w:rFonts w:hint="eastAsia"/>
          <w:lang w:val="en-US" w:eastAsia="zh-CN"/>
        </w:rPr>
        <w:t xml:space="preserve">   </w:t>
      </w:r>
      <w:r>
        <w:rPr>
          <w:rFonts w:hint="eastAsia"/>
        </w:rPr>
        <w:t>胡文甦</w:t>
      </w:r>
      <w:r>
        <w:rPr>
          <w:rFonts w:hint="eastAsia"/>
          <w:lang w:val="en-US" w:eastAsia="zh-CN"/>
        </w:rPr>
        <w:t xml:space="preserve">   </w:t>
      </w:r>
      <w:r>
        <w:rPr>
          <w:rFonts w:hint="eastAsia"/>
        </w:rPr>
        <w:t>古广超</w:t>
      </w:r>
      <w:r>
        <w:rPr>
          <w:rFonts w:hint="eastAsia"/>
          <w:lang w:val="en-US" w:eastAsia="zh-CN"/>
        </w:rPr>
        <w:t xml:space="preserve">   </w:t>
      </w:r>
      <w:r>
        <w:rPr>
          <w:rFonts w:hint="eastAsia"/>
        </w:rPr>
        <w:t>黄履华</w:t>
      </w:r>
    </w:p>
    <w:p w14:paraId="7799D5BF">
      <w:pPr>
        <w:pStyle w:val="10"/>
        <w:bidi w:val="0"/>
        <w:ind w:leftChars="400"/>
        <w:rPr>
          <w:rFonts w:hint="eastAsia"/>
        </w:rPr>
      </w:pPr>
      <w:r>
        <w:rPr>
          <w:rFonts w:hint="eastAsia"/>
        </w:rPr>
        <w:t>吴远剑</w:t>
      </w:r>
      <w:r>
        <w:rPr>
          <w:rFonts w:hint="eastAsia"/>
          <w:lang w:val="en-US" w:eastAsia="zh-CN"/>
        </w:rPr>
        <w:t xml:space="preserve">   </w:t>
      </w:r>
      <w:r>
        <w:rPr>
          <w:rFonts w:hint="eastAsia"/>
        </w:rPr>
        <w:t>陈德生</w:t>
      </w:r>
      <w:r>
        <w:rPr>
          <w:rFonts w:hint="eastAsia"/>
          <w:lang w:val="en-US" w:eastAsia="zh-CN"/>
        </w:rPr>
        <w:t xml:space="preserve">   </w:t>
      </w:r>
      <w:r>
        <w:rPr>
          <w:rFonts w:hint="eastAsia"/>
        </w:rPr>
        <w:t>张</w:t>
      </w:r>
      <w:r>
        <w:rPr>
          <w:rFonts w:hint="eastAsia"/>
          <w:lang w:val="en-US" w:eastAsia="zh-CN"/>
        </w:rPr>
        <w:t xml:space="preserve">  </w:t>
      </w:r>
      <w:r>
        <w:rPr>
          <w:rFonts w:hint="eastAsia"/>
        </w:rPr>
        <w:t>周</w:t>
      </w:r>
      <w:r>
        <w:rPr>
          <w:rFonts w:hint="eastAsia"/>
          <w:lang w:val="en-US" w:eastAsia="zh-CN"/>
        </w:rPr>
        <w:t xml:space="preserve">   </w:t>
      </w:r>
      <w:r>
        <w:rPr>
          <w:rFonts w:hint="eastAsia"/>
        </w:rPr>
        <w:t>林日辉</w:t>
      </w:r>
    </w:p>
    <w:p w14:paraId="1746C1D3">
      <w:pPr>
        <w:pStyle w:val="10"/>
        <w:bidi w:val="0"/>
        <w:ind w:leftChars="400"/>
        <w:rPr>
          <w:rFonts w:hint="eastAsia"/>
        </w:rPr>
      </w:pPr>
      <w:r>
        <w:rPr>
          <w:rFonts w:hint="eastAsia"/>
        </w:rPr>
        <w:t>卢隆全</w:t>
      </w:r>
      <w:r>
        <w:rPr>
          <w:rFonts w:hint="eastAsia"/>
          <w:lang w:val="en-US" w:eastAsia="zh-CN"/>
        </w:rPr>
        <w:t xml:space="preserve">   </w:t>
      </w:r>
      <w:r>
        <w:rPr>
          <w:rFonts w:hint="eastAsia"/>
        </w:rPr>
        <w:t>李庚骝</w:t>
      </w:r>
    </w:p>
    <w:p w14:paraId="22A5D4CC">
      <w:pPr>
        <w:pStyle w:val="10"/>
        <w:bidi w:val="0"/>
        <w:rPr>
          <w:rFonts w:hint="eastAsia"/>
        </w:rPr>
      </w:pPr>
      <w:r>
        <w:rPr>
          <w:rFonts w:hint="eastAsia"/>
          <w:b/>
          <w:bCs/>
        </w:rPr>
        <w:t>秘书长：</w:t>
      </w:r>
      <w:r>
        <w:rPr>
          <w:rFonts w:hint="eastAsia"/>
        </w:rPr>
        <w:t>黄奕雄</w:t>
      </w:r>
    </w:p>
    <w:p w14:paraId="269458DC">
      <w:pPr>
        <w:pStyle w:val="3"/>
        <w:bidi w:val="0"/>
        <w:rPr>
          <w:rFonts w:hint="default"/>
          <w:lang w:val="en-US" w:eastAsia="zh-CN"/>
        </w:rPr>
      </w:pPr>
      <w:r>
        <w:rPr>
          <w:rFonts w:hint="eastAsia"/>
          <w:lang w:val="en-US" w:eastAsia="zh-CN"/>
        </w:rPr>
        <w:t>科学协会</w:t>
      </w:r>
    </w:p>
    <w:p w14:paraId="7E065D06">
      <w:pPr>
        <w:pStyle w:val="4"/>
        <w:bidi w:val="0"/>
        <w:rPr>
          <w:rFonts w:hint="eastAsia"/>
        </w:rPr>
      </w:pPr>
      <w:r>
        <w:rPr>
          <w:rFonts w:hint="eastAsia"/>
        </w:rPr>
        <w:t>【概况】</w:t>
      </w:r>
    </w:p>
    <w:p w14:paraId="4D2B6510">
      <w:pPr>
        <w:rPr>
          <w:rFonts w:hint="eastAsia"/>
        </w:rPr>
      </w:pPr>
      <w:r>
        <w:t>1956年，南雄县科学普及协会成立，附</w:t>
      </w:r>
      <w:r>
        <w:rPr>
          <w:rFonts w:hint="eastAsia"/>
        </w:rPr>
        <w:t>属县委宣传部。</w:t>
      </w:r>
      <w:r>
        <w:t>1969年科普协会撤销。1980年9</w:t>
      </w:r>
      <w:r>
        <w:rPr>
          <w:rFonts w:hint="eastAsia"/>
        </w:rPr>
        <w:t>月，南雄县科学技术协会成立，属正科级单位，群众团体，财政全额拨款。</w:t>
      </w:r>
      <w:r>
        <w:t>2002年机构改革行政编制3人，其中主席、副主席各1人。内设办公室、科</w:t>
      </w:r>
      <w:r>
        <w:rPr>
          <w:rFonts w:hint="eastAsia"/>
        </w:rPr>
        <w:t>普部、学会部。下属协会</w:t>
      </w:r>
      <w:r>
        <w:t>21个，有会员2506人</w:t>
      </w:r>
      <w:r>
        <w:rPr>
          <w:rFonts w:hint="eastAsia"/>
        </w:rPr>
        <w:t>（其他情况见附表）</w:t>
      </w:r>
    </w:p>
    <w:p w14:paraId="04C81090">
      <w:pPr>
        <w:pStyle w:val="4"/>
        <w:bidi w:val="0"/>
        <w:rPr>
          <w:rFonts w:hint="eastAsia"/>
        </w:rPr>
      </w:pPr>
      <w:r>
        <w:rPr>
          <w:rFonts w:hint="eastAsia"/>
          <w:lang w:eastAsia="zh-CN"/>
        </w:rPr>
        <w:t>【</w:t>
      </w:r>
      <w:r>
        <w:rPr>
          <w:rFonts w:hint="eastAsia"/>
        </w:rPr>
        <w:t>干部队伍自身建设】</w:t>
      </w:r>
    </w:p>
    <w:p w14:paraId="2723306D">
      <w:pPr>
        <w:rPr>
          <w:rFonts w:hint="eastAsia"/>
        </w:rPr>
      </w:pPr>
      <w:r>
        <w:rPr>
          <w:rFonts w:hint="eastAsia"/>
        </w:rPr>
        <w:t>南雄市科协始终注重加强科协组织建设，全体干部均参加南雄市举办的信息技术应用能力培训班和各类政治理论学习班，通过各种渠道提高干部队伍素质。把每周五作为学习活动日。结合该市“面向基层、整顿作风、服务群众”活动、开展作风建设加强干部自身理论知识学习。</w:t>
      </w:r>
      <w:r>
        <w:t>2013年先后组织开展党员干部集中理论学习5</w:t>
      </w:r>
      <w:r>
        <w:rPr>
          <w:rFonts w:hint="eastAsia"/>
        </w:rPr>
        <w:t>次，深入基层现场为农服务</w:t>
      </w:r>
      <w:r>
        <w:t>7次，走访和关爱贫困</w:t>
      </w:r>
      <w:r>
        <w:rPr>
          <w:rFonts w:hint="eastAsia"/>
        </w:rPr>
        <w:t>党员、群众</w:t>
      </w:r>
      <w:r>
        <w:t>8人，提高干部职工的服务意识。同时</w:t>
      </w:r>
      <w:r>
        <w:rPr>
          <w:rFonts w:hint="eastAsia"/>
        </w:rPr>
        <w:t>采取请进来与走出去相结合的方式，学习兄弟市（县）科协的先进经验和做法。请韶关市科协领导莅临该市检</w:t>
      </w:r>
      <w:r>
        <w:rPr>
          <w:rFonts w:hint="eastAsia"/>
          <w:lang w:eastAsia="zh-CN"/>
        </w:rPr>
        <w:t>查</w:t>
      </w:r>
      <w:r>
        <w:rPr>
          <w:rFonts w:hint="eastAsia"/>
        </w:rPr>
        <w:t>指导工作。组织全体干部到新丰县</w:t>
      </w:r>
      <w:r>
        <w:rPr>
          <w:rFonts w:hint="eastAsia"/>
          <w:lang w:val="en-US" w:eastAsia="zh-CN"/>
        </w:rPr>
        <w:t>科</w:t>
      </w:r>
      <w:r>
        <w:rPr>
          <w:rFonts w:hint="eastAsia"/>
        </w:rPr>
        <w:t>协参观学习，学习他们在科普基地建设、科普宣传以及学术交流方面的先进经验。</w:t>
      </w:r>
    </w:p>
    <w:p w14:paraId="0EF9558F">
      <w:pPr>
        <w:pStyle w:val="4"/>
        <w:bidi w:val="0"/>
        <w:rPr>
          <w:rFonts w:hint="eastAsia"/>
        </w:rPr>
      </w:pPr>
      <w:r>
        <w:rPr>
          <w:rFonts w:hint="eastAsia"/>
          <w:lang w:eastAsia="zh-CN"/>
        </w:rPr>
        <w:t>【</w:t>
      </w:r>
      <w:r>
        <w:rPr>
          <w:rFonts w:hint="eastAsia"/>
        </w:rPr>
        <w:t>科普示范社区】</w:t>
      </w:r>
    </w:p>
    <w:p w14:paraId="52CFE55A">
      <w:pPr>
        <w:rPr>
          <w:rFonts w:hint="eastAsia"/>
        </w:rPr>
      </w:pPr>
      <w:r>
        <w:rPr>
          <w:rFonts w:hint="eastAsia"/>
        </w:rPr>
        <w:t>加强“科普示范社区”单位的申报。在科普工作中，普及科学知识、弘扬科学精神、传播科学思想及科学方法作为一项重点工作来抓，科协为提高社区科学素质，服务群众生活，把雄州街道的八一社区居委会列为省科协科普示范社区申报单位，并获得“省科普示范社区”称号，为该市实施科学素质工程，营造科普氛推进科普工作群众化、社会化、经常化，开创社区科普工作的新局面。</w:t>
      </w:r>
    </w:p>
    <w:p w14:paraId="085F0763">
      <w:pPr>
        <w:pStyle w:val="4"/>
        <w:bidi w:val="0"/>
        <w:rPr>
          <w:rFonts w:hint="eastAsia"/>
        </w:rPr>
      </w:pPr>
      <w:r>
        <w:rPr>
          <w:rFonts w:hint="eastAsia"/>
        </w:rPr>
        <w:t>【科普惠农】</w:t>
      </w:r>
    </w:p>
    <w:p w14:paraId="1F9B2844">
      <w:pPr>
        <w:rPr>
          <w:rFonts w:hint="eastAsia"/>
        </w:rPr>
      </w:pPr>
      <w:r>
        <w:t>1.继续抓好“科普惠农兴村计划项</w:t>
      </w:r>
      <w:r>
        <w:rPr>
          <w:rFonts w:hint="eastAsia"/>
        </w:rPr>
        <w:t>目”的培育申报工作。根据惠农兴村计划项目的评选要求，通过审</w:t>
      </w:r>
      <w:r>
        <w:rPr>
          <w:rFonts w:hint="eastAsia"/>
          <w:lang w:eastAsia="zh-CN"/>
        </w:rPr>
        <w:t>查</w:t>
      </w:r>
      <w:r>
        <w:rPr>
          <w:rFonts w:hint="eastAsia"/>
        </w:rPr>
        <w:t>筛选，向省科协申报农科所蔬菜科普示范基地项目，并申报成功，获得</w:t>
      </w:r>
      <w:r>
        <w:t>15万元的</w:t>
      </w:r>
      <w:r>
        <w:rPr>
          <w:rFonts w:hint="eastAsia"/>
        </w:rPr>
        <w:t>项目经费，为惠农项目在该市的实施开辟新的农业科技项目。</w:t>
      </w:r>
      <w:r>
        <w:t>2.加强对受表彰的科普惠农兴村先进集</w:t>
      </w:r>
      <w:r>
        <w:rPr>
          <w:rFonts w:hint="eastAsia"/>
        </w:rPr>
        <w:t>体进行项目后期跟踪管理，督促他们开展科普惠农服务工作。一年来，组织工作人员先后</w:t>
      </w:r>
      <w:r>
        <w:t>5次深入到</w:t>
      </w:r>
      <w:r>
        <w:rPr>
          <w:rFonts w:hint="eastAsia"/>
        </w:rPr>
        <w:t>农科所蔬菜协会科普示范基地，邓坊果业科普示范培训基地、南雄烟草科研所黄坑烟草基地，对</w:t>
      </w:r>
      <w:r>
        <w:t>3个</w:t>
      </w:r>
      <w:r>
        <w:rPr>
          <w:rFonts w:hint="eastAsia"/>
        </w:rPr>
        <w:t>获奖单位获奖后的惠农服务效果、惠农服务的基础设施建设及惠农奖补资金的使用情况进行逐一进行督</w:t>
      </w:r>
      <w:r>
        <w:rPr>
          <w:rFonts w:hint="eastAsia"/>
          <w:lang w:eastAsia="zh-CN"/>
        </w:rPr>
        <w:t>查</w:t>
      </w:r>
      <w:r>
        <w:rPr>
          <w:rFonts w:hint="eastAsia"/>
        </w:rPr>
        <w:t>。</w:t>
      </w:r>
      <w:r>
        <w:t>2个获奖单位在奖补资金的支持下，合理使</w:t>
      </w:r>
      <w:r>
        <w:rPr>
          <w:rFonts w:hint="eastAsia"/>
        </w:rPr>
        <w:t>用惠农奖补资金，完善培训室、科普图书屋、科普宣传栏等惠农服务设施，加大惠农服务力度，充实惠农服务工作队的力量。</w:t>
      </w:r>
    </w:p>
    <w:p w14:paraId="5BDD2B4D">
      <w:pPr>
        <w:pStyle w:val="4"/>
        <w:bidi w:val="0"/>
        <w:rPr>
          <w:rFonts w:hint="eastAsia"/>
        </w:rPr>
      </w:pPr>
      <w:r>
        <w:rPr>
          <w:rFonts w:hint="eastAsia"/>
        </w:rPr>
        <w:t>【开展科普活动】</w:t>
      </w:r>
    </w:p>
    <w:p w14:paraId="0F50358E">
      <w:pPr>
        <w:rPr>
          <w:rFonts w:hint="eastAsia"/>
          <w:lang w:eastAsia="zh-CN"/>
        </w:rPr>
      </w:pPr>
      <w:r>
        <w:rPr>
          <w:rFonts w:hint="eastAsia"/>
        </w:rPr>
        <w:t>为提高劳动者素质，南雄市科协与农业、林业、教育、医疗卫生及乡镇等有关部门、协会，面向全市开展广泛的科普活动。在全国科普日、科技活动周、科技进步活动月活动中，动员和组织科技工作者、科技专家做科普报告，撰写科普文章，深入农村、基层普及先进的实用技术，发挥表率作用。与市医学会、市预防医学会的科普志愿者在市区三影塔广场举办“预防疾病，科学生活”科普活动。为群众做安全用药、假劣药品鉴别、疾病预防咨询活动。</w:t>
      </w:r>
      <w:r>
        <w:t>2013年，全市组织科技工</w:t>
      </w:r>
      <w:r>
        <w:rPr>
          <w:rFonts w:hint="eastAsia"/>
        </w:rPr>
        <w:t>作者、科技专家</w:t>
      </w:r>
      <w:r>
        <w:t>29人次参与科普宣传活动，分别</w:t>
      </w:r>
      <w:r>
        <w:rPr>
          <w:rFonts w:hint="eastAsia"/>
        </w:rPr>
        <w:t>到各乡镇组织科普集市</w:t>
      </w:r>
      <w:r>
        <w:t>2场次；播放科普电影1</w:t>
      </w:r>
      <w:r>
        <w:rPr>
          <w:rFonts w:hint="eastAsia"/>
        </w:rPr>
        <w:t>场，观看人数</w:t>
      </w:r>
      <w:r>
        <w:t>1万人次；向群众发放科普资料800</w:t>
      </w:r>
      <w:r>
        <w:rPr>
          <w:rFonts w:hint="eastAsia"/>
        </w:rPr>
        <w:t>份（册），向群众普及科学知识。同时，推进广播电视媒体科普工作，发挥广播电视媒体在科普宣传中的作用，南雄市加强广播电视媒体科普工作。科协与市广播电视台共同搭建科普平台，联合制作的《农村百事》节目，帮助农村和农民解决生产生活中的难题。在市电视台开办《科普大蓬车》科普专题栏目，把科普知识送到千家万户</w:t>
      </w:r>
      <w:r>
        <w:rPr>
          <w:rFonts w:hint="eastAsia"/>
          <w:lang w:eastAsia="zh-CN"/>
        </w:rPr>
        <w:t>。</w:t>
      </w:r>
    </w:p>
    <w:p w14:paraId="2812BB81">
      <w:pPr>
        <w:pStyle w:val="4"/>
        <w:bidi w:val="0"/>
        <w:rPr>
          <w:rFonts w:hint="eastAsia"/>
        </w:rPr>
      </w:pPr>
      <w:r>
        <w:rPr>
          <w:rFonts w:hint="eastAsia"/>
        </w:rPr>
        <w:t>【开展科普惠农行动】</w:t>
      </w:r>
    </w:p>
    <w:p w14:paraId="7A4CDDA6">
      <w:r>
        <w:rPr>
          <w:rFonts w:hint="eastAsia"/>
        </w:rPr>
        <w:t>南雄市科协以农业增效</w:t>
      </w:r>
      <w:r>
        <w:rPr>
          <w:rFonts w:hint="eastAsia"/>
          <w:lang w:eastAsia="zh-CN"/>
        </w:rPr>
        <w:t>、</w:t>
      </w:r>
      <w:r>
        <w:rPr>
          <w:rFonts w:hint="eastAsia"/>
        </w:rPr>
        <w:t>农民增收为中心，以提高农民科技素质为切入点，以普及推广农业新技术为重点内容，大力开展科普惠农行动，为社会主义新农村建设服务。</w:t>
      </w:r>
      <w:r>
        <w:t>1.举办各</w:t>
      </w:r>
      <w:r>
        <w:rPr>
          <w:rFonts w:hint="eastAsia"/>
        </w:rPr>
        <w:t>类农业技术知识培训班。南雄市科协以科学发展观为指导，以科普惠农为出发点，结合本地实际，组织科技人员深入果树、蔬菜种植面积较大的镇开展培训，对种植户们进行指导，解决技术难题。据统计，</w:t>
      </w:r>
      <w:r>
        <w:t>2013年全市举办各类农技培训班5次，参加培</w:t>
      </w:r>
      <w:r>
        <w:rPr>
          <w:rFonts w:hint="eastAsia"/>
        </w:rPr>
        <w:t>训人数</w:t>
      </w:r>
      <w:r>
        <w:t>1660多人。其中在6月、10月市科协分别</w:t>
      </w:r>
      <w:r>
        <w:rPr>
          <w:rFonts w:hint="eastAsia"/>
        </w:rPr>
        <w:t>在市农业局和珠玑、湖口、黄坑等镇举办“果树种植实用技术培训班”，邀请省农科院教授作讲座，</w:t>
      </w:r>
      <w:r>
        <w:t>200多名果树种植专业户参加培训。并通过到实地</w:t>
      </w:r>
      <w:r>
        <w:rPr>
          <w:rFonts w:hint="eastAsia"/>
        </w:rPr>
        <w:t>有针对性地讲授果树病虫害的防治、老果树的改造等问题，解答在生产中遇到的实际问题，使农民收获很大，许多农民把在培训中学到的本领迅速应用于生产实践，实现学以致用，为发展农业生产，增加农民收</w:t>
      </w:r>
      <w:r>
        <w:rPr>
          <w:rFonts w:hint="eastAsia"/>
          <w:lang w:val="en-US" w:eastAsia="zh-CN"/>
        </w:rPr>
        <w:t>入</w:t>
      </w:r>
      <w:r>
        <w:rPr>
          <w:rFonts w:hint="eastAsia"/>
        </w:rPr>
        <w:t>。</w:t>
      </w:r>
      <w:r>
        <w:t>2.结合挂钩帮扶工作出谋献策。组织</w:t>
      </w:r>
      <w:r>
        <w:rPr>
          <w:rFonts w:hint="eastAsia"/>
        </w:rPr>
        <w:t>科技人员深入到挂钩帮扶的黄坑镇小陂村，举行种养知识、农产品加工等实用技术讲座，以及解答农户们的难题来指导农村如何选择发展项目，推动当地的农业产业化发展。</w:t>
      </w:r>
      <w:r>
        <w:t>3.开展经常性的送科技下乡</w:t>
      </w:r>
      <w:r>
        <w:rPr>
          <w:rFonts w:hint="eastAsia"/>
        </w:rPr>
        <w:t>活动。</w:t>
      </w:r>
      <w:r>
        <w:t>2013年，开展送科技下乡活动2次，组织科</w:t>
      </w:r>
      <w:r>
        <w:rPr>
          <w:rFonts w:hint="eastAsia"/>
        </w:rPr>
        <w:t>技工作者、科技专家</w:t>
      </w:r>
      <w:r>
        <w:t>28人次参与活动，向农民发</w:t>
      </w:r>
      <w:r>
        <w:rPr>
          <w:rFonts w:hint="eastAsia"/>
        </w:rPr>
        <w:t>放科普资料</w:t>
      </w:r>
      <w:r>
        <w:t>3种，2000份（册），使群众面对面与</w:t>
      </w:r>
      <w:r>
        <w:rPr>
          <w:rFonts w:hint="eastAsia"/>
        </w:rPr>
        <w:t>专家交流，更加接受、支持科普活动，并主动地参与到科普活动中来。市科协分别在乌迳、湖口、黄坑、帽子峰等镇举办了“全国科普活动日—一科技下乡”活动。组织中医、西医、妇科、儿科等方面的医科专家，以及科普志愿者</w:t>
      </w:r>
      <w:r>
        <w:t>33人参与下乡活动。</w:t>
      </w:r>
      <w:r>
        <w:rPr>
          <w:rFonts w:hint="eastAsia"/>
        </w:rPr>
        <w:t>免费为</w:t>
      </w:r>
      <w:r>
        <w:t>500多名群众做健康检</w:t>
      </w:r>
      <w:r>
        <w:rPr>
          <w:rFonts w:hint="eastAsia"/>
          <w:lang w:eastAsia="zh-CN"/>
        </w:rPr>
        <w:t>查</w:t>
      </w:r>
      <w:r>
        <w:t>，免费为群众用</w:t>
      </w:r>
      <w:r>
        <w:rPr>
          <w:rFonts w:hint="eastAsia"/>
        </w:rPr>
        <w:t>药，并举办科普图片展览，向群众发放医药科普资料</w:t>
      </w:r>
      <w:r>
        <w:t>1000份。</w:t>
      </w:r>
    </w:p>
    <w:p w14:paraId="291EAF77">
      <w:pPr>
        <w:pStyle w:val="4"/>
        <w:bidi w:val="0"/>
        <w:rPr>
          <w:rFonts w:hint="eastAsia"/>
        </w:rPr>
      </w:pPr>
      <w:r>
        <w:rPr>
          <w:rFonts w:hint="eastAsia"/>
        </w:rPr>
        <w:t>【科普活动宣传】</w:t>
      </w:r>
    </w:p>
    <w:p w14:paraId="3B3A3D63">
      <w:r>
        <w:rPr>
          <w:rFonts w:hint="eastAsia"/>
        </w:rPr>
        <w:t>科协按照“预防为主、防御和救助相结合”的防灾减灾工作方针从</w:t>
      </w:r>
      <w:r>
        <w:t>5月6日起全</w:t>
      </w:r>
      <w:r>
        <w:rPr>
          <w:rFonts w:hint="eastAsia"/>
        </w:rPr>
        <w:t>市开展一系列防灾减灾宣传活动并取得较好的社会效果。在科普活动宣传月大力开展“防灾减灾日”集中宣传活动。</w:t>
      </w:r>
      <w:r>
        <w:t>5月6日至10日科协抓住有利时机</w:t>
      </w:r>
      <w:r>
        <w:rPr>
          <w:rFonts w:hint="eastAsia"/>
        </w:rPr>
        <w:t>组织全市</w:t>
      </w:r>
      <w:r>
        <w:t>18个乡镇（街道）在城圩日进行防灾减</w:t>
      </w:r>
      <w:r>
        <w:rPr>
          <w:rFonts w:hint="eastAsia"/>
        </w:rPr>
        <w:t>灾科普宣传。同时组织全市</w:t>
      </w:r>
      <w:r>
        <w:t>10个学会的科普工作</w:t>
      </w:r>
      <w:r>
        <w:rPr>
          <w:rFonts w:hint="eastAsia"/>
        </w:rPr>
        <w:t>者</w:t>
      </w:r>
      <w:r>
        <w:t>40多人在市区三影塔广场开展“防灾减灾日”</w:t>
      </w:r>
      <w:r>
        <w:rPr>
          <w:rFonts w:hint="eastAsia"/>
        </w:rPr>
        <w:t>集中宣传活动。通过演练、图片展示、展播咨询发放资料等方式针对公共安全、突发事件、应急救援、卫生防疫、自救互救等内容进行集中定点宣传。其中科协发放《灾害避险与自救》光碟，在市科普宣传栏展出了宣传画报。卫生系统科普人员就卫生防疫、</w:t>
      </w:r>
      <w:r>
        <w:t>H7N9的预防知识进行讲解与宣传；消</w:t>
      </w:r>
      <w:r>
        <w:rPr>
          <w:rFonts w:hint="eastAsia"/>
        </w:rPr>
        <w:t>防队就火灾预防、应急救援等内容在学校进行演练；地震局展出地震科普知识展栏；林业局就森林防火进行宣讲；安监局在乡镇现场播放山洪避险宣传片。活动中工作人员与公众进行面对面交流解释相关防灾减灾法律法规和防灾减灾知识，深受广大公众的好评。</w:t>
      </w:r>
      <w:r>
        <w:t>2013年进行各种宣传展栏25块，悬</w:t>
      </w:r>
      <w:r>
        <w:rPr>
          <w:rFonts w:hint="eastAsia"/>
        </w:rPr>
        <w:t>挂防灾减灾日横幅</w:t>
      </w:r>
      <w:r>
        <w:t>12幅，发放宣传</w:t>
      </w:r>
      <w:r>
        <w:rPr>
          <w:rFonts w:hint="eastAsia"/>
          <w:lang w:val="en-US" w:eastAsia="zh-CN"/>
        </w:rPr>
        <w:t>资</w:t>
      </w:r>
      <w:r>
        <w:t>料6000多份</w:t>
      </w:r>
      <w:r>
        <w:rPr>
          <w:rFonts w:hint="eastAsia"/>
        </w:rPr>
        <w:t>放映宣传片</w:t>
      </w:r>
      <w:r>
        <w:t>2场。科协鼓励各学会根据实际开展防</w:t>
      </w:r>
      <w:r>
        <w:rPr>
          <w:rFonts w:hint="eastAsia"/>
        </w:rPr>
        <w:t>灾减灾宣传。期间全市各学协会悬挂防灾减灾宣传标语</w:t>
      </w:r>
      <w:r>
        <w:t>146条，张贴创建防灾减灾示范系列挂图等宣</w:t>
      </w:r>
      <w:r>
        <w:rPr>
          <w:rFonts w:hint="eastAsia"/>
        </w:rPr>
        <w:t>传图片</w:t>
      </w:r>
      <w:r>
        <w:t>180张，放映防灾减灾宣传片2场次出动宣</w:t>
      </w:r>
      <w:r>
        <w:rPr>
          <w:rFonts w:hint="eastAsia"/>
        </w:rPr>
        <w:t>传车</w:t>
      </w:r>
      <w:r>
        <w:t>5台次发放宣传资料8000</w:t>
      </w:r>
      <w:r>
        <w:rPr>
          <w:rFonts w:hint="eastAsia"/>
          <w:lang w:val="en-US" w:eastAsia="zh-CN"/>
        </w:rPr>
        <w:t>余</w:t>
      </w:r>
      <w:r>
        <w:t>份。参加活动的</w:t>
      </w:r>
      <w:r>
        <w:rPr>
          <w:rFonts w:hint="eastAsia"/>
        </w:rPr>
        <w:t>科普工作者达</w:t>
      </w:r>
      <w:r>
        <w:t>40人、科普志愿者达70多人、受益</w:t>
      </w:r>
      <w:r>
        <w:rPr>
          <w:rFonts w:hint="eastAsia"/>
        </w:rPr>
        <w:t>群众超过</w:t>
      </w:r>
      <w:r>
        <w:t>4万人。</w:t>
      </w:r>
    </w:p>
    <w:p w14:paraId="6F5CEA32">
      <w:pPr>
        <w:pStyle w:val="4"/>
        <w:bidi w:val="0"/>
        <w:rPr>
          <w:rFonts w:hint="eastAsia"/>
        </w:rPr>
      </w:pPr>
      <w:r>
        <w:rPr>
          <w:rFonts w:hint="eastAsia"/>
          <w:lang w:eastAsia="zh-CN"/>
        </w:rPr>
        <w:t>【</w:t>
      </w:r>
      <w:r>
        <w:rPr>
          <w:rFonts w:hint="eastAsia"/>
        </w:rPr>
        <w:t>开展科普进校园活动】</w:t>
      </w:r>
    </w:p>
    <w:p w14:paraId="1AD5EE9D">
      <w:pPr>
        <w:rPr>
          <w:rFonts w:hint="eastAsia"/>
        </w:rPr>
      </w:pPr>
      <w:r>
        <w:rPr>
          <w:rFonts w:hint="eastAsia"/>
        </w:rPr>
        <w:t>南雄市科协联合市教育局组织开展一系列规模大、影响力强的“科普进校园活动”，涉及医药、电力、声学、生命科、技防灾减灾等多个领域，具有科学性、趣味性、互动性强等特点，有科技专家、科普志愿者现场讲解、辅导，既能直观、有趣地解剖科学奥秘，又能提高青少年学生对科学探索的兴趣。全市中小学</w:t>
      </w:r>
      <w:r>
        <w:t>11000人</w:t>
      </w:r>
      <w:r>
        <w:rPr>
          <w:rFonts w:hint="eastAsia"/>
        </w:rPr>
        <w:t>次参观展览，加强科技教育，提高中小学生的科学素养。</w:t>
      </w:r>
    </w:p>
    <w:p w14:paraId="60827EBF">
      <w:pPr>
        <w:jc w:val="right"/>
        <w:rPr>
          <w:rFonts w:hint="eastAsia"/>
          <w:b/>
          <w:bCs/>
        </w:rPr>
      </w:pPr>
      <w:r>
        <w:rPr>
          <w:rFonts w:hint="eastAsia"/>
          <w:b/>
          <w:bCs/>
        </w:rPr>
        <w:t>（杨小凤）</w:t>
      </w:r>
    </w:p>
    <w:p w14:paraId="0D4D6D36">
      <w:pPr>
        <w:pStyle w:val="10"/>
        <w:bidi w:val="0"/>
        <w:jc w:val="center"/>
        <w:rPr>
          <w:rFonts w:hint="eastAsia"/>
          <w:b/>
          <w:bCs/>
        </w:rPr>
      </w:pPr>
      <w:r>
        <w:rPr>
          <w:rFonts w:hint="eastAsia"/>
          <w:b/>
          <w:bCs/>
        </w:rPr>
        <w:t>2013年南雄市科协辖学会、协会、研究会一览表</w:t>
      </w:r>
    </w:p>
    <w:p w14:paraId="4D6B9DE2">
      <w:pPr>
        <w:bidi w:val="0"/>
        <w:rPr>
          <w:rFonts w:hint="eastAsia"/>
        </w:rPr>
      </w:pPr>
      <w:r>
        <w:rPr>
          <w:rFonts w:hint="eastAsia"/>
        </w:rPr>
        <w:t>表3</w:t>
      </w:r>
    </w:p>
    <w:tbl>
      <w:tblPr>
        <w:tblStyle w:val="7"/>
        <w:tblW w:w="4994"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803"/>
        <w:gridCol w:w="838"/>
        <w:gridCol w:w="1549"/>
        <w:gridCol w:w="1549"/>
        <w:gridCol w:w="1553"/>
        <w:gridCol w:w="1658"/>
      </w:tblGrid>
      <w:tr w14:paraId="7A8665C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08" w:type="pct"/>
            <w:vMerge w:val="restart"/>
            <w:tcBorders>
              <w:top w:val="single" w:color="000000" w:sz="8" w:space="0"/>
              <w:right w:val="single" w:color="000000" w:sz="8" w:space="0"/>
            </w:tcBorders>
            <w:shd w:val="clear" w:color="auto" w:fill="FFFFFF"/>
            <w:noWrap w:val="0"/>
            <w:vAlign w:val="center"/>
          </w:tcPr>
          <w:p w14:paraId="549783ED">
            <w:pPr>
              <w:pStyle w:val="10"/>
              <w:bidi w:val="0"/>
              <w:jc w:val="center"/>
              <w:rPr>
                <w:rFonts w:hint="eastAsia"/>
                <w:b/>
                <w:bCs/>
                <w:color w:val="000000"/>
              </w:rPr>
            </w:pPr>
            <w:r>
              <w:rPr>
                <w:rFonts w:hint="eastAsia"/>
                <w:b/>
                <w:bCs/>
                <w:color w:val="000000"/>
              </w:rPr>
              <w:t>名称</w:t>
            </w:r>
          </w:p>
        </w:tc>
        <w:tc>
          <w:tcPr>
            <w:tcW w:w="421" w:type="pct"/>
            <w:vMerge w:val="restart"/>
            <w:tcBorders>
              <w:top w:val="single" w:color="000000" w:sz="8" w:space="0"/>
              <w:left w:val="single" w:color="000000" w:sz="8" w:space="0"/>
              <w:right w:val="single" w:color="000000" w:sz="8" w:space="0"/>
            </w:tcBorders>
            <w:shd w:val="clear" w:color="auto" w:fill="FFFFFF"/>
            <w:noWrap w:val="0"/>
            <w:vAlign w:val="center"/>
          </w:tcPr>
          <w:p w14:paraId="45B83886">
            <w:pPr>
              <w:pStyle w:val="10"/>
              <w:bidi w:val="0"/>
              <w:jc w:val="center"/>
              <w:rPr>
                <w:rFonts w:hint="eastAsia"/>
                <w:b/>
                <w:bCs/>
                <w:color w:val="000000"/>
              </w:rPr>
            </w:pPr>
            <w:r>
              <w:rPr>
                <w:rFonts w:hint="eastAsia"/>
                <w:b/>
                <w:bCs/>
                <w:color w:val="000000"/>
              </w:rPr>
              <w:t>会员</w:t>
            </w:r>
          </w:p>
        </w:tc>
        <w:tc>
          <w:tcPr>
            <w:tcW w:w="2336" w:type="pct"/>
            <w:gridSpan w:val="3"/>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A10D185">
            <w:pPr>
              <w:pStyle w:val="10"/>
              <w:bidi w:val="0"/>
              <w:jc w:val="center"/>
              <w:rPr>
                <w:rFonts w:hint="eastAsia"/>
                <w:b/>
                <w:bCs/>
                <w:color w:val="000000"/>
              </w:rPr>
            </w:pPr>
            <w:r>
              <w:rPr>
                <w:rFonts w:hint="eastAsia"/>
                <w:b/>
                <w:bCs/>
                <w:color w:val="000000"/>
              </w:rPr>
              <w:t>其中</w:t>
            </w:r>
          </w:p>
        </w:tc>
        <w:tc>
          <w:tcPr>
            <w:tcW w:w="833" w:type="pct"/>
            <w:vMerge w:val="restart"/>
            <w:tcBorders>
              <w:top w:val="single" w:color="000000" w:sz="8" w:space="0"/>
              <w:left w:val="single" w:color="000000" w:sz="8" w:space="0"/>
            </w:tcBorders>
            <w:shd w:val="clear" w:color="auto" w:fill="FFFFFF"/>
            <w:noWrap w:val="0"/>
            <w:vAlign w:val="center"/>
          </w:tcPr>
          <w:p w14:paraId="240DB5FC">
            <w:pPr>
              <w:pStyle w:val="10"/>
              <w:bidi w:val="0"/>
              <w:jc w:val="center"/>
              <w:rPr>
                <w:rFonts w:hint="eastAsia"/>
                <w:b/>
                <w:bCs/>
                <w:color w:val="000000"/>
              </w:rPr>
            </w:pPr>
            <w:r>
              <w:rPr>
                <w:rFonts w:hint="eastAsia"/>
                <w:b/>
                <w:bCs/>
                <w:color w:val="000000"/>
              </w:rPr>
              <w:t>挂靠单位</w:t>
            </w:r>
          </w:p>
        </w:tc>
      </w:tr>
      <w:tr w14:paraId="7FFA045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08" w:type="pct"/>
            <w:vMerge w:val="continue"/>
            <w:tcBorders>
              <w:bottom w:val="single" w:color="000000" w:sz="8" w:space="0"/>
              <w:right w:val="single" w:color="000000" w:sz="8" w:space="0"/>
            </w:tcBorders>
            <w:shd w:val="clear" w:color="auto" w:fill="FFFFFF"/>
            <w:noWrap w:val="0"/>
            <w:vAlign w:val="center"/>
          </w:tcPr>
          <w:p w14:paraId="37131131">
            <w:pPr>
              <w:pStyle w:val="10"/>
              <w:bidi w:val="0"/>
              <w:jc w:val="center"/>
              <w:rPr>
                <w:rFonts w:hint="eastAsia"/>
                <w:b/>
                <w:bCs/>
                <w:color w:val="000000"/>
              </w:rPr>
            </w:pPr>
          </w:p>
        </w:tc>
        <w:tc>
          <w:tcPr>
            <w:tcW w:w="421" w:type="pct"/>
            <w:vMerge w:val="continue"/>
            <w:tcBorders>
              <w:left w:val="single" w:color="000000" w:sz="8" w:space="0"/>
              <w:bottom w:val="single" w:color="000000" w:sz="8" w:space="0"/>
              <w:right w:val="single" w:color="000000" w:sz="8" w:space="0"/>
            </w:tcBorders>
            <w:shd w:val="clear" w:color="auto" w:fill="FFFFFF"/>
            <w:noWrap w:val="0"/>
            <w:vAlign w:val="center"/>
          </w:tcPr>
          <w:p w14:paraId="69D985B7">
            <w:pPr>
              <w:pStyle w:val="10"/>
              <w:bidi w:val="0"/>
              <w:jc w:val="center"/>
              <w:rPr>
                <w:rFonts w:hint="eastAsia"/>
                <w:b/>
                <w:bCs/>
                <w:color w:val="000000"/>
              </w:rPr>
            </w:pPr>
          </w:p>
        </w:tc>
        <w:tc>
          <w:tcPr>
            <w:tcW w:w="7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ECD7962">
            <w:pPr>
              <w:pStyle w:val="10"/>
              <w:bidi w:val="0"/>
              <w:jc w:val="center"/>
              <w:rPr>
                <w:rFonts w:hint="eastAsia"/>
                <w:b/>
                <w:bCs/>
                <w:color w:val="000000"/>
              </w:rPr>
            </w:pPr>
            <w:r>
              <w:rPr>
                <w:rFonts w:hint="eastAsia"/>
                <w:b/>
                <w:bCs/>
                <w:color w:val="000000"/>
              </w:rPr>
              <w:t>高级职称</w:t>
            </w:r>
          </w:p>
        </w:tc>
        <w:tc>
          <w:tcPr>
            <w:tcW w:w="7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34F8C54">
            <w:pPr>
              <w:pStyle w:val="10"/>
              <w:bidi w:val="0"/>
              <w:jc w:val="center"/>
              <w:rPr>
                <w:rFonts w:hint="eastAsia"/>
                <w:b/>
                <w:bCs/>
                <w:color w:val="000000"/>
              </w:rPr>
            </w:pPr>
            <w:r>
              <w:rPr>
                <w:rFonts w:hint="eastAsia"/>
                <w:b/>
                <w:bCs/>
                <w:color w:val="000000"/>
              </w:rPr>
              <w:t>中级职称</w:t>
            </w:r>
          </w:p>
        </w:tc>
        <w:tc>
          <w:tcPr>
            <w:tcW w:w="7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B54EBF3">
            <w:pPr>
              <w:pStyle w:val="10"/>
              <w:bidi w:val="0"/>
              <w:jc w:val="center"/>
              <w:rPr>
                <w:rFonts w:hint="eastAsia"/>
                <w:b/>
                <w:bCs/>
                <w:color w:val="000000"/>
              </w:rPr>
            </w:pPr>
            <w:r>
              <w:rPr>
                <w:rFonts w:hint="eastAsia"/>
                <w:b/>
                <w:bCs/>
                <w:color w:val="000000"/>
              </w:rPr>
              <w:t>初级职称</w:t>
            </w:r>
          </w:p>
        </w:tc>
        <w:tc>
          <w:tcPr>
            <w:tcW w:w="833" w:type="pct"/>
            <w:vMerge w:val="continue"/>
            <w:tcBorders>
              <w:left w:val="single" w:color="000000" w:sz="8" w:space="0"/>
              <w:bottom w:val="single" w:color="000000" w:sz="8" w:space="0"/>
            </w:tcBorders>
            <w:shd w:val="clear" w:color="auto" w:fill="FFFFFF"/>
            <w:noWrap w:val="0"/>
            <w:vAlign w:val="center"/>
          </w:tcPr>
          <w:p w14:paraId="09AF34F4">
            <w:pPr>
              <w:pStyle w:val="10"/>
              <w:bidi w:val="0"/>
              <w:jc w:val="center"/>
              <w:rPr>
                <w:rFonts w:hint="eastAsia"/>
                <w:b/>
                <w:bCs/>
                <w:color w:val="000000"/>
              </w:rPr>
            </w:pPr>
          </w:p>
        </w:tc>
      </w:tr>
      <w:tr w14:paraId="55347EB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08" w:type="pct"/>
            <w:tcBorders>
              <w:top w:val="single" w:color="000000" w:sz="8" w:space="0"/>
              <w:bottom w:val="single" w:color="000000" w:sz="8" w:space="0"/>
              <w:right w:val="single" w:color="000000" w:sz="8" w:space="0"/>
            </w:tcBorders>
            <w:shd w:val="clear" w:color="auto" w:fill="FFFFFF"/>
            <w:noWrap w:val="0"/>
            <w:vAlign w:val="center"/>
          </w:tcPr>
          <w:p w14:paraId="50325919">
            <w:pPr>
              <w:pStyle w:val="10"/>
              <w:bidi w:val="0"/>
              <w:jc w:val="center"/>
              <w:rPr>
                <w:rFonts w:hint="eastAsia"/>
                <w:color w:val="000000"/>
              </w:rPr>
            </w:pPr>
            <w:r>
              <w:rPr>
                <w:rFonts w:hint="eastAsia"/>
                <w:color w:val="000000"/>
              </w:rPr>
              <w:t>中华医学南雄分会</w:t>
            </w:r>
          </w:p>
        </w:tc>
        <w:tc>
          <w:tcPr>
            <w:tcW w:w="42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4C7CB5B">
            <w:pPr>
              <w:pStyle w:val="10"/>
              <w:bidi w:val="0"/>
              <w:jc w:val="center"/>
              <w:rPr>
                <w:rFonts w:hint="eastAsia"/>
                <w:color w:val="000000"/>
              </w:rPr>
            </w:pPr>
            <w:r>
              <w:rPr>
                <w:rFonts w:hint="eastAsia"/>
                <w:color w:val="000000"/>
              </w:rPr>
              <w:t>441</w:t>
            </w:r>
          </w:p>
        </w:tc>
        <w:tc>
          <w:tcPr>
            <w:tcW w:w="7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480EDF9">
            <w:pPr>
              <w:pStyle w:val="10"/>
              <w:bidi w:val="0"/>
              <w:jc w:val="center"/>
              <w:rPr>
                <w:rFonts w:hint="eastAsia"/>
                <w:color w:val="000000"/>
              </w:rPr>
            </w:pPr>
            <w:r>
              <w:rPr>
                <w:rFonts w:hint="eastAsia"/>
                <w:color w:val="000000"/>
              </w:rPr>
              <w:t>15</w:t>
            </w:r>
          </w:p>
        </w:tc>
        <w:tc>
          <w:tcPr>
            <w:tcW w:w="7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1A7FCD1">
            <w:pPr>
              <w:pStyle w:val="10"/>
              <w:bidi w:val="0"/>
              <w:jc w:val="center"/>
              <w:rPr>
                <w:rFonts w:hint="eastAsia"/>
                <w:color w:val="000000"/>
              </w:rPr>
            </w:pPr>
            <w:r>
              <w:rPr>
                <w:rFonts w:hint="eastAsia"/>
                <w:color w:val="000000"/>
              </w:rPr>
              <w:t>103</w:t>
            </w:r>
          </w:p>
        </w:tc>
        <w:tc>
          <w:tcPr>
            <w:tcW w:w="7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92FC8A3">
            <w:pPr>
              <w:pStyle w:val="10"/>
              <w:bidi w:val="0"/>
              <w:jc w:val="center"/>
              <w:rPr>
                <w:rFonts w:hint="eastAsia"/>
                <w:color w:val="000000"/>
              </w:rPr>
            </w:pPr>
            <w:r>
              <w:rPr>
                <w:rFonts w:hint="eastAsia"/>
                <w:color w:val="000000"/>
              </w:rPr>
              <w:t>310</w:t>
            </w:r>
          </w:p>
        </w:tc>
        <w:tc>
          <w:tcPr>
            <w:tcW w:w="833" w:type="pct"/>
            <w:tcBorders>
              <w:top w:val="single" w:color="000000" w:sz="8" w:space="0"/>
              <w:left w:val="single" w:color="000000" w:sz="8" w:space="0"/>
              <w:bottom w:val="single" w:color="000000" w:sz="8" w:space="0"/>
            </w:tcBorders>
            <w:shd w:val="clear" w:color="auto" w:fill="FFFFFF"/>
            <w:noWrap w:val="0"/>
            <w:vAlign w:val="center"/>
          </w:tcPr>
          <w:p w14:paraId="6AB34BDE">
            <w:pPr>
              <w:pStyle w:val="10"/>
              <w:bidi w:val="0"/>
              <w:jc w:val="center"/>
              <w:rPr>
                <w:rFonts w:hint="eastAsia"/>
                <w:color w:val="000000"/>
              </w:rPr>
            </w:pPr>
            <w:r>
              <w:rPr>
                <w:rFonts w:hint="eastAsia"/>
                <w:color w:val="000000"/>
              </w:rPr>
              <w:t>卫生局</w:t>
            </w:r>
          </w:p>
        </w:tc>
      </w:tr>
      <w:tr w14:paraId="237EAB3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08" w:type="pct"/>
            <w:tcBorders>
              <w:top w:val="single" w:color="000000" w:sz="8" w:space="0"/>
              <w:bottom w:val="single" w:color="000000" w:sz="8" w:space="0"/>
              <w:right w:val="single" w:color="000000" w:sz="8" w:space="0"/>
            </w:tcBorders>
            <w:shd w:val="clear" w:color="auto" w:fill="FFFFFF"/>
            <w:noWrap w:val="0"/>
            <w:vAlign w:val="center"/>
          </w:tcPr>
          <w:p w14:paraId="26C333C6">
            <w:pPr>
              <w:pStyle w:val="10"/>
              <w:bidi w:val="0"/>
              <w:jc w:val="center"/>
              <w:rPr>
                <w:rFonts w:hint="eastAsia"/>
                <w:color w:val="000000"/>
              </w:rPr>
            </w:pPr>
            <w:r>
              <w:rPr>
                <w:rFonts w:hint="eastAsia"/>
                <w:color w:val="000000"/>
              </w:rPr>
              <w:t>工学会</w:t>
            </w:r>
          </w:p>
        </w:tc>
        <w:tc>
          <w:tcPr>
            <w:tcW w:w="42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030BED0">
            <w:pPr>
              <w:pStyle w:val="10"/>
              <w:bidi w:val="0"/>
              <w:jc w:val="center"/>
              <w:rPr>
                <w:rFonts w:hint="eastAsia"/>
                <w:color w:val="000000"/>
              </w:rPr>
            </w:pPr>
            <w:r>
              <w:rPr>
                <w:rFonts w:hint="eastAsia"/>
                <w:color w:val="000000"/>
              </w:rPr>
              <w:t>45</w:t>
            </w:r>
          </w:p>
        </w:tc>
        <w:tc>
          <w:tcPr>
            <w:tcW w:w="7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9EB8065">
            <w:pPr>
              <w:pStyle w:val="10"/>
              <w:bidi w:val="0"/>
              <w:jc w:val="center"/>
              <w:rPr>
                <w:rFonts w:hint="eastAsia"/>
                <w:color w:val="000000"/>
              </w:rPr>
            </w:pPr>
            <w:r>
              <w:rPr>
                <w:rFonts w:hint="eastAsia"/>
                <w:color w:val="000000"/>
              </w:rPr>
              <w:t>2</w:t>
            </w:r>
          </w:p>
        </w:tc>
        <w:tc>
          <w:tcPr>
            <w:tcW w:w="7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6DA8835">
            <w:pPr>
              <w:pStyle w:val="10"/>
              <w:bidi w:val="0"/>
              <w:jc w:val="center"/>
              <w:rPr>
                <w:rFonts w:hint="eastAsia"/>
                <w:color w:val="000000"/>
              </w:rPr>
            </w:pPr>
            <w:r>
              <w:rPr>
                <w:rFonts w:hint="eastAsia"/>
                <w:color w:val="000000"/>
              </w:rPr>
              <w:t>21</w:t>
            </w:r>
          </w:p>
        </w:tc>
        <w:tc>
          <w:tcPr>
            <w:tcW w:w="7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04FA740">
            <w:pPr>
              <w:pStyle w:val="10"/>
              <w:bidi w:val="0"/>
              <w:jc w:val="center"/>
              <w:rPr>
                <w:rFonts w:hint="eastAsia"/>
                <w:color w:val="000000"/>
              </w:rPr>
            </w:pPr>
            <w:r>
              <w:rPr>
                <w:rFonts w:hint="eastAsia"/>
                <w:color w:val="000000"/>
              </w:rPr>
              <w:t>14</w:t>
            </w:r>
          </w:p>
        </w:tc>
        <w:tc>
          <w:tcPr>
            <w:tcW w:w="833" w:type="pct"/>
            <w:tcBorders>
              <w:top w:val="single" w:color="000000" w:sz="8" w:space="0"/>
              <w:left w:val="single" w:color="000000" w:sz="8" w:space="0"/>
              <w:bottom w:val="single" w:color="000000" w:sz="8" w:space="0"/>
            </w:tcBorders>
            <w:shd w:val="clear" w:color="auto" w:fill="FFFFFF"/>
            <w:noWrap w:val="0"/>
            <w:vAlign w:val="center"/>
          </w:tcPr>
          <w:p w14:paraId="483D10EE">
            <w:pPr>
              <w:pStyle w:val="10"/>
              <w:bidi w:val="0"/>
              <w:jc w:val="center"/>
              <w:rPr>
                <w:rFonts w:hint="eastAsia"/>
                <w:color w:val="000000"/>
              </w:rPr>
            </w:pPr>
            <w:r>
              <w:rPr>
                <w:rFonts w:hint="eastAsia"/>
                <w:color w:val="000000"/>
              </w:rPr>
              <w:t>工业局</w:t>
            </w:r>
          </w:p>
        </w:tc>
      </w:tr>
      <w:tr w14:paraId="7CCD059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08" w:type="pct"/>
            <w:tcBorders>
              <w:top w:val="single" w:color="000000" w:sz="8" w:space="0"/>
              <w:bottom w:val="single" w:color="000000" w:sz="8" w:space="0"/>
              <w:right w:val="single" w:color="000000" w:sz="8" w:space="0"/>
            </w:tcBorders>
            <w:shd w:val="clear" w:color="auto" w:fill="FFFFFF"/>
            <w:noWrap w:val="0"/>
            <w:vAlign w:val="center"/>
          </w:tcPr>
          <w:p w14:paraId="33E25743">
            <w:pPr>
              <w:pStyle w:val="10"/>
              <w:bidi w:val="0"/>
              <w:jc w:val="center"/>
              <w:rPr>
                <w:rFonts w:hint="eastAsia"/>
                <w:color w:val="000000"/>
              </w:rPr>
            </w:pPr>
            <w:r>
              <w:rPr>
                <w:rFonts w:hint="eastAsia"/>
                <w:color w:val="000000"/>
              </w:rPr>
              <w:t>农学会</w:t>
            </w:r>
          </w:p>
        </w:tc>
        <w:tc>
          <w:tcPr>
            <w:tcW w:w="42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8E03639">
            <w:pPr>
              <w:pStyle w:val="10"/>
              <w:bidi w:val="0"/>
              <w:jc w:val="center"/>
              <w:rPr>
                <w:rFonts w:hint="eastAsia"/>
                <w:color w:val="000000"/>
              </w:rPr>
            </w:pPr>
            <w:r>
              <w:rPr>
                <w:rFonts w:hint="eastAsia"/>
                <w:color w:val="000000"/>
              </w:rPr>
              <w:t>159</w:t>
            </w:r>
          </w:p>
        </w:tc>
        <w:tc>
          <w:tcPr>
            <w:tcW w:w="7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F7A5B5A">
            <w:pPr>
              <w:pStyle w:val="10"/>
              <w:bidi w:val="0"/>
              <w:jc w:val="center"/>
              <w:rPr>
                <w:rFonts w:hint="eastAsia"/>
                <w:color w:val="000000"/>
              </w:rPr>
            </w:pPr>
            <w:r>
              <w:rPr>
                <w:rFonts w:hint="eastAsia"/>
                <w:color w:val="000000"/>
              </w:rPr>
              <w:t>12</w:t>
            </w:r>
          </w:p>
        </w:tc>
        <w:tc>
          <w:tcPr>
            <w:tcW w:w="7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EA951A3">
            <w:pPr>
              <w:pStyle w:val="10"/>
              <w:bidi w:val="0"/>
              <w:jc w:val="center"/>
              <w:rPr>
                <w:rFonts w:hint="eastAsia"/>
                <w:color w:val="000000"/>
              </w:rPr>
            </w:pPr>
            <w:r>
              <w:rPr>
                <w:rFonts w:hint="eastAsia"/>
                <w:color w:val="000000"/>
              </w:rPr>
              <w:t>39</w:t>
            </w:r>
          </w:p>
        </w:tc>
        <w:tc>
          <w:tcPr>
            <w:tcW w:w="7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93B6C76">
            <w:pPr>
              <w:pStyle w:val="10"/>
              <w:bidi w:val="0"/>
              <w:jc w:val="center"/>
              <w:rPr>
                <w:rFonts w:hint="eastAsia"/>
                <w:color w:val="000000"/>
              </w:rPr>
            </w:pPr>
            <w:r>
              <w:rPr>
                <w:rFonts w:hint="eastAsia"/>
                <w:color w:val="000000"/>
              </w:rPr>
              <w:t>62</w:t>
            </w:r>
          </w:p>
        </w:tc>
        <w:tc>
          <w:tcPr>
            <w:tcW w:w="833" w:type="pct"/>
            <w:tcBorders>
              <w:top w:val="single" w:color="000000" w:sz="8" w:space="0"/>
              <w:left w:val="single" w:color="000000" w:sz="8" w:space="0"/>
              <w:bottom w:val="single" w:color="000000" w:sz="8" w:space="0"/>
            </w:tcBorders>
            <w:shd w:val="clear" w:color="auto" w:fill="FFFFFF"/>
            <w:noWrap w:val="0"/>
            <w:vAlign w:val="center"/>
          </w:tcPr>
          <w:p w14:paraId="5AFC5A05">
            <w:pPr>
              <w:pStyle w:val="10"/>
              <w:bidi w:val="0"/>
              <w:jc w:val="center"/>
              <w:rPr>
                <w:rFonts w:hint="eastAsia"/>
                <w:color w:val="000000"/>
              </w:rPr>
            </w:pPr>
            <w:r>
              <w:rPr>
                <w:rFonts w:hint="eastAsia"/>
                <w:color w:val="000000"/>
              </w:rPr>
              <w:t>农业局</w:t>
            </w:r>
          </w:p>
        </w:tc>
      </w:tr>
      <w:tr w14:paraId="6D80FD5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08" w:type="pct"/>
            <w:tcBorders>
              <w:top w:val="single" w:color="000000" w:sz="8" w:space="0"/>
              <w:bottom w:val="single" w:color="000000" w:sz="8" w:space="0"/>
              <w:right w:val="single" w:color="000000" w:sz="8" w:space="0"/>
            </w:tcBorders>
            <w:shd w:val="clear" w:color="auto" w:fill="FFFFFF"/>
            <w:noWrap w:val="0"/>
            <w:vAlign w:val="center"/>
          </w:tcPr>
          <w:p w14:paraId="2673D2A0">
            <w:pPr>
              <w:pStyle w:val="10"/>
              <w:bidi w:val="0"/>
              <w:jc w:val="center"/>
              <w:rPr>
                <w:rFonts w:hint="eastAsia"/>
                <w:color w:val="000000"/>
              </w:rPr>
            </w:pPr>
            <w:r>
              <w:rPr>
                <w:rFonts w:hint="eastAsia"/>
                <w:color w:val="000000"/>
              </w:rPr>
              <w:t>水利学会</w:t>
            </w:r>
          </w:p>
        </w:tc>
        <w:tc>
          <w:tcPr>
            <w:tcW w:w="42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54BB1A2">
            <w:pPr>
              <w:pStyle w:val="10"/>
              <w:bidi w:val="0"/>
              <w:jc w:val="center"/>
              <w:rPr>
                <w:rFonts w:hint="eastAsia"/>
                <w:color w:val="000000"/>
              </w:rPr>
            </w:pPr>
            <w:r>
              <w:rPr>
                <w:rFonts w:hint="eastAsia"/>
                <w:color w:val="000000"/>
              </w:rPr>
              <w:t>101</w:t>
            </w:r>
          </w:p>
        </w:tc>
        <w:tc>
          <w:tcPr>
            <w:tcW w:w="7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F33946F">
            <w:pPr>
              <w:pStyle w:val="10"/>
              <w:bidi w:val="0"/>
              <w:jc w:val="center"/>
              <w:rPr>
                <w:rFonts w:hint="eastAsia"/>
                <w:color w:val="000000"/>
              </w:rPr>
            </w:pPr>
            <w:r>
              <w:rPr>
                <w:rFonts w:hint="eastAsia"/>
                <w:color w:val="000000"/>
              </w:rPr>
              <w:t>3</w:t>
            </w:r>
          </w:p>
        </w:tc>
        <w:tc>
          <w:tcPr>
            <w:tcW w:w="7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D7352D8">
            <w:pPr>
              <w:pStyle w:val="10"/>
              <w:bidi w:val="0"/>
              <w:jc w:val="center"/>
              <w:rPr>
                <w:rFonts w:hint="eastAsia"/>
                <w:color w:val="000000"/>
              </w:rPr>
            </w:pPr>
            <w:r>
              <w:rPr>
                <w:rFonts w:hint="eastAsia"/>
                <w:color w:val="000000"/>
              </w:rPr>
              <w:t>17</w:t>
            </w:r>
          </w:p>
        </w:tc>
        <w:tc>
          <w:tcPr>
            <w:tcW w:w="7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4AE5554">
            <w:pPr>
              <w:pStyle w:val="10"/>
              <w:bidi w:val="0"/>
              <w:jc w:val="center"/>
              <w:rPr>
                <w:rFonts w:hint="eastAsia"/>
                <w:color w:val="000000"/>
              </w:rPr>
            </w:pPr>
            <w:r>
              <w:rPr>
                <w:rFonts w:hint="eastAsia"/>
                <w:color w:val="000000"/>
              </w:rPr>
              <w:t>78</w:t>
            </w:r>
          </w:p>
        </w:tc>
        <w:tc>
          <w:tcPr>
            <w:tcW w:w="833" w:type="pct"/>
            <w:tcBorders>
              <w:top w:val="single" w:color="000000" w:sz="8" w:space="0"/>
              <w:left w:val="single" w:color="000000" w:sz="8" w:space="0"/>
              <w:bottom w:val="single" w:color="000000" w:sz="8" w:space="0"/>
            </w:tcBorders>
            <w:shd w:val="clear" w:color="auto" w:fill="FFFFFF"/>
            <w:noWrap w:val="0"/>
            <w:vAlign w:val="center"/>
          </w:tcPr>
          <w:p w14:paraId="37D22B96">
            <w:pPr>
              <w:pStyle w:val="10"/>
              <w:bidi w:val="0"/>
              <w:jc w:val="center"/>
              <w:rPr>
                <w:rFonts w:hint="eastAsia"/>
                <w:color w:val="000000"/>
              </w:rPr>
            </w:pPr>
            <w:r>
              <w:rPr>
                <w:rFonts w:hint="eastAsia"/>
                <w:color w:val="000000"/>
              </w:rPr>
              <w:t>水电局</w:t>
            </w:r>
          </w:p>
        </w:tc>
      </w:tr>
      <w:tr w14:paraId="4B98FA3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08" w:type="pct"/>
            <w:tcBorders>
              <w:top w:val="single" w:color="000000" w:sz="8" w:space="0"/>
              <w:bottom w:val="single" w:color="000000" w:sz="8" w:space="0"/>
              <w:right w:val="single" w:color="000000" w:sz="8" w:space="0"/>
            </w:tcBorders>
            <w:shd w:val="clear" w:color="auto" w:fill="FFFFFF"/>
            <w:noWrap w:val="0"/>
            <w:vAlign w:val="center"/>
          </w:tcPr>
          <w:p w14:paraId="5BF36DE1">
            <w:pPr>
              <w:pStyle w:val="10"/>
              <w:bidi w:val="0"/>
              <w:jc w:val="center"/>
              <w:rPr>
                <w:rFonts w:hint="eastAsia"/>
                <w:color w:val="000000"/>
              </w:rPr>
            </w:pPr>
            <w:r>
              <w:rPr>
                <w:rFonts w:hint="eastAsia"/>
                <w:color w:val="000000"/>
              </w:rPr>
              <w:t>林学会</w:t>
            </w:r>
          </w:p>
        </w:tc>
        <w:tc>
          <w:tcPr>
            <w:tcW w:w="42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E3FCF3D">
            <w:pPr>
              <w:pStyle w:val="10"/>
              <w:bidi w:val="0"/>
              <w:jc w:val="center"/>
              <w:rPr>
                <w:rFonts w:hint="eastAsia"/>
                <w:color w:val="000000"/>
              </w:rPr>
            </w:pPr>
            <w:r>
              <w:rPr>
                <w:rFonts w:hint="eastAsia"/>
                <w:color w:val="000000"/>
              </w:rPr>
              <w:t>35</w:t>
            </w:r>
          </w:p>
        </w:tc>
        <w:tc>
          <w:tcPr>
            <w:tcW w:w="7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82A99AD">
            <w:pPr>
              <w:pStyle w:val="10"/>
              <w:bidi w:val="0"/>
              <w:jc w:val="center"/>
              <w:rPr>
                <w:rFonts w:hint="eastAsia"/>
                <w:color w:val="000000"/>
              </w:rPr>
            </w:pPr>
            <w:r>
              <w:rPr>
                <w:rFonts w:hint="eastAsia"/>
                <w:color w:val="000000"/>
              </w:rPr>
              <w:t>3</w:t>
            </w:r>
          </w:p>
        </w:tc>
        <w:tc>
          <w:tcPr>
            <w:tcW w:w="7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B30F36A">
            <w:pPr>
              <w:pStyle w:val="10"/>
              <w:bidi w:val="0"/>
              <w:jc w:val="center"/>
              <w:rPr>
                <w:rFonts w:hint="eastAsia"/>
                <w:color w:val="000000"/>
              </w:rPr>
            </w:pPr>
            <w:r>
              <w:rPr>
                <w:rFonts w:hint="eastAsia"/>
                <w:color w:val="000000"/>
              </w:rPr>
              <w:t>10</w:t>
            </w:r>
          </w:p>
        </w:tc>
        <w:tc>
          <w:tcPr>
            <w:tcW w:w="7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0CCB57A">
            <w:pPr>
              <w:pStyle w:val="10"/>
              <w:bidi w:val="0"/>
              <w:jc w:val="center"/>
              <w:rPr>
                <w:rFonts w:hint="eastAsia"/>
                <w:color w:val="000000"/>
              </w:rPr>
            </w:pPr>
            <w:r>
              <w:rPr>
                <w:rFonts w:hint="eastAsia"/>
                <w:color w:val="000000"/>
              </w:rPr>
              <w:t>17</w:t>
            </w:r>
          </w:p>
        </w:tc>
        <w:tc>
          <w:tcPr>
            <w:tcW w:w="833" w:type="pct"/>
            <w:tcBorders>
              <w:top w:val="single" w:color="000000" w:sz="8" w:space="0"/>
              <w:left w:val="single" w:color="000000" w:sz="8" w:space="0"/>
              <w:bottom w:val="single" w:color="000000" w:sz="8" w:space="0"/>
            </w:tcBorders>
            <w:shd w:val="clear" w:color="auto" w:fill="FFFFFF"/>
            <w:noWrap w:val="0"/>
            <w:vAlign w:val="center"/>
          </w:tcPr>
          <w:p w14:paraId="64E9ED26">
            <w:pPr>
              <w:pStyle w:val="10"/>
              <w:bidi w:val="0"/>
              <w:jc w:val="center"/>
              <w:rPr>
                <w:rFonts w:hint="eastAsia"/>
                <w:color w:val="000000"/>
              </w:rPr>
            </w:pPr>
            <w:r>
              <w:rPr>
                <w:rFonts w:hint="eastAsia"/>
                <w:color w:val="000000"/>
              </w:rPr>
              <w:t>林业局</w:t>
            </w:r>
          </w:p>
        </w:tc>
      </w:tr>
      <w:tr w14:paraId="737605E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08" w:type="pct"/>
            <w:tcBorders>
              <w:top w:val="single" w:color="000000" w:sz="8" w:space="0"/>
              <w:bottom w:val="single" w:color="000000" w:sz="8" w:space="0"/>
              <w:right w:val="single" w:color="000000" w:sz="8" w:space="0"/>
            </w:tcBorders>
            <w:shd w:val="clear" w:color="auto" w:fill="FFFFFF"/>
            <w:noWrap w:val="0"/>
            <w:vAlign w:val="center"/>
          </w:tcPr>
          <w:p w14:paraId="0168C537">
            <w:pPr>
              <w:pStyle w:val="10"/>
              <w:bidi w:val="0"/>
              <w:jc w:val="center"/>
              <w:rPr>
                <w:rFonts w:hint="eastAsia"/>
                <w:color w:val="000000"/>
              </w:rPr>
            </w:pPr>
            <w:r>
              <w:rPr>
                <w:rFonts w:hint="eastAsia"/>
                <w:color w:val="000000"/>
              </w:rPr>
              <w:t>气象学会</w:t>
            </w:r>
          </w:p>
        </w:tc>
        <w:tc>
          <w:tcPr>
            <w:tcW w:w="42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F592D86">
            <w:pPr>
              <w:pStyle w:val="10"/>
              <w:bidi w:val="0"/>
              <w:jc w:val="center"/>
              <w:rPr>
                <w:rFonts w:hint="eastAsia"/>
                <w:color w:val="000000"/>
              </w:rPr>
            </w:pPr>
            <w:r>
              <w:rPr>
                <w:rFonts w:hint="eastAsia"/>
                <w:color w:val="000000"/>
              </w:rPr>
              <w:t>14</w:t>
            </w:r>
          </w:p>
        </w:tc>
        <w:tc>
          <w:tcPr>
            <w:tcW w:w="7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AACC82F">
            <w:pPr>
              <w:pStyle w:val="10"/>
              <w:bidi w:val="0"/>
              <w:jc w:val="center"/>
              <w:rPr>
                <w:rFonts w:hint="eastAsia"/>
                <w:color w:val="000000"/>
              </w:rPr>
            </w:pPr>
          </w:p>
        </w:tc>
        <w:tc>
          <w:tcPr>
            <w:tcW w:w="7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80F10F2">
            <w:pPr>
              <w:pStyle w:val="10"/>
              <w:bidi w:val="0"/>
              <w:jc w:val="center"/>
              <w:rPr>
                <w:rFonts w:hint="eastAsia"/>
                <w:color w:val="000000"/>
              </w:rPr>
            </w:pPr>
            <w:r>
              <w:rPr>
                <w:rFonts w:hint="eastAsia"/>
                <w:color w:val="000000"/>
              </w:rPr>
              <w:t>2</w:t>
            </w:r>
          </w:p>
        </w:tc>
        <w:tc>
          <w:tcPr>
            <w:tcW w:w="7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B06FAAA">
            <w:pPr>
              <w:pStyle w:val="10"/>
              <w:bidi w:val="0"/>
              <w:jc w:val="center"/>
              <w:rPr>
                <w:rFonts w:hint="eastAsia"/>
                <w:color w:val="000000"/>
              </w:rPr>
            </w:pPr>
            <w:r>
              <w:rPr>
                <w:rFonts w:hint="eastAsia"/>
                <w:color w:val="000000"/>
              </w:rPr>
              <w:t>12</w:t>
            </w:r>
          </w:p>
        </w:tc>
        <w:tc>
          <w:tcPr>
            <w:tcW w:w="833" w:type="pct"/>
            <w:tcBorders>
              <w:top w:val="single" w:color="000000" w:sz="8" w:space="0"/>
              <w:left w:val="single" w:color="000000" w:sz="8" w:space="0"/>
              <w:bottom w:val="single" w:color="000000" w:sz="8" w:space="0"/>
            </w:tcBorders>
            <w:shd w:val="clear" w:color="auto" w:fill="FFFFFF"/>
            <w:noWrap w:val="0"/>
            <w:vAlign w:val="center"/>
          </w:tcPr>
          <w:p w14:paraId="4CA4A29A">
            <w:pPr>
              <w:pStyle w:val="10"/>
              <w:bidi w:val="0"/>
              <w:jc w:val="center"/>
              <w:rPr>
                <w:rFonts w:hint="eastAsia"/>
                <w:color w:val="000000"/>
              </w:rPr>
            </w:pPr>
            <w:r>
              <w:rPr>
                <w:rFonts w:hint="eastAsia"/>
                <w:color w:val="000000"/>
              </w:rPr>
              <w:t>气象局</w:t>
            </w:r>
          </w:p>
        </w:tc>
      </w:tr>
      <w:tr w14:paraId="200F864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08" w:type="pct"/>
            <w:tcBorders>
              <w:top w:val="single" w:color="000000" w:sz="8" w:space="0"/>
              <w:bottom w:val="single" w:color="000000" w:sz="8" w:space="0"/>
              <w:right w:val="single" w:color="000000" w:sz="8" w:space="0"/>
            </w:tcBorders>
            <w:shd w:val="clear" w:color="auto" w:fill="FFFFFF"/>
            <w:noWrap w:val="0"/>
            <w:vAlign w:val="center"/>
          </w:tcPr>
          <w:p w14:paraId="28DEB6F4">
            <w:pPr>
              <w:pStyle w:val="10"/>
              <w:bidi w:val="0"/>
              <w:jc w:val="center"/>
              <w:rPr>
                <w:rFonts w:hint="eastAsia"/>
                <w:color w:val="000000"/>
              </w:rPr>
            </w:pPr>
            <w:r>
              <w:rPr>
                <w:rFonts w:hint="eastAsia"/>
                <w:color w:val="000000"/>
              </w:rPr>
              <w:t>环保学会</w:t>
            </w:r>
          </w:p>
        </w:tc>
        <w:tc>
          <w:tcPr>
            <w:tcW w:w="42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788678B">
            <w:pPr>
              <w:pStyle w:val="10"/>
              <w:bidi w:val="0"/>
              <w:jc w:val="center"/>
              <w:rPr>
                <w:rFonts w:hint="eastAsia"/>
                <w:color w:val="000000"/>
              </w:rPr>
            </w:pPr>
            <w:r>
              <w:rPr>
                <w:rFonts w:hint="eastAsia"/>
                <w:color w:val="000000"/>
              </w:rPr>
              <w:t>18</w:t>
            </w:r>
          </w:p>
        </w:tc>
        <w:tc>
          <w:tcPr>
            <w:tcW w:w="7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29CA599">
            <w:pPr>
              <w:pStyle w:val="10"/>
              <w:bidi w:val="0"/>
              <w:jc w:val="center"/>
              <w:rPr>
                <w:rFonts w:hint="eastAsia"/>
                <w:color w:val="000000"/>
              </w:rPr>
            </w:pPr>
          </w:p>
        </w:tc>
        <w:tc>
          <w:tcPr>
            <w:tcW w:w="7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AE92D6D">
            <w:pPr>
              <w:pStyle w:val="10"/>
              <w:bidi w:val="0"/>
              <w:jc w:val="center"/>
              <w:rPr>
                <w:rFonts w:hint="eastAsia"/>
                <w:color w:val="000000"/>
              </w:rPr>
            </w:pPr>
            <w:r>
              <w:rPr>
                <w:rFonts w:hint="eastAsia"/>
                <w:color w:val="000000"/>
              </w:rPr>
              <w:t>4</w:t>
            </w:r>
          </w:p>
        </w:tc>
        <w:tc>
          <w:tcPr>
            <w:tcW w:w="7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B87DE53">
            <w:pPr>
              <w:pStyle w:val="10"/>
              <w:bidi w:val="0"/>
              <w:jc w:val="center"/>
              <w:rPr>
                <w:rFonts w:hint="eastAsia"/>
                <w:color w:val="000000"/>
              </w:rPr>
            </w:pPr>
            <w:r>
              <w:rPr>
                <w:rFonts w:hint="eastAsia"/>
                <w:color w:val="000000"/>
              </w:rPr>
              <w:t>13</w:t>
            </w:r>
          </w:p>
        </w:tc>
        <w:tc>
          <w:tcPr>
            <w:tcW w:w="833" w:type="pct"/>
            <w:tcBorders>
              <w:top w:val="single" w:color="000000" w:sz="8" w:space="0"/>
              <w:left w:val="single" w:color="000000" w:sz="8" w:space="0"/>
              <w:bottom w:val="single" w:color="000000" w:sz="8" w:space="0"/>
            </w:tcBorders>
            <w:shd w:val="clear" w:color="auto" w:fill="FFFFFF"/>
            <w:noWrap w:val="0"/>
            <w:vAlign w:val="center"/>
          </w:tcPr>
          <w:p w14:paraId="05AA7985">
            <w:pPr>
              <w:pStyle w:val="10"/>
              <w:bidi w:val="0"/>
              <w:jc w:val="center"/>
              <w:rPr>
                <w:rFonts w:hint="eastAsia"/>
                <w:color w:val="000000"/>
              </w:rPr>
            </w:pPr>
            <w:r>
              <w:rPr>
                <w:rFonts w:hint="eastAsia"/>
                <w:color w:val="000000"/>
              </w:rPr>
              <w:t>环保局</w:t>
            </w:r>
          </w:p>
        </w:tc>
      </w:tr>
      <w:tr w14:paraId="01CB303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08" w:type="pct"/>
            <w:tcBorders>
              <w:top w:val="single" w:color="000000" w:sz="8" w:space="0"/>
              <w:bottom w:val="single" w:color="000000" w:sz="8" w:space="0"/>
              <w:right w:val="single" w:color="000000" w:sz="8" w:space="0"/>
            </w:tcBorders>
            <w:shd w:val="clear" w:color="auto" w:fill="FFFFFF"/>
            <w:noWrap w:val="0"/>
            <w:vAlign w:val="center"/>
          </w:tcPr>
          <w:p w14:paraId="6101C053">
            <w:pPr>
              <w:pStyle w:val="10"/>
              <w:bidi w:val="0"/>
              <w:jc w:val="center"/>
              <w:rPr>
                <w:rFonts w:hint="eastAsia"/>
                <w:color w:val="000000"/>
              </w:rPr>
            </w:pPr>
            <w:r>
              <w:rPr>
                <w:rFonts w:hint="eastAsia"/>
                <w:color w:val="000000"/>
              </w:rPr>
              <w:t>畜牧兽医学会</w:t>
            </w:r>
          </w:p>
        </w:tc>
        <w:tc>
          <w:tcPr>
            <w:tcW w:w="42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C3DCEE8">
            <w:pPr>
              <w:pStyle w:val="10"/>
              <w:bidi w:val="0"/>
              <w:jc w:val="center"/>
              <w:rPr>
                <w:rFonts w:hint="eastAsia"/>
                <w:color w:val="000000"/>
              </w:rPr>
            </w:pPr>
            <w:r>
              <w:rPr>
                <w:rFonts w:hint="eastAsia"/>
                <w:color w:val="000000"/>
              </w:rPr>
              <w:t>25</w:t>
            </w:r>
          </w:p>
        </w:tc>
        <w:tc>
          <w:tcPr>
            <w:tcW w:w="7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EF8E328">
            <w:pPr>
              <w:pStyle w:val="10"/>
              <w:bidi w:val="0"/>
              <w:jc w:val="center"/>
              <w:rPr>
                <w:rFonts w:hint="eastAsia"/>
                <w:color w:val="000000"/>
              </w:rPr>
            </w:pPr>
          </w:p>
        </w:tc>
        <w:tc>
          <w:tcPr>
            <w:tcW w:w="7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0040EC9">
            <w:pPr>
              <w:pStyle w:val="10"/>
              <w:bidi w:val="0"/>
              <w:jc w:val="center"/>
              <w:rPr>
                <w:rFonts w:hint="eastAsia"/>
                <w:color w:val="000000"/>
              </w:rPr>
            </w:pPr>
            <w:r>
              <w:rPr>
                <w:rFonts w:hint="eastAsia"/>
                <w:color w:val="000000"/>
              </w:rPr>
              <w:t>3</w:t>
            </w:r>
          </w:p>
        </w:tc>
        <w:tc>
          <w:tcPr>
            <w:tcW w:w="7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7901A19">
            <w:pPr>
              <w:pStyle w:val="10"/>
              <w:bidi w:val="0"/>
              <w:jc w:val="center"/>
              <w:rPr>
                <w:rFonts w:hint="eastAsia"/>
                <w:color w:val="000000"/>
              </w:rPr>
            </w:pPr>
            <w:r>
              <w:rPr>
                <w:rFonts w:hint="eastAsia"/>
                <w:color w:val="000000"/>
              </w:rPr>
              <w:t>18</w:t>
            </w:r>
          </w:p>
        </w:tc>
        <w:tc>
          <w:tcPr>
            <w:tcW w:w="833" w:type="pct"/>
            <w:tcBorders>
              <w:top w:val="single" w:color="000000" w:sz="8" w:space="0"/>
              <w:left w:val="single" w:color="000000" w:sz="8" w:space="0"/>
              <w:bottom w:val="single" w:color="000000" w:sz="8" w:space="0"/>
            </w:tcBorders>
            <w:shd w:val="clear" w:color="auto" w:fill="FFFFFF"/>
            <w:noWrap w:val="0"/>
            <w:vAlign w:val="center"/>
          </w:tcPr>
          <w:p w14:paraId="5A9FD921">
            <w:pPr>
              <w:pStyle w:val="10"/>
              <w:bidi w:val="0"/>
              <w:jc w:val="center"/>
              <w:rPr>
                <w:rFonts w:hint="eastAsia"/>
                <w:color w:val="000000"/>
              </w:rPr>
            </w:pPr>
            <w:r>
              <w:rPr>
                <w:rFonts w:hint="eastAsia"/>
                <w:color w:val="000000"/>
              </w:rPr>
              <w:t>畜牧局</w:t>
            </w:r>
          </w:p>
        </w:tc>
      </w:tr>
      <w:tr w14:paraId="24CE7B1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08" w:type="pct"/>
            <w:tcBorders>
              <w:top w:val="single" w:color="000000" w:sz="8" w:space="0"/>
              <w:bottom w:val="single" w:color="000000" w:sz="8" w:space="0"/>
              <w:right w:val="single" w:color="000000" w:sz="8" w:space="0"/>
            </w:tcBorders>
            <w:shd w:val="clear" w:color="auto" w:fill="FFFFFF"/>
            <w:noWrap w:val="0"/>
            <w:vAlign w:val="center"/>
          </w:tcPr>
          <w:p w14:paraId="37F73213">
            <w:pPr>
              <w:pStyle w:val="10"/>
              <w:bidi w:val="0"/>
              <w:jc w:val="center"/>
              <w:rPr>
                <w:rFonts w:hint="eastAsia"/>
                <w:color w:val="000000"/>
              </w:rPr>
            </w:pPr>
            <w:r>
              <w:rPr>
                <w:rFonts w:hint="eastAsia"/>
                <w:color w:val="000000"/>
              </w:rPr>
              <w:t>建筑学会</w:t>
            </w:r>
          </w:p>
        </w:tc>
        <w:tc>
          <w:tcPr>
            <w:tcW w:w="42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5292A03">
            <w:pPr>
              <w:pStyle w:val="10"/>
              <w:bidi w:val="0"/>
              <w:jc w:val="center"/>
              <w:rPr>
                <w:rFonts w:hint="eastAsia"/>
                <w:color w:val="000000"/>
              </w:rPr>
            </w:pPr>
            <w:r>
              <w:rPr>
                <w:rFonts w:hint="eastAsia"/>
                <w:color w:val="000000"/>
              </w:rPr>
              <w:t>85</w:t>
            </w:r>
          </w:p>
        </w:tc>
        <w:tc>
          <w:tcPr>
            <w:tcW w:w="7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D1C9DE8">
            <w:pPr>
              <w:pStyle w:val="10"/>
              <w:bidi w:val="0"/>
              <w:jc w:val="center"/>
              <w:rPr>
                <w:rFonts w:hint="eastAsia"/>
                <w:color w:val="000000"/>
              </w:rPr>
            </w:pPr>
            <w:r>
              <w:rPr>
                <w:rFonts w:hint="eastAsia"/>
                <w:color w:val="000000"/>
              </w:rPr>
              <w:t>2</w:t>
            </w:r>
          </w:p>
        </w:tc>
        <w:tc>
          <w:tcPr>
            <w:tcW w:w="7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C58D7EE">
            <w:pPr>
              <w:pStyle w:val="10"/>
              <w:bidi w:val="0"/>
              <w:jc w:val="center"/>
              <w:rPr>
                <w:rFonts w:hint="eastAsia"/>
                <w:color w:val="000000"/>
              </w:rPr>
            </w:pPr>
            <w:r>
              <w:rPr>
                <w:rFonts w:hint="eastAsia"/>
                <w:color w:val="000000"/>
              </w:rPr>
              <w:t>12</w:t>
            </w:r>
          </w:p>
        </w:tc>
        <w:tc>
          <w:tcPr>
            <w:tcW w:w="7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6FC4607">
            <w:pPr>
              <w:pStyle w:val="10"/>
              <w:bidi w:val="0"/>
              <w:jc w:val="center"/>
              <w:rPr>
                <w:rFonts w:hint="eastAsia"/>
                <w:color w:val="000000"/>
              </w:rPr>
            </w:pPr>
            <w:r>
              <w:rPr>
                <w:rFonts w:hint="eastAsia"/>
                <w:color w:val="000000"/>
              </w:rPr>
              <w:t>71</w:t>
            </w:r>
          </w:p>
        </w:tc>
        <w:tc>
          <w:tcPr>
            <w:tcW w:w="833" w:type="pct"/>
            <w:tcBorders>
              <w:top w:val="single" w:color="000000" w:sz="8" w:space="0"/>
              <w:left w:val="single" w:color="000000" w:sz="8" w:space="0"/>
              <w:bottom w:val="single" w:color="000000" w:sz="8" w:space="0"/>
            </w:tcBorders>
            <w:shd w:val="clear" w:color="auto" w:fill="FFFFFF"/>
            <w:noWrap w:val="0"/>
            <w:vAlign w:val="center"/>
          </w:tcPr>
          <w:p w14:paraId="3A8D118F">
            <w:pPr>
              <w:pStyle w:val="10"/>
              <w:bidi w:val="0"/>
              <w:jc w:val="center"/>
              <w:rPr>
                <w:rFonts w:hint="eastAsia"/>
                <w:color w:val="000000"/>
              </w:rPr>
            </w:pPr>
            <w:r>
              <w:rPr>
                <w:rFonts w:hint="eastAsia"/>
                <w:color w:val="000000"/>
              </w:rPr>
              <w:t>建设局</w:t>
            </w:r>
          </w:p>
        </w:tc>
      </w:tr>
      <w:tr w14:paraId="24E1185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08" w:type="pct"/>
            <w:tcBorders>
              <w:top w:val="single" w:color="000000" w:sz="8" w:space="0"/>
              <w:bottom w:val="single" w:color="000000" w:sz="8" w:space="0"/>
              <w:right w:val="single" w:color="000000" w:sz="8" w:space="0"/>
            </w:tcBorders>
            <w:shd w:val="clear" w:color="auto" w:fill="FFFFFF"/>
            <w:noWrap w:val="0"/>
            <w:vAlign w:val="center"/>
          </w:tcPr>
          <w:p w14:paraId="0621C918">
            <w:pPr>
              <w:pStyle w:val="10"/>
              <w:bidi w:val="0"/>
              <w:jc w:val="center"/>
              <w:rPr>
                <w:rFonts w:hint="eastAsia"/>
                <w:color w:val="000000"/>
              </w:rPr>
            </w:pPr>
            <w:r>
              <w:rPr>
                <w:rFonts w:hint="eastAsia"/>
                <w:color w:val="000000"/>
              </w:rPr>
              <w:t>会计学会</w:t>
            </w:r>
          </w:p>
        </w:tc>
        <w:tc>
          <w:tcPr>
            <w:tcW w:w="42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DC39AD7">
            <w:pPr>
              <w:pStyle w:val="10"/>
              <w:bidi w:val="0"/>
              <w:jc w:val="center"/>
              <w:rPr>
                <w:rFonts w:hint="eastAsia"/>
                <w:color w:val="000000"/>
              </w:rPr>
            </w:pPr>
            <w:r>
              <w:rPr>
                <w:rFonts w:hint="eastAsia"/>
                <w:color w:val="000000"/>
              </w:rPr>
              <w:t>763</w:t>
            </w:r>
          </w:p>
        </w:tc>
        <w:tc>
          <w:tcPr>
            <w:tcW w:w="7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E40FB45">
            <w:pPr>
              <w:pStyle w:val="10"/>
              <w:bidi w:val="0"/>
              <w:jc w:val="center"/>
              <w:rPr>
                <w:rFonts w:hint="eastAsia"/>
                <w:color w:val="000000"/>
              </w:rPr>
            </w:pPr>
            <w:r>
              <w:rPr>
                <w:rFonts w:hint="eastAsia"/>
                <w:color w:val="000000"/>
              </w:rPr>
              <w:t>14</w:t>
            </w:r>
          </w:p>
        </w:tc>
        <w:tc>
          <w:tcPr>
            <w:tcW w:w="7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FF223AB">
            <w:pPr>
              <w:pStyle w:val="10"/>
              <w:bidi w:val="0"/>
              <w:jc w:val="center"/>
              <w:rPr>
                <w:rFonts w:hint="eastAsia"/>
                <w:color w:val="000000"/>
              </w:rPr>
            </w:pPr>
            <w:r>
              <w:rPr>
                <w:rFonts w:hint="eastAsia"/>
                <w:color w:val="000000"/>
              </w:rPr>
              <w:t>61</w:t>
            </w:r>
          </w:p>
        </w:tc>
        <w:tc>
          <w:tcPr>
            <w:tcW w:w="7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F491262">
            <w:pPr>
              <w:pStyle w:val="10"/>
              <w:bidi w:val="0"/>
              <w:jc w:val="center"/>
              <w:rPr>
                <w:rFonts w:hint="eastAsia"/>
                <w:color w:val="000000"/>
              </w:rPr>
            </w:pPr>
            <w:r>
              <w:rPr>
                <w:rFonts w:hint="eastAsia"/>
                <w:color w:val="000000"/>
              </w:rPr>
              <w:t>555</w:t>
            </w:r>
          </w:p>
        </w:tc>
        <w:tc>
          <w:tcPr>
            <w:tcW w:w="833" w:type="pct"/>
            <w:tcBorders>
              <w:top w:val="single" w:color="000000" w:sz="8" w:space="0"/>
              <w:left w:val="single" w:color="000000" w:sz="8" w:space="0"/>
              <w:bottom w:val="single" w:color="000000" w:sz="8" w:space="0"/>
            </w:tcBorders>
            <w:shd w:val="clear" w:color="auto" w:fill="FFFFFF"/>
            <w:noWrap w:val="0"/>
            <w:vAlign w:val="center"/>
          </w:tcPr>
          <w:p w14:paraId="6D67013A">
            <w:pPr>
              <w:pStyle w:val="10"/>
              <w:bidi w:val="0"/>
              <w:jc w:val="center"/>
              <w:rPr>
                <w:rFonts w:hint="eastAsia"/>
                <w:color w:val="000000"/>
              </w:rPr>
            </w:pPr>
            <w:r>
              <w:rPr>
                <w:rFonts w:hint="eastAsia"/>
                <w:color w:val="000000"/>
              </w:rPr>
              <w:t>财政局</w:t>
            </w:r>
          </w:p>
        </w:tc>
      </w:tr>
      <w:tr w14:paraId="1FDE065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08" w:type="pct"/>
            <w:tcBorders>
              <w:top w:val="single" w:color="000000" w:sz="8" w:space="0"/>
              <w:bottom w:val="single" w:color="000000" w:sz="8" w:space="0"/>
              <w:right w:val="single" w:color="000000" w:sz="8" w:space="0"/>
            </w:tcBorders>
            <w:shd w:val="clear" w:color="auto" w:fill="FFFFFF"/>
            <w:noWrap w:val="0"/>
            <w:vAlign w:val="center"/>
          </w:tcPr>
          <w:p w14:paraId="54F79505">
            <w:pPr>
              <w:pStyle w:val="10"/>
              <w:bidi w:val="0"/>
              <w:jc w:val="center"/>
              <w:rPr>
                <w:rFonts w:hint="eastAsia"/>
                <w:color w:val="000000"/>
              </w:rPr>
            </w:pPr>
            <w:r>
              <w:rPr>
                <w:rFonts w:hint="eastAsia"/>
                <w:color w:val="000000"/>
              </w:rPr>
              <w:t>青少年科普协会</w:t>
            </w:r>
          </w:p>
        </w:tc>
        <w:tc>
          <w:tcPr>
            <w:tcW w:w="42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AF9F564">
            <w:pPr>
              <w:pStyle w:val="10"/>
              <w:bidi w:val="0"/>
              <w:jc w:val="center"/>
              <w:rPr>
                <w:rFonts w:hint="eastAsia"/>
                <w:color w:val="000000"/>
              </w:rPr>
            </w:pPr>
            <w:r>
              <w:rPr>
                <w:rFonts w:hint="eastAsia"/>
                <w:color w:val="000000"/>
              </w:rPr>
              <w:t>45</w:t>
            </w:r>
          </w:p>
        </w:tc>
        <w:tc>
          <w:tcPr>
            <w:tcW w:w="7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836D48A">
            <w:pPr>
              <w:pStyle w:val="10"/>
              <w:bidi w:val="0"/>
              <w:jc w:val="center"/>
              <w:rPr>
                <w:rFonts w:hint="eastAsia"/>
                <w:color w:val="000000"/>
              </w:rPr>
            </w:pPr>
            <w:r>
              <w:rPr>
                <w:rFonts w:hint="eastAsia"/>
                <w:color w:val="000000"/>
              </w:rPr>
              <w:t>13</w:t>
            </w:r>
          </w:p>
        </w:tc>
        <w:tc>
          <w:tcPr>
            <w:tcW w:w="7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2637CC6">
            <w:pPr>
              <w:pStyle w:val="10"/>
              <w:bidi w:val="0"/>
              <w:jc w:val="center"/>
              <w:rPr>
                <w:rFonts w:hint="eastAsia"/>
                <w:color w:val="000000"/>
              </w:rPr>
            </w:pPr>
            <w:r>
              <w:rPr>
                <w:rFonts w:hint="eastAsia"/>
                <w:color w:val="000000"/>
              </w:rPr>
              <w:t>27</w:t>
            </w:r>
          </w:p>
        </w:tc>
        <w:tc>
          <w:tcPr>
            <w:tcW w:w="7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0DC7A8C">
            <w:pPr>
              <w:pStyle w:val="10"/>
              <w:bidi w:val="0"/>
              <w:jc w:val="center"/>
              <w:rPr>
                <w:rFonts w:hint="eastAsia"/>
                <w:color w:val="000000"/>
              </w:rPr>
            </w:pPr>
            <w:r>
              <w:rPr>
                <w:rFonts w:hint="eastAsia"/>
                <w:color w:val="000000"/>
              </w:rPr>
              <w:t>5</w:t>
            </w:r>
          </w:p>
        </w:tc>
        <w:tc>
          <w:tcPr>
            <w:tcW w:w="833" w:type="pct"/>
            <w:tcBorders>
              <w:top w:val="single" w:color="000000" w:sz="8" w:space="0"/>
              <w:left w:val="single" w:color="000000" w:sz="8" w:space="0"/>
              <w:bottom w:val="single" w:color="000000" w:sz="8" w:space="0"/>
            </w:tcBorders>
            <w:shd w:val="clear" w:color="auto" w:fill="FFFFFF"/>
            <w:noWrap w:val="0"/>
            <w:vAlign w:val="center"/>
          </w:tcPr>
          <w:p w14:paraId="140C84D0">
            <w:pPr>
              <w:pStyle w:val="10"/>
              <w:bidi w:val="0"/>
              <w:jc w:val="center"/>
              <w:rPr>
                <w:rFonts w:hint="eastAsia"/>
                <w:color w:val="000000"/>
              </w:rPr>
            </w:pPr>
            <w:r>
              <w:rPr>
                <w:rFonts w:hint="eastAsia"/>
                <w:color w:val="000000"/>
              </w:rPr>
              <w:t>教育局</w:t>
            </w:r>
          </w:p>
        </w:tc>
      </w:tr>
      <w:tr w14:paraId="28BE5FE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08" w:type="pct"/>
            <w:tcBorders>
              <w:top w:val="single" w:color="000000" w:sz="8" w:space="0"/>
              <w:bottom w:val="single" w:color="000000" w:sz="8" w:space="0"/>
              <w:right w:val="single" w:color="000000" w:sz="8" w:space="0"/>
            </w:tcBorders>
            <w:shd w:val="clear" w:color="auto" w:fill="FFFFFF"/>
            <w:noWrap w:val="0"/>
            <w:vAlign w:val="center"/>
          </w:tcPr>
          <w:p w14:paraId="5607322F">
            <w:pPr>
              <w:pStyle w:val="10"/>
              <w:bidi w:val="0"/>
              <w:jc w:val="center"/>
              <w:rPr>
                <w:rFonts w:hint="eastAsia"/>
                <w:color w:val="000000"/>
              </w:rPr>
            </w:pPr>
            <w:r>
              <w:rPr>
                <w:rFonts w:hint="eastAsia"/>
                <w:color w:val="000000"/>
              </w:rPr>
              <w:t>黄烟科学技术研究会</w:t>
            </w:r>
          </w:p>
        </w:tc>
        <w:tc>
          <w:tcPr>
            <w:tcW w:w="42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C0B1394">
            <w:pPr>
              <w:pStyle w:val="10"/>
              <w:bidi w:val="0"/>
              <w:jc w:val="center"/>
              <w:rPr>
                <w:rFonts w:hint="eastAsia"/>
                <w:color w:val="000000"/>
              </w:rPr>
            </w:pPr>
            <w:r>
              <w:rPr>
                <w:rFonts w:hint="eastAsia"/>
                <w:color w:val="000000"/>
              </w:rPr>
              <w:t>268</w:t>
            </w:r>
          </w:p>
        </w:tc>
        <w:tc>
          <w:tcPr>
            <w:tcW w:w="7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719F757">
            <w:pPr>
              <w:pStyle w:val="10"/>
              <w:bidi w:val="0"/>
              <w:jc w:val="center"/>
              <w:rPr>
                <w:rFonts w:hint="eastAsia"/>
                <w:color w:val="000000"/>
              </w:rPr>
            </w:pPr>
            <w:r>
              <w:rPr>
                <w:rFonts w:hint="eastAsia"/>
                <w:color w:val="000000"/>
              </w:rPr>
              <w:t>5</w:t>
            </w:r>
          </w:p>
        </w:tc>
        <w:tc>
          <w:tcPr>
            <w:tcW w:w="7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72DE226">
            <w:pPr>
              <w:pStyle w:val="10"/>
              <w:bidi w:val="0"/>
              <w:jc w:val="center"/>
              <w:rPr>
                <w:rFonts w:hint="eastAsia"/>
                <w:color w:val="000000"/>
              </w:rPr>
            </w:pPr>
            <w:r>
              <w:rPr>
                <w:rFonts w:hint="eastAsia"/>
                <w:color w:val="000000"/>
              </w:rPr>
              <w:t>45</w:t>
            </w:r>
          </w:p>
        </w:tc>
        <w:tc>
          <w:tcPr>
            <w:tcW w:w="7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96CE3CF">
            <w:pPr>
              <w:pStyle w:val="10"/>
              <w:bidi w:val="0"/>
              <w:jc w:val="center"/>
              <w:rPr>
                <w:rFonts w:hint="eastAsia"/>
                <w:color w:val="000000"/>
              </w:rPr>
            </w:pPr>
            <w:r>
              <w:rPr>
                <w:rFonts w:hint="eastAsia"/>
                <w:color w:val="000000"/>
              </w:rPr>
              <w:t>188</w:t>
            </w:r>
          </w:p>
        </w:tc>
        <w:tc>
          <w:tcPr>
            <w:tcW w:w="833" w:type="pct"/>
            <w:tcBorders>
              <w:top w:val="single" w:color="000000" w:sz="8" w:space="0"/>
              <w:left w:val="single" w:color="000000" w:sz="8" w:space="0"/>
              <w:bottom w:val="single" w:color="000000" w:sz="8" w:space="0"/>
            </w:tcBorders>
            <w:shd w:val="clear" w:color="auto" w:fill="FFFFFF"/>
            <w:noWrap w:val="0"/>
            <w:vAlign w:val="center"/>
          </w:tcPr>
          <w:p w14:paraId="5CCB2160">
            <w:pPr>
              <w:pStyle w:val="10"/>
              <w:bidi w:val="0"/>
              <w:jc w:val="center"/>
              <w:rPr>
                <w:rFonts w:hint="eastAsia"/>
                <w:color w:val="000000"/>
              </w:rPr>
            </w:pPr>
            <w:r>
              <w:rPr>
                <w:rFonts w:hint="eastAsia"/>
                <w:color w:val="000000"/>
              </w:rPr>
              <w:t>烟草公司</w:t>
            </w:r>
          </w:p>
        </w:tc>
      </w:tr>
      <w:tr w14:paraId="366162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08" w:type="pct"/>
            <w:tcBorders>
              <w:top w:val="single" w:color="000000" w:sz="8" w:space="0"/>
              <w:bottom w:val="single" w:color="000000" w:sz="8" w:space="0"/>
              <w:right w:val="single" w:color="000000" w:sz="8" w:space="0"/>
            </w:tcBorders>
            <w:shd w:val="clear" w:color="auto" w:fill="FFFFFF"/>
            <w:noWrap w:val="0"/>
            <w:vAlign w:val="center"/>
          </w:tcPr>
          <w:p w14:paraId="31834DAD">
            <w:pPr>
              <w:pStyle w:val="10"/>
              <w:bidi w:val="0"/>
              <w:jc w:val="center"/>
              <w:rPr>
                <w:rFonts w:hint="eastAsia"/>
                <w:color w:val="000000"/>
              </w:rPr>
            </w:pPr>
            <w:r>
              <w:rPr>
                <w:rFonts w:hint="eastAsia"/>
                <w:color w:val="000000"/>
              </w:rPr>
              <w:t>兰花、盆景协会</w:t>
            </w:r>
          </w:p>
        </w:tc>
        <w:tc>
          <w:tcPr>
            <w:tcW w:w="42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255CA83">
            <w:pPr>
              <w:pStyle w:val="10"/>
              <w:bidi w:val="0"/>
              <w:jc w:val="center"/>
              <w:rPr>
                <w:rFonts w:hint="eastAsia"/>
                <w:color w:val="000000"/>
              </w:rPr>
            </w:pPr>
            <w:r>
              <w:rPr>
                <w:rFonts w:hint="eastAsia"/>
                <w:color w:val="000000"/>
              </w:rPr>
              <w:t>103</w:t>
            </w:r>
          </w:p>
        </w:tc>
        <w:tc>
          <w:tcPr>
            <w:tcW w:w="7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666D207">
            <w:pPr>
              <w:pStyle w:val="10"/>
              <w:bidi w:val="0"/>
              <w:jc w:val="center"/>
              <w:rPr>
                <w:rFonts w:hint="eastAsia"/>
                <w:color w:val="000000"/>
              </w:rPr>
            </w:pPr>
          </w:p>
        </w:tc>
        <w:tc>
          <w:tcPr>
            <w:tcW w:w="7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6A0C9B5">
            <w:pPr>
              <w:pStyle w:val="10"/>
              <w:bidi w:val="0"/>
              <w:jc w:val="center"/>
              <w:rPr>
                <w:rFonts w:hint="eastAsia"/>
                <w:color w:val="000000"/>
              </w:rPr>
            </w:pPr>
            <w:r>
              <w:rPr>
                <w:rFonts w:hint="eastAsia"/>
                <w:color w:val="000000"/>
              </w:rPr>
              <w:t>27</w:t>
            </w:r>
          </w:p>
        </w:tc>
        <w:tc>
          <w:tcPr>
            <w:tcW w:w="7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5ACF64D">
            <w:pPr>
              <w:pStyle w:val="10"/>
              <w:bidi w:val="0"/>
              <w:jc w:val="center"/>
              <w:rPr>
                <w:rFonts w:hint="eastAsia"/>
                <w:color w:val="000000"/>
              </w:rPr>
            </w:pPr>
            <w:r>
              <w:rPr>
                <w:rFonts w:hint="eastAsia"/>
                <w:color w:val="000000"/>
              </w:rPr>
              <w:t>39</w:t>
            </w:r>
          </w:p>
        </w:tc>
        <w:tc>
          <w:tcPr>
            <w:tcW w:w="833" w:type="pct"/>
            <w:tcBorders>
              <w:top w:val="single" w:color="000000" w:sz="8" w:space="0"/>
              <w:left w:val="single" w:color="000000" w:sz="8" w:space="0"/>
              <w:bottom w:val="single" w:color="000000" w:sz="8" w:space="0"/>
            </w:tcBorders>
            <w:shd w:val="clear" w:color="auto" w:fill="FFFFFF"/>
            <w:noWrap w:val="0"/>
            <w:vAlign w:val="center"/>
          </w:tcPr>
          <w:p w14:paraId="7DCDDDA6">
            <w:pPr>
              <w:pStyle w:val="10"/>
              <w:bidi w:val="0"/>
              <w:jc w:val="center"/>
              <w:rPr>
                <w:rFonts w:hint="eastAsia"/>
                <w:color w:val="000000"/>
              </w:rPr>
            </w:pPr>
            <w:r>
              <w:rPr>
                <w:rFonts w:hint="eastAsia"/>
                <w:color w:val="000000"/>
              </w:rPr>
              <w:t>园林所</w:t>
            </w:r>
          </w:p>
        </w:tc>
      </w:tr>
      <w:tr w14:paraId="28DF9D4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08" w:type="pct"/>
            <w:tcBorders>
              <w:top w:val="single" w:color="000000" w:sz="8" w:space="0"/>
              <w:bottom w:val="single" w:color="000000" w:sz="8" w:space="0"/>
              <w:right w:val="single" w:color="000000" w:sz="8" w:space="0"/>
            </w:tcBorders>
            <w:shd w:val="clear" w:color="auto" w:fill="FFFFFF"/>
            <w:noWrap w:val="0"/>
            <w:vAlign w:val="center"/>
          </w:tcPr>
          <w:p w14:paraId="4A9207F0">
            <w:pPr>
              <w:pStyle w:val="10"/>
              <w:bidi w:val="0"/>
              <w:jc w:val="center"/>
              <w:rPr>
                <w:rFonts w:hint="eastAsia"/>
                <w:color w:val="000000"/>
              </w:rPr>
            </w:pPr>
            <w:r>
              <w:rPr>
                <w:rFonts w:hint="eastAsia"/>
                <w:color w:val="000000"/>
              </w:rPr>
              <w:t>邓坊镇科协</w:t>
            </w:r>
          </w:p>
        </w:tc>
        <w:tc>
          <w:tcPr>
            <w:tcW w:w="42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8CA6D52">
            <w:pPr>
              <w:pStyle w:val="10"/>
              <w:bidi w:val="0"/>
              <w:jc w:val="center"/>
              <w:rPr>
                <w:rFonts w:hint="eastAsia"/>
                <w:color w:val="000000"/>
              </w:rPr>
            </w:pPr>
            <w:r>
              <w:rPr>
                <w:rFonts w:hint="eastAsia"/>
                <w:color w:val="000000"/>
              </w:rPr>
              <w:t>138</w:t>
            </w:r>
          </w:p>
        </w:tc>
        <w:tc>
          <w:tcPr>
            <w:tcW w:w="7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79ED843">
            <w:pPr>
              <w:pStyle w:val="10"/>
              <w:bidi w:val="0"/>
              <w:jc w:val="center"/>
              <w:rPr>
                <w:rFonts w:hint="eastAsia"/>
                <w:color w:val="000000"/>
              </w:rPr>
            </w:pPr>
          </w:p>
        </w:tc>
        <w:tc>
          <w:tcPr>
            <w:tcW w:w="7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4FC4AFB">
            <w:pPr>
              <w:pStyle w:val="10"/>
              <w:bidi w:val="0"/>
              <w:jc w:val="center"/>
              <w:rPr>
                <w:rFonts w:hint="eastAsia"/>
                <w:color w:val="000000"/>
              </w:rPr>
            </w:pPr>
            <w:r>
              <w:rPr>
                <w:rFonts w:hint="eastAsia"/>
                <w:color w:val="000000"/>
              </w:rPr>
              <w:t>2</w:t>
            </w:r>
          </w:p>
        </w:tc>
        <w:tc>
          <w:tcPr>
            <w:tcW w:w="7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8F660C3">
            <w:pPr>
              <w:pStyle w:val="10"/>
              <w:bidi w:val="0"/>
              <w:jc w:val="center"/>
              <w:rPr>
                <w:rFonts w:hint="eastAsia"/>
                <w:color w:val="000000"/>
              </w:rPr>
            </w:pPr>
            <w:r>
              <w:rPr>
                <w:rFonts w:hint="eastAsia"/>
                <w:color w:val="000000"/>
              </w:rPr>
              <w:t>7</w:t>
            </w:r>
          </w:p>
        </w:tc>
        <w:tc>
          <w:tcPr>
            <w:tcW w:w="833" w:type="pct"/>
            <w:tcBorders>
              <w:top w:val="single" w:color="000000" w:sz="8" w:space="0"/>
              <w:left w:val="single" w:color="000000" w:sz="8" w:space="0"/>
              <w:bottom w:val="single" w:color="000000" w:sz="8" w:space="0"/>
            </w:tcBorders>
            <w:shd w:val="clear" w:color="auto" w:fill="FFFFFF"/>
            <w:noWrap w:val="0"/>
            <w:vAlign w:val="center"/>
          </w:tcPr>
          <w:p w14:paraId="429886DF">
            <w:pPr>
              <w:pStyle w:val="10"/>
              <w:bidi w:val="0"/>
              <w:jc w:val="center"/>
              <w:rPr>
                <w:rFonts w:hint="eastAsia"/>
                <w:color w:val="000000"/>
              </w:rPr>
            </w:pPr>
            <w:r>
              <w:rPr>
                <w:rFonts w:hint="eastAsia"/>
                <w:color w:val="000000"/>
              </w:rPr>
              <w:t>镇政府</w:t>
            </w:r>
          </w:p>
        </w:tc>
      </w:tr>
      <w:tr w14:paraId="4B7E65D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08" w:type="pct"/>
            <w:tcBorders>
              <w:top w:val="single" w:color="000000" w:sz="8" w:space="0"/>
              <w:bottom w:val="single" w:color="000000" w:sz="8" w:space="0"/>
              <w:right w:val="single" w:color="000000" w:sz="8" w:space="0"/>
            </w:tcBorders>
            <w:shd w:val="clear" w:color="auto" w:fill="FFFFFF"/>
            <w:noWrap w:val="0"/>
            <w:vAlign w:val="center"/>
          </w:tcPr>
          <w:p w14:paraId="1C385493">
            <w:pPr>
              <w:pStyle w:val="10"/>
              <w:bidi w:val="0"/>
              <w:jc w:val="center"/>
              <w:rPr>
                <w:rFonts w:hint="eastAsia"/>
                <w:color w:val="000000"/>
              </w:rPr>
            </w:pPr>
            <w:r>
              <w:rPr>
                <w:rFonts w:hint="eastAsia"/>
                <w:color w:val="000000"/>
              </w:rPr>
              <w:t>全安镇科协</w:t>
            </w:r>
          </w:p>
        </w:tc>
        <w:tc>
          <w:tcPr>
            <w:tcW w:w="42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6C5DB52">
            <w:pPr>
              <w:pStyle w:val="10"/>
              <w:bidi w:val="0"/>
              <w:jc w:val="center"/>
              <w:rPr>
                <w:rFonts w:hint="eastAsia"/>
                <w:color w:val="000000"/>
              </w:rPr>
            </w:pPr>
            <w:r>
              <w:rPr>
                <w:rFonts w:hint="eastAsia"/>
                <w:color w:val="000000"/>
              </w:rPr>
              <w:t>69</w:t>
            </w:r>
          </w:p>
        </w:tc>
        <w:tc>
          <w:tcPr>
            <w:tcW w:w="7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C6CB34D">
            <w:pPr>
              <w:pStyle w:val="10"/>
              <w:bidi w:val="0"/>
              <w:jc w:val="center"/>
              <w:rPr>
                <w:rFonts w:hint="eastAsia"/>
                <w:color w:val="000000"/>
              </w:rPr>
            </w:pPr>
          </w:p>
        </w:tc>
        <w:tc>
          <w:tcPr>
            <w:tcW w:w="7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AAFB5D8">
            <w:pPr>
              <w:pStyle w:val="10"/>
              <w:bidi w:val="0"/>
              <w:jc w:val="center"/>
              <w:rPr>
                <w:rFonts w:hint="eastAsia"/>
                <w:color w:val="000000"/>
              </w:rPr>
            </w:pPr>
            <w:r>
              <w:rPr>
                <w:rFonts w:hint="eastAsia"/>
                <w:color w:val="000000"/>
              </w:rPr>
              <w:t>9</w:t>
            </w:r>
          </w:p>
        </w:tc>
        <w:tc>
          <w:tcPr>
            <w:tcW w:w="7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51E9480">
            <w:pPr>
              <w:pStyle w:val="10"/>
              <w:bidi w:val="0"/>
              <w:jc w:val="center"/>
              <w:rPr>
                <w:rFonts w:hint="eastAsia"/>
                <w:color w:val="000000"/>
              </w:rPr>
            </w:pPr>
            <w:r>
              <w:rPr>
                <w:rFonts w:hint="eastAsia"/>
                <w:color w:val="000000"/>
              </w:rPr>
              <w:t>8</w:t>
            </w:r>
          </w:p>
        </w:tc>
        <w:tc>
          <w:tcPr>
            <w:tcW w:w="833" w:type="pct"/>
            <w:tcBorders>
              <w:top w:val="single" w:color="000000" w:sz="8" w:space="0"/>
              <w:left w:val="single" w:color="000000" w:sz="8" w:space="0"/>
              <w:bottom w:val="single" w:color="000000" w:sz="8" w:space="0"/>
            </w:tcBorders>
            <w:shd w:val="clear" w:color="auto" w:fill="FFFFFF"/>
            <w:noWrap w:val="0"/>
            <w:vAlign w:val="center"/>
          </w:tcPr>
          <w:p w14:paraId="68F71A40">
            <w:pPr>
              <w:pStyle w:val="10"/>
              <w:bidi w:val="0"/>
              <w:jc w:val="center"/>
              <w:rPr>
                <w:rFonts w:hint="eastAsia"/>
                <w:color w:val="000000"/>
              </w:rPr>
            </w:pPr>
            <w:r>
              <w:rPr>
                <w:rFonts w:hint="eastAsia"/>
                <w:color w:val="000000"/>
              </w:rPr>
              <w:t>镇政府</w:t>
            </w:r>
          </w:p>
        </w:tc>
      </w:tr>
      <w:tr w14:paraId="5E04265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08" w:type="pct"/>
            <w:tcBorders>
              <w:top w:val="single" w:color="000000" w:sz="8" w:space="0"/>
              <w:bottom w:val="single" w:color="000000" w:sz="8" w:space="0"/>
              <w:right w:val="single" w:color="000000" w:sz="8" w:space="0"/>
            </w:tcBorders>
            <w:shd w:val="clear" w:color="auto" w:fill="FFFFFF"/>
            <w:noWrap w:val="0"/>
            <w:vAlign w:val="center"/>
          </w:tcPr>
          <w:p w14:paraId="207E05F3">
            <w:pPr>
              <w:pStyle w:val="10"/>
              <w:bidi w:val="0"/>
              <w:jc w:val="center"/>
              <w:rPr>
                <w:rFonts w:hint="eastAsia"/>
                <w:color w:val="000000"/>
              </w:rPr>
            </w:pPr>
            <w:r>
              <w:rPr>
                <w:rFonts w:hint="eastAsia"/>
                <w:color w:val="000000"/>
              </w:rPr>
              <w:t>百顺镇科协</w:t>
            </w:r>
          </w:p>
        </w:tc>
        <w:tc>
          <w:tcPr>
            <w:tcW w:w="42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2C9B4D7">
            <w:pPr>
              <w:pStyle w:val="10"/>
              <w:bidi w:val="0"/>
              <w:jc w:val="center"/>
              <w:rPr>
                <w:rFonts w:hint="eastAsia"/>
                <w:color w:val="000000"/>
              </w:rPr>
            </w:pPr>
            <w:r>
              <w:rPr>
                <w:rFonts w:hint="eastAsia"/>
                <w:color w:val="000000"/>
              </w:rPr>
              <w:t>38</w:t>
            </w:r>
          </w:p>
        </w:tc>
        <w:tc>
          <w:tcPr>
            <w:tcW w:w="7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2A339D6">
            <w:pPr>
              <w:pStyle w:val="10"/>
              <w:bidi w:val="0"/>
              <w:jc w:val="center"/>
              <w:rPr>
                <w:rFonts w:hint="eastAsia"/>
                <w:color w:val="000000"/>
              </w:rPr>
            </w:pPr>
          </w:p>
        </w:tc>
        <w:tc>
          <w:tcPr>
            <w:tcW w:w="7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2745094">
            <w:pPr>
              <w:pStyle w:val="10"/>
              <w:bidi w:val="0"/>
              <w:jc w:val="center"/>
              <w:rPr>
                <w:rFonts w:hint="eastAsia"/>
                <w:color w:val="000000"/>
              </w:rPr>
            </w:pPr>
            <w:r>
              <w:rPr>
                <w:rFonts w:hint="eastAsia"/>
                <w:color w:val="000000"/>
              </w:rPr>
              <w:t>3</w:t>
            </w:r>
          </w:p>
        </w:tc>
        <w:tc>
          <w:tcPr>
            <w:tcW w:w="7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2E3AE09">
            <w:pPr>
              <w:pStyle w:val="10"/>
              <w:bidi w:val="0"/>
              <w:jc w:val="center"/>
              <w:rPr>
                <w:rFonts w:hint="eastAsia"/>
                <w:color w:val="000000"/>
              </w:rPr>
            </w:pPr>
            <w:r>
              <w:rPr>
                <w:rFonts w:hint="eastAsia"/>
                <w:color w:val="000000"/>
              </w:rPr>
              <w:t>20</w:t>
            </w:r>
          </w:p>
        </w:tc>
        <w:tc>
          <w:tcPr>
            <w:tcW w:w="833" w:type="pct"/>
            <w:tcBorders>
              <w:top w:val="single" w:color="000000" w:sz="8" w:space="0"/>
              <w:left w:val="single" w:color="000000" w:sz="8" w:space="0"/>
              <w:bottom w:val="single" w:color="000000" w:sz="8" w:space="0"/>
            </w:tcBorders>
            <w:shd w:val="clear" w:color="auto" w:fill="FFFFFF"/>
            <w:noWrap w:val="0"/>
            <w:vAlign w:val="center"/>
          </w:tcPr>
          <w:p w14:paraId="244D9543">
            <w:pPr>
              <w:pStyle w:val="10"/>
              <w:bidi w:val="0"/>
              <w:jc w:val="center"/>
              <w:rPr>
                <w:rFonts w:hint="eastAsia"/>
                <w:color w:val="000000"/>
              </w:rPr>
            </w:pPr>
            <w:r>
              <w:rPr>
                <w:rFonts w:hint="eastAsia"/>
                <w:color w:val="000000"/>
              </w:rPr>
              <w:t>镇政府</w:t>
            </w:r>
          </w:p>
        </w:tc>
      </w:tr>
      <w:tr w14:paraId="28DE6ED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08" w:type="pct"/>
            <w:tcBorders>
              <w:top w:val="single" w:color="000000" w:sz="8" w:space="0"/>
              <w:bottom w:val="single" w:color="000000" w:sz="8" w:space="0"/>
              <w:right w:val="single" w:color="000000" w:sz="8" w:space="0"/>
            </w:tcBorders>
            <w:shd w:val="clear" w:color="auto" w:fill="FFFFFF"/>
            <w:noWrap w:val="0"/>
            <w:vAlign w:val="center"/>
          </w:tcPr>
          <w:p w14:paraId="151D01EE">
            <w:pPr>
              <w:pStyle w:val="10"/>
              <w:bidi w:val="0"/>
              <w:jc w:val="center"/>
              <w:rPr>
                <w:rFonts w:hint="eastAsia"/>
                <w:color w:val="000000"/>
              </w:rPr>
            </w:pPr>
            <w:r>
              <w:rPr>
                <w:rFonts w:hint="eastAsia"/>
                <w:color w:val="000000"/>
              </w:rPr>
              <w:t>南亩镇科协</w:t>
            </w:r>
          </w:p>
        </w:tc>
        <w:tc>
          <w:tcPr>
            <w:tcW w:w="42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62736B7">
            <w:pPr>
              <w:pStyle w:val="10"/>
              <w:bidi w:val="0"/>
              <w:jc w:val="center"/>
              <w:rPr>
                <w:rFonts w:hint="eastAsia"/>
                <w:color w:val="000000"/>
              </w:rPr>
            </w:pPr>
            <w:r>
              <w:rPr>
                <w:rFonts w:hint="eastAsia"/>
                <w:color w:val="000000"/>
              </w:rPr>
              <w:t>32</w:t>
            </w:r>
          </w:p>
        </w:tc>
        <w:tc>
          <w:tcPr>
            <w:tcW w:w="7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0AD8E08">
            <w:pPr>
              <w:pStyle w:val="10"/>
              <w:bidi w:val="0"/>
              <w:jc w:val="center"/>
              <w:rPr>
                <w:rFonts w:hint="eastAsia"/>
                <w:color w:val="000000"/>
              </w:rPr>
            </w:pPr>
          </w:p>
        </w:tc>
        <w:tc>
          <w:tcPr>
            <w:tcW w:w="7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940B131">
            <w:pPr>
              <w:pStyle w:val="10"/>
              <w:bidi w:val="0"/>
              <w:jc w:val="center"/>
              <w:rPr>
                <w:rFonts w:hint="eastAsia"/>
                <w:color w:val="000000"/>
              </w:rPr>
            </w:pPr>
            <w:r>
              <w:rPr>
                <w:rFonts w:hint="eastAsia"/>
                <w:color w:val="000000"/>
              </w:rPr>
              <w:t>3</w:t>
            </w:r>
          </w:p>
        </w:tc>
        <w:tc>
          <w:tcPr>
            <w:tcW w:w="7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8D8C1E6">
            <w:pPr>
              <w:pStyle w:val="10"/>
              <w:bidi w:val="0"/>
              <w:jc w:val="center"/>
              <w:rPr>
                <w:rFonts w:hint="eastAsia"/>
                <w:color w:val="000000"/>
              </w:rPr>
            </w:pPr>
            <w:r>
              <w:rPr>
                <w:rFonts w:hint="eastAsia"/>
                <w:color w:val="000000"/>
              </w:rPr>
              <w:t>19</w:t>
            </w:r>
          </w:p>
        </w:tc>
        <w:tc>
          <w:tcPr>
            <w:tcW w:w="833" w:type="pct"/>
            <w:tcBorders>
              <w:top w:val="single" w:color="000000" w:sz="8" w:space="0"/>
              <w:left w:val="single" w:color="000000" w:sz="8" w:space="0"/>
              <w:bottom w:val="single" w:color="000000" w:sz="8" w:space="0"/>
            </w:tcBorders>
            <w:shd w:val="clear" w:color="auto" w:fill="FFFFFF"/>
            <w:noWrap w:val="0"/>
            <w:vAlign w:val="center"/>
          </w:tcPr>
          <w:p w14:paraId="51ECBA80">
            <w:pPr>
              <w:pStyle w:val="10"/>
              <w:bidi w:val="0"/>
              <w:jc w:val="center"/>
              <w:rPr>
                <w:rFonts w:hint="eastAsia"/>
                <w:color w:val="000000"/>
              </w:rPr>
            </w:pPr>
            <w:r>
              <w:rPr>
                <w:rFonts w:hint="eastAsia"/>
                <w:color w:val="000000"/>
              </w:rPr>
              <w:t>镇政府</w:t>
            </w:r>
          </w:p>
        </w:tc>
      </w:tr>
      <w:tr w14:paraId="137F2D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08" w:type="pct"/>
            <w:tcBorders>
              <w:top w:val="single" w:color="000000" w:sz="8" w:space="0"/>
              <w:bottom w:val="single" w:color="000000" w:sz="8" w:space="0"/>
              <w:right w:val="single" w:color="000000" w:sz="8" w:space="0"/>
            </w:tcBorders>
            <w:shd w:val="clear" w:color="auto" w:fill="FFFFFF"/>
            <w:noWrap w:val="0"/>
            <w:vAlign w:val="center"/>
          </w:tcPr>
          <w:p w14:paraId="67A9810F">
            <w:pPr>
              <w:pStyle w:val="10"/>
              <w:bidi w:val="0"/>
              <w:jc w:val="center"/>
              <w:rPr>
                <w:rFonts w:hint="eastAsia"/>
                <w:color w:val="000000"/>
              </w:rPr>
            </w:pPr>
            <w:r>
              <w:rPr>
                <w:rFonts w:hint="eastAsia"/>
                <w:color w:val="000000"/>
              </w:rPr>
              <w:t>江头镇科协</w:t>
            </w:r>
          </w:p>
        </w:tc>
        <w:tc>
          <w:tcPr>
            <w:tcW w:w="42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0B66C67">
            <w:pPr>
              <w:pStyle w:val="10"/>
              <w:bidi w:val="0"/>
              <w:jc w:val="center"/>
              <w:rPr>
                <w:rFonts w:hint="eastAsia"/>
                <w:color w:val="000000"/>
              </w:rPr>
            </w:pPr>
            <w:r>
              <w:rPr>
                <w:rFonts w:hint="eastAsia"/>
                <w:color w:val="000000"/>
              </w:rPr>
              <w:t>62</w:t>
            </w:r>
          </w:p>
        </w:tc>
        <w:tc>
          <w:tcPr>
            <w:tcW w:w="7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7DCBCD7">
            <w:pPr>
              <w:pStyle w:val="10"/>
              <w:bidi w:val="0"/>
              <w:jc w:val="center"/>
              <w:rPr>
                <w:rFonts w:hint="eastAsia"/>
                <w:color w:val="000000"/>
              </w:rPr>
            </w:pPr>
          </w:p>
        </w:tc>
        <w:tc>
          <w:tcPr>
            <w:tcW w:w="7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76A0704">
            <w:pPr>
              <w:pStyle w:val="10"/>
              <w:bidi w:val="0"/>
              <w:jc w:val="center"/>
              <w:rPr>
                <w:rFonts w:hint="eastAsia"/>
                <w:color w:val="000000"/>
              </w:rPr>
            </w:pPr>
            <w:r>
              <w:rPr>
                <w:rFonts w:hint="eastAsia"/>
                <w:color w:val="000000"/>
              </w:rPr>
              <w:t>7</w:t>
            </w:r>
          </w:p>
        </w:tc>
        <w:tc>
          <w:tcPr>
            <w:tcW w:w="7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10994DD">
            <w:pPr>
              <w:pStyle w:val="10"/>
              <w:bidi w:val="0"/>
              <w:jc w:val="center"/>
              <w:rPr>
                <w:rFonts w:hint="eastAsia"/>
                <w:color w:val="000000"/>
              </w:rPr>
            </w:pPr>
            <w:r>
              <w:rPr>
                <w:rFonts w:hint="eastAsia"/>
                <w:color w:val="000000"/>
              </w:rPr>
              <w:t>22</w:t>
            </w:r>
          </w:p>
        </w:tc>
        <w:tc>
          <w:tcPr>
            <w:tcW w:w="833" w:type="pct"/>
            <w:tcBorders>
              <w:top w:val="single" w:color="000000" w:sz="8" w:space="0"/>
              <w:left w:val="single" w:color="000000" w:sz="8" w:space="0"/>
              <w:bottom w:val="single" w:color="000000" w:sz="8" w:space="0"/>
            </w:tcBorders>
            <w:shd w:val="clear" w:color="auto" w:fill="FFFFFF"/>
            <w:noWrap w:val="0"/>
            <w:vAlign w:val="center"/>
          </w:tcPr>
          <w:p w14:paraId="4B9625F6">
            <w:pPr>
              <w:pStyle w:val="10"/>
              <w:bidi w:val="0"/>
              <w:jc w:val="center"/>
              <w:rPr>
                <w:rFonts w:hint="eastAsia"/>
                <w:color w:val="000000"/>
              </w:rPr>
            </w:pPr>
            <w:r>
              <w:rPr>
                <w:rFonts w:hint="eastAsia"/>
                <w:color w:val="000000"/>
              </w:rPr>
              <w:t>镇政府</w:t>
            </w:r>
          </w:p>
        </w:tc>
      </w:tr>
      <w:tr w14:paraId="4907F96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08" w:type="pct"/>
            <w:tcBorders>
              <w:top w:val="single" w:color="000000" w:sz="8" w:space="0"/>
              <w:bottom w:val="single" w:color="000000" w:sz="8" w:space="0"/>
              <w:right w:val="single" w:color="000000" w:sz="8" w:space="0"/>
            </w:tcBorders>
            <w:shd w:val="clear" w:color="auto" w:fill="FFFFFF"/>
            <w:noWrap w:val="0"/>
            <w:vAlign w:val="center"/>
          </w:tcPr>
          <w:p w14:paraId="06133F56">
            <w:pPr>
              <w:pStyle w:val="10"/>
              <w:bidi w:val="0"/>
              <w:jc w:val="center"/>
              <w:rPr>
                <w:rFonts w:hint="eastAsia"/>
                <w:color w:val="000000"/>
              </w:rPr>
            </w:pPr>
            <w:r>
              <w:rPr>
                <w:rFonts w:hint="eastAsia"/>
                <w:color w:val="000000"/>
              </w:rPr>
              <w:t>养蜂协会</w:t>
            </w:r>
          </w:p>
        </w:tc>
        <w:tc>
          <w:tcPr>
            <w:tcW w:w="42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E90F5B1">
            <w:pPr>
              <w:pStyle w:val="10"/>
              <w:bidi w:val="0"/>
              <w:jc w:val="center"/>
              <w:rPr>
                <w:rFonts w:hint="eastAsia"/>
                <w:color w:val="000000"/>
              </w:rPr>
            </w:pPr>
            <w:r>
              <w:rPr>
                <w:rFonts w:hint="eastAsia"/>
                <w:color w:val="000000"/>
              </w:rPr>
              <w:t>45</w:t>
            </w:r>
          </w:p>
        </w:tc>
        <w:tc>
          <w:tcPr>
            <w:tcW w:w="7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517A5D7">
            <w:pPr>
              <w:pStyle w:val="10"/>
              <w:bidi w:val="0"/>
              <w:jc w:val="center"/>
              <w:rPr>
                <w:rFonts w:hint="eastAsia"/>
                <w:color w:val="000000"/>
              </w:rPr>
            </w:pPr>
          </w:p>
        </w:tc>
        <w:tc>
          <w:tcPr>
            <w:tcW w:w="7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10EE774">
            <w:pPr>
              <w:pStyle w:val="10"/>
              <w:bidi w:val="0"/>
              <w:jc w:val="center"/>
              <w:rPr>
                <w:rFonts w:hint="eastAsia"/>
                <w:color w:val="000000"/>
              </w:rPr>
            </w:pPr>
            <w:r>
              <w:rPr>
                <w:rFonts w:hint="eastAsia"/>
                <w:color w:val="000000"/>
              </w:rPr>
              <w:t>2</w:t>
            </w:r>
          </w:p>
        </w:tc>
        <w:tc>
          <w:tcPr>
            <w:tcW w:w="7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DCF8362">
            <w:pPr>
              <w:pStyle w:val="10"/>
              <w:bidi w:val="0"/>
              <w:jc w:val="center"/>
              <w:rPr>
                <w:rFonts w:hint="eastAsia"/>
                <w:color w:val="000000"/>
              </w:rPr>
            </w:pPr>
            <w:r>
              <w:rPr>
                <w:rFonts w:hint="eastAsia"/>
                <w:color w:val="000000"/>
              </w:rPr>
              <w:t>16</w:t>
            </w:r>
          </w:p>
        </w:tc>
        <w:tc>
          <w:tcPr>
            <w:tcW w:w="833" w:type="pct"/>
            <w:tcBorders>
              <w:top w:val="single" w:color="000000" w:sz="8" w:space="0"/>
              <w:left w:val="single" w:color="000000" w:sz="8" w:space="0"/>
              <w:bottom w:val="single" w:color="000000" w:sz="8" w:space="0"/>
            </w:tcBorders>
            <w:shd w:val="clear" w:color="auto" w:fill="FFFFFF"/>
            <w:noWrap w:val="0"/>
            <w:vAlign w:val="center"/>
          </w:tcPr>
          <w:p w14:paraId="35C3DEAE">
            <w:pPr>
              <w:pStyle w:val="10"/>
              <w:bidi w:val="0"/>
              <w:jc w:val="center"/>
              <w:rPr>
                <w:rFonts w:hint="eastAsia"/>
                <w:color w:val="000000"/>
              </w:rPr>
            </w:pPr>
            <w:r>
              <w:rPr>
                <w:rFonts w:hint="eastAsia"/>
                <w:color w:val="000000"/>
              </w:rPr>
              <w:t>湖口镇</w:t>
            </w:r>
          </w:p>
        </w:tc>
      </w:tr>
      <w:tr w14:paraId="61EAA7A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08" w:type="pct"/>
            <w:tcBorders>
              <w:top w:val="single" w:color="000000" w:sz="8" w:space="0"/>
              <w:bottom w:val="single" w:color="000000" w:sz="8" w:space="0"/>
              <w:right w:val="single" w:color="000000" w:sz="8" w:space="0"/>
            </w:tcBorders>
            <w:shd w:val="clear" w:color="auto" w:fill="FFFFFF"/>
            <w:noWrap w:val="0"/>
            <w:vAlign w:val="center"/>
          </w:tcPr>
          <w:p w14:paraId="784D6C3B">
            <w:pPr>
              <w:pStyle w:val="10"/>
              <w:bidi w:val="0"/>
              <w:jc w:val="center"/>
              <w:rPr>
                <w:rFonts w:hint="eastAsia"/>
                <w:color w:val="000000"/>
              </w:rPr>
            </w:pPr>
            <w:r>
              <w:rPr>
                <w:rFonts w:hint="eastAsia"/>
                <w:color w:val="000000"/>
              </w:rPr>
              <w:t>黑山羊协会</w:t>
            </w:r>
          </w:p>
        </w:tc>
        <w:tc>
          <w:tcPr>
            <w:tcW w:w="42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8559A49">
            <w:pPr>
              <w:pStyle w:val="10"/>
              <w:bidi w:val="0"/>
              <w:jc w:val="center"/>
              <w:rPr>
                <w:rFonts w:hint="eastAsia"/>
                <w:color w:val="000000"/>
              </w:rPr>
            </w:pPr>
            <w:r>
              <w:rPr>
                <w:rFonts w:hint="eastAsia"/>
                <w:color w:val="000000"/>
              </w:rPr>
              <w:t>21</w:t>
            </w:r>
          </w:p>
        </w:tc>
        <w:tc>
          <w:tcPr>
            <w:tcW w:w="7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43BD035">
            <w:pPr>
              <w:pStyle w:val="10"/>
              <w:bidi w:val="0"/>
              <w:jc w:val="center"/>
              <w:rPr>
                <w:rFonts w:hint="eastAsia"/>
                <w:color w:val="000000"/>
              </w:rPr>
            </w:pPr>
          </w:p>
        </w:tc>
        <w:tc>
          <w:tcPr>
            <w:tcW w:w="7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F244B82">
            <w:pPr>
              <w:pStyle w:val="10"/>
              <w:bidi w:val="0"/>
              <w:jc w:val="center"/>
              <w:rPr>
                <w:rFonts w:hint="eastAsia"/>
                <w:color w:val="000000"/>
              </w:rPr>
            </w:pPr>
            <w:r>
              <w:rPr>
                <w:rFonts w:hint="eastAsia"/>
                <w:color w:val="000000"/>
              </w:rPr>
              <w:t>3</w:t>
            </w:r>
          </w:p>
        </w:tc>
        <w:tc>
          <w:tcPr>
            <w:tcW w:w="7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233E6CF">
            <w:pPr>
              <w:pStyle w:val="10"/>
              <w:bidi w:val="0"/>
              <w:jc w:val="center"/>
              <w:rPr>
                <w:rFonts w:hint="eastAsia"/>
                <w:color w:val="000000"/>
              </w:rPr>
            </w:pPr>
            <w:r>
              <w:rPr>
                <w:rFonts w:hint="eastAsia"/>
                <w:color w:val="000000"/>
              </w:rPr>
              <w:t>14</w:t>
            </w:r>
          </w:p>
        </w:tc>
        <w:tc>
          <w:tcPr>
            <w:tcW w:w="833" w:type="pct"/>
            <w:tcBorders>
              <w:top w:val="single" w:color="000000" w:sz="8" w:space="0"/>
              <w:left w:val="single" w:color="000000" w:sz="8" w:space="0"/>
              <w:bottom w:val="single" w:color="000000" w:sz="8" w:space="0"/>
            </w:tcBorders>
            <w:shd w:val="clear" w:color="auto" w:fill="FFFFFF"/>
            <w:noWrap w:val="0"/>
            <w:vAlign w:val="center"/>
          </w:tcPr>
          <w:p w14:paraId="2CB97B44">
            <w:pPr>
              <w:pStyle w:val="10"/>
              <w:bidi w:val="0"/>
              <w:jc w:val="center"/>
              <w:rPr>
                <w:rFonts w:hint="eastAsia"/>
                <w:color w:val="000000"/>
              </w:rPr>
            </w:pPr>
            <w:r>
              <w:rPr>
                <w:rFonts w:hint="eastAsia"/>
                <w:color w:val="000000"/>
              </w:rPr>
              <w:t>江头镇</w:t>
            </w:r>
          </w:p>
        </w:tc>
      </w:tr>
      <w:tr w14:paraId="15A14AE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08" w:type="pct"/>
            <w:tcBorders>
              <w:top w:val="single" w:color="000000" w:sz="8" w:space="0"/>
              <w:bottom w:val="single" w:color="000000" w:sz="8" w:space="0"/>
              <w:right w:val="single" w:color="000000" w:sz="8" w:space="0"/>
            </w:tcBorders>
            <w:shd w:val="clear" w:color="auto" w:fill="FFFFFF"/>
            <w:noWrap w:val="0"/>
            <w:vAlign w:val="center"/>
          </w:tcPr>
          <w:p w14:paraId="60F21477">
            <w:pPr>
              <w:pStyle w:val="10"/>
              <w:bidi w:val="0"/>
              <w:jc w:val="center"/>
              <w:rPr>
                <w:rFonts w:hint="eastAsia"/>
                <w:color w:val="000000"/>
              </w:rPr>
            </w:pPr>
            <w:r>
              <w:rPr>
                <w:rFonts w:hint="eastAsia"/>
                <w:color w:val="000000"/>
              </w:rPr>
              <w:t>合计</w:t>
            </w:r>
          </w:p>
        </w:tc>
        <w:tc>
          <w:tcPr>
            <w:tcW w:w="42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30F5CDD">
            <w:pPr>
              <w:pStyle w:val="10"/>
              <w:bidi w:val="0"/>
              <w:jc w:val="center"/>
              <w:rPr>
                <w:rFonts w:hint="eastAsia"/>
                <w:color w:val="000000"/>
              </w:rPr>
            </w:pPr>
            <w:r>
              <w:rPr>
                <w:rFonts w:hint="eastAsia"/>
                <w:color w:val="000000"/>
              </w:rPr>
              <w:t>2506</w:t>
            </w:r>
          </w:p>
        </w:tc>
        <w:tc>
          <w:tcPr>
            <w:tcW w:w="7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F5206C4">
            <w:pPr>
              <w:pStyle w:val="10"/>
              <w:bidi w:val="0"/>
              <w:jc w:val="center"/>
              <w:rPr>
                <w:rFonts w:hint="eastAsia"/>
                <w:color w:val="000000"/>
              </w:rPr>
            </w:pPr>
            <w:r>
              <w:rPr>
                <w:rFonts w:hint="eastAsia"/>
                <w:color w:val="000000"/>
              </w:rPr>
              <w:t>69</w:t>
            </w:r>
          </w:p>
        </w:tc>
        <w:tc>
          <w:tcPr>
            <w:tcW w:w="7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75E5C61">
            <w:pPr>
              <w:pStyle w:val="10"/>
              <w:bidi w:val="0"/>
              <w:jc w:val="center"/>
              <w:rPr>
                <w:rFonts w:hint="eastAsia"/>
                <w:color w:val="000000"/>
              </w:rPr>
            </w:pPr>
            <w:r>
              <w:rPr>
                <w:rFonts w:hint="eastAsia"/>
                <w:color w:val="000000"/>
              </w:rPr>
              <w:t>400</w:t>
            </w:r>
          </w:p>
        </w:tc>
        <w:tc>
          <w:tcPr>
            <w:tcW w:w="7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BA2C430">
            <w:pPr>
              <w:pStyle w:val="10"/>
              <w:bidi w:val="0"/>
              <w:jc w:val="center"/>
              <w:rPr>
                <w:rFonts w:hint="eastAsia"/>
                <w:color w:val="000000"/>
              </w:rPr>
            </w:pPr>
            <w:r>
              <w:rPr>
                <w:rFonts w:hint="eastAsia"/>
                <w:color w:val="000000"/>
              </w:rPr>
              <w:t>1470</w:t>
            </w:r>
          </w:p>
        </w:tc>
        <w:tc>
          <w:tcPr>
            <w:tcW w:w="833" w:type="pct"/>
            <w:tcBorders>
              <w:top w:val="single" w:color="000000" w:sz="8" w:space="0"/>
              <w:left w:val="single" w:color="000000" w:sz="8" w:space="0"/>
              <w:bottom w:val="single" w:color="000000" w:sz="8" w:space="0"/>
            </w:tcBorders>
            <w:shd w:val="clear" w:color="auto" w:fill="FFFFFF"/>
            <w:noWrap w:val="0"/>
            <w:vAlign w:val="center"/>
          </w:tcPr>
          <w:p w14:paraId="5CBC1CF7">
            <w:pPr>
              <w:pStyle w:val="10"/>
              <w:bidi w:val="0"/>
              <w:jc w:val="center"/>
              <w:rPr>
                <w:rFonts w:hint="eastAsia"/>
                <w:color w:val="000000"/>
              </w:rPr>
            </w:pPr>
          </w:p>
        </w:tc>
      </w:tr>
    </w:tbl>
    <w:p w14:paraId="263DBD90">
      <w:pPr>
        <w:pStyle w:val="10"/>
        <w:bidi w:val="0"/>
        <w:rPr>
          <w:b/>
          <w:bCs/>
        </w:rPr>
      </w:pPr>
      <w:r>
        <w:rPr>
          <w:rFonts w:hint="eastAsia"/>
          <w:b/>
          <w:bCs/>
        </w:rPr>
        <w:t>附：</w:t>
      </w:r>
      <w:r>
        <w:rPr>
          <w:b/>
          <w:bCs/>
        </w:rPr>
        <w:t>2013年市科协领导班子成员名单</w:t>
      </w:r>
    </w:p>
    <w:p w14:paraId="6938C3ED">
      <w:pPr>
        <w:pStyle w:val="10"/>
        <w:bidi w:val="0"/>
        <w:rPr>
          <w:rFonts w:hint="eastAsia"/>
        </w:rPr>
      </w:pPr>
      <w:r>
        <w:rPr>
          <w:rFonts w:hint="eastAsia"/>
          <w:b/>
          <w:bCs/>
        </w:rPr>
        <w:t>主</w:t>
      </w:r>
      <w:r>
        <w:rPr>
          <w:rFonts w:hint="eastAsia"/>
          <w:b/>
          <w:bCs/>
          <w:lang w:val="en-US" w:eastAsia="zh-CN"/>
        </w:rPr>
        <w:t xml:space="preserve">  </w:t>
      </w:r>
      <w:r>
        <w:rPr>
          <w:rFonts w:hint="eastAsia"/>
          <w:b/>
          <w:bCs/>
        </w:rPr>
        <w:t>席：</w:t>
      </w:r>
      <w:r>
        <w:rPr>
          <w:rFonts w:hint="eastAsia"/>
        </w:rPr>
        <w:t>吴美华</w:t>
      </w:r>
    </w:p>
    <w:p w14:paraId="4F9306DC">
      <w:pPr>
        <w:pStyle w:val="10"/>
        <w:bidi w:val="0"/>
        <w:rPr>
          <w:rFonts w:hint="eastAsia"/>
        </w:rPr>
      </w:pPr>
      <w:r>
        <w:rPr>
          <w:rFonts w:hint="eastAsia"/>
          <w:b/>
          <w:bCs/>
        </w:rPr>
        <w:t>副主席：</w:t>
      </w:r>
      <w:r>
        <w:rPr>
          <w:rFonts w:hint="eastAsia"/>
        </w:rPr>
        <w:t>董书祥</w:t>
      </w:r>
    </w:p>
    <w:p w14:paraId="67B3823A">
      <w:pPr>
        <w:pStyle w:val="3"/>
        <w:bidi w:val="0"/>
        <w:rPr>
          <w:rFonts w:hint="eastAsia"/>
        </w:rPr>
      </w:pPr>
      <w:r>
        <w:rPr>
          <w:rFonts w:hint="eastAsia"/>
        </w:rPr>
        <w:t>归国华侨联合会</w:t>
      </w:r>
    </w:p>
    <w:p w14:paraId="493C50C4">
      <w:pPr>
        <w:rPr>
          <w:rFonts w:hint="eastAsia"/>
        </w:rPr>
      </w:pPr>
      <w:r>
        <w:rPr>
          <w:rFonts w:hint="eastAsia"/>
        </w:rPr>
        <w:t>南雄市归国华侨联合会（简称侨联），与统战部合署办公，由归侨侨眷组成的人民团体，是党和政府联系广大归侨侨眷的桥梁和纽带。</w:t>
      </w:r>
    </w:p>
    <w:p w14:paraId="18C2CC6B">
      <w:pPr>
        <w:rPr>
          <w:rFonts w:hint="eastAsia"/>
        </w:rPr>
      </w:pPr>
      <w:r>
        <w:t>1.做好20名出任广东广府人珠玑巷后裔海外</w:t>
      </w:r>
      <w:r>
        <w:rPr>
          <w:rFonts w:hint="eastAsia"/>
        </w:rPr>
        <w:t>联谊会理事人选的推荐和有关会务接待工作。</w:t>
      </w:r>
    </w:p>
    <w:p w14:paraId="1BF34650">
      <w:pPr>
        <w:rPr>
          <w:rFonts w:hint="eastAsia"/>
        </w:rPr>
      </w:pPr>
      <w:r>
        <w:t>2.配合韶关市侨联做好康绿宝（南雄）科技</w:t>
      </w:r>
      <w:r>
        <w:rPr>
          <w:rFonts w:hint="eastAsia"/>
        </w:rPr>
        <w:t>园落户南雄的引进、跟踪服务工作。经常深入康绿宝（南雄）科技园调研，协助解决工程筹建过程中所碰到的困难和问题，确保康绿宝（南雄）科技园顺利试投产及庆典仪式。</w:t>
      </w:r>
    </w:p>
    <w:p w14:paraId="7C942A71">
      <w:r>
        <w:t>3.引进外力为社会献爱心。</w:t>
      </w:r>
    </w:p>
    <w:p w14:paraId="516BAB1D">
      <w:pPr>
        <w:rPr>
          <w:rFonts w:hint="eastAsia"/>
          <w:lang w:eastAsia="zh-CN"/>
        </w:rPr>
      </w:pPr>
      <w:r>
        <w:t>4月初市侨联促成</w:t>
      </w:r>
      <w:r>
        <w:rPr>
          <w:rFonts w:hint="eastAsia"/>
        </w:rPr>
        <w:t>香港合力集团董事长、广东省侨联常委麦可君女士赠送</w:t>
      </w:r>
      <w:r>
        <w:t>30张棉被，还促成广东省侨界仁爱基金会赠</w:t>
      </w:r>
      <w:r>
        <w:rPr>
          <w:rFonts w:hint="eastAsia"/>
        </w:rPr>
        <w:t>送的</w:t>
      </w:r>
      <w:r>
        <w:t>2袋儿童衣服620件。并把棉被分发给本市界</w:t>
      </w:r>
      <w:r>
        <w:rPr>
          <w:rFonts w:hint="eastAsia"/>
        </w:rPr>
        <w:t>址镇敬老院和困难家庭儿童，惠及当地五保老人和困难儿童</w:t>
      </w:r>
      <w:r>
        <w:t>650人</w:t>
      </w:r>
      <w:r>
        <w:rPr>
          <w:rFonts w:hint="eastAsia"/>
          <w:lang w:eastAsia="zh-CN"/>
        </w:rPr>
        <w:t>。</w:t>
      </w:r>
    </w:p>
    <w:p w14:paraId="4E781884">
      <w:pPr>
        <w:pStyle w:val="10"/>
        <w:bidi w:val="0"/>
        <w:rPr>
          <w:b/>
          <w:bCs/>
        </w:rPr>
      </w:pPr>
      <w:r>
        <w:rPr>
          <w:rFonts w:hint="eastAsia"/>
          <w:b/>
          <w:bCs/>
        </w:rPr>
        <w:t>附：</w:t>
      </w:r>
      <w:r>
        <w:rPr>
          <w:b/>
          <w:bCs/>
        </w:rPr>
        <w:t>2013年市侨联领导班子成员名单</w:t>
      </w:r>
    </w:p>
    <w:p w14:paraId="0CA8DC10">
      <w:pPr>
        <w:pStyle w:val="10"/>
        <w:bidi w:val="0"/>
        <w:rPr>
          <w:rFonts w:hint="eastAsia"/>
        </w:rPr>
      </w:pPr>
      <w:r>
        <w:rPr>
          <w:rFonts w:hint="eastAsia"/>
          <w:b/>
          <w:bCs/>
        </w:rPr>
        <w:t>主</w:t>
      </w:r>
      <w:r>
        <w:rPr>
          <w:rFonts w:hint="eastAsia"/>
          <w:b/>
          <w:bCs/>
          <w:lang w:val="en-US" w:eastAsia="zh-CN"/>
        </w:rPr>
        <w:t xml:space="preserve">  </w:t>
      </w:r>
      <w:r>
        <w:rPr>
          <w:rFonts w:hint="eastAsia"/>
          <w:b/>
          <w:bCs/>
        </w:rPr>
        <w:t>席：</w:t>
      </w:r>
      <w:r>
        <w:rPr>
          <w:rFonts w:hint="eastAsia"/>
        </w:rPr>
        <w:t>罗战勇（兼）</w:t>
      </w:r>
    </w:p>
    <w:p w14:paraId="53D4E838">
      <w:pPr>
        <w:pStyle w:val="10"/>
        <w:bidi w:val="0"/>
        <w:rPr>
          <w:rFonts w:hint="eastAsia"/>
        </w:rPr>
      </w:pPr>
      <w:r>
        <w:rPr>
          <w:rFonts w:hint="eastAsia"/>
          <w:b/>
          <w:bCs/>
        </w:rPr>
        <w:t>副主席：</w:t>
      </w:r>
      <w:r>
        <w:rPr>
          <w:rFonts w:hint="eastAsia"/>
        </w:rPr>
        <w:t>刘志梅</w:t>
      </w:r>
      <w:r>
        <w:rPr>
          <w:rFonts w:hint="eastAsia"/>
          <w:lang w:val="en-US" w:eastAsia="zh-CN"/>
        </w:rPr>
        <w:t xml:space="preserve">   </w:t>
      </w:r>
      <w:r>
        <w:rPr>
          <w:rFonts w:hint="eastAsia"/>
        </w:rPr>
        <w:t>杨会英（兼）</w:t>
      </w:r>
    </w:p>
    <w:p w14:paraId="3A91EB69">
      <w:pPr>
        <w:pStyle w:val="3"/>
        <w:bidi w:val="0"/>
        <w:rPr>
          <w:rFonts w:hint="eastAsia"/>
        </w:rPr>
      </w:pPr>
      <w:r>
        <w:rPr>
          <w:rFonts w:hint="eastAsia"/>
        </w:rPr>
        <w:t>社科联</w:t>
      </w:r>
    </w:p>
    <w:p w14:paraId="025947C9">
      <w:pPr>
        <w:pStyle w:val="4"/>
        <w:bidi w:val="0"/>
        <w:rPr>
          <w:rFonts w:hint="eastAsia"/>
        </w:rPr>
      </w:pPr>
      <w:r>
        <w:rPr>
          <w:rFonts w:hint="eastAsia"/>
        </w:rPr>
        <w:t>【服务基层】</w:t>
      </w:r>
    </w:p>
    <w:p w14:paraId="426CAB5E">
      <w:pPr>
        <w:rPr>
          <w:rFonts w:hint="eastAsia"/>
        </w:rPr>
      </w:pPr>
      <w:r>
        <w:rPr>
          <w:rFonts w:hint="eastAsia"/>
        </w:rPr>
        <w:t>南雄社科联根据省、韶关市社科联布署的工作任务，制定出工作目标：转变作风，服务基层，深化理论学习，强化学术活动，探索科研创新，加强学会管理，普及社科理论。以雄州街道河南社科基地为工作阵地，开展面向群众的社科普及、宣传咨询活动整合市内社科资源，宣传和普及社科知识。</w:t>
      </w:r>
      <w:r>
        <w:t>3月，市社科联同市科协、农业、卫生</w:t>
      </w:r>
      <w:r>
        <w:rPr>
          <w:rFonts w:hint="eastAsia"/>
          <w:lang w:eastAsia="zh-CN"/>
        </w:rPr>
        <w:t>、</w:t>
      </w:r>
      <w:r>
        <w:rPr>
          <w:rFonts w:hint="eastAsia"/>
        </w:rPr>
        <w:t>计生等部门在雄州街道河南社科基地开展科普月活动，组织有关学会、协会及相关单位开展科技下乡，科普进村、科普进学校、科普进社区以及科普专题讲座、科技培训、卫生咨询、健康检</w:t>
      </w:r>
      <w:r>
        <w:rPr>
          <w:rFonts w:hint="eastAsia"/>
          <w:lang w:eastAsia="zh-CN"/>
        </w:rPr>
        <w:t>查</w:t>
      </w:r>
      <w:r>
        <w:rPr>
          <w:rFonts w:hint="eastAsia"/>
        </w:rPr>
        <w:t>、义诊等各具特色的活动。</w:t>
      </w:r>
    </w:p>
    <w:p w14:paraId="599507EC">
      <w:pPr>
        <w:pStyle w:val="4"/>
        <w:bidi w:val="0"/>
        <w:rPr>
          <w:rFonts w:hint="eastAsia"/>
        </w:rPr>
      </w:pPr>
      <w:r>
        <w:rPr>
          <w:rFonts w:hint="eastAsia"/>
        </w:rPr>
        <w:t>【发挥社科职能】</w:t>
      </w:r>
    </w:p>
    <w:p w14:paraId="595F88E2">
      <w:r>
        <w:rPr>
          <w:rFonts w:hint="eastAsia"/>
        </w:rPr>
        <w:t>开展重点课题立项申报、年会征文等工作。组织各学会、协会及相关单位开展“省社科普及规划项目申报立项”、“省社科研究</w:t>
      </w:r>
      <w:r>
        <w:rPr>
          <w:rFonts w:hint="eastAsia"/>
          <w:lang w:eastAsia="zh-CN"/>
        </w:rPr>
        <w:t>‘</w:t>
      </w:r>
      <w:r>
        <w:rPr>
          <w:rFonts w:hint="eastAsia"/>
        </w:rPr>
        <w:t>十二五’规划</w:t>
      </w:r>
      <w:r>
        <w:t>2013年度项目申报”和市社科联年</w:t>
      </w:r>
      <w:r>
        <w:rPr>
          <w:rFonts w:hint="eastAsia"/>
        </w:rPr>
        <w:t>度重点研究课题立项申报等工作。配合韶关社科联开展社科学术名人录报送，上送社科参评书籍</w:t>
      </w:r>
      <w:r>
        <w:t>35</w:t>
      </w:r>
      <w:r>
        <w:rPr>
          <w:rFonts w:hint="eastAsia"/>
        </w:rPr>
        <w:t>本。同时，立足市情，关注热点难点问题，组织有关学会、协会开展“建设美丽南雄”、“新农村建设”、“幸福社区建设的理论研究与实践探索”</w:t>
      </w:r>
      <w:r>
        <w:rPr>
          <w:rFonts w:hint="eastAsia"/>
          <w:lang w:eastAsia="zh-CN"/>
        </w:rPr>
        <w:t>、</w:t>
      </w:r>
      <w:r>
        <w:rPr>
          <w:rFonts w:hint="eastAsia"/>
        </w:rPr>
        <w:t>“传统农业向现代农业跨越”、“基层社科联组织建设在构建和谐社科界中的作用研究”等为主题的学术调研、主题研讨。同时，为加强对市社科联所属学会、协会的管理，及时掌握其工作动态，</w:t>
      </w:r>
      <w:r>
        <w:t>4月中</w:t>
      </w:r>
      <w:r>
        <w:rPr>
          <w:rFonts w:hint="eastAsia"/>
          <w:lang w:eastAsia="zh-CN"/>
        </w:rPr>
        <w:t>、</w:t>
      </w:r>
      <w:r>
        <w:rPr>
          <w:rFonts w:hint="eastAsia"/>
        </w:rPr>
        <w:t>下旬，对所属学会、协会进行摸底调</w:t>
      </w:r>
      <w:r>
        <w:rPr>
          <w:rFonts w:hint="eastAsia"/>
          <w:lang w:eastAsia="zh-CN"/>
        </w:rPr>
        <w:t>查</w:t>
      </w:r>
      <w:r>
        <w:rPr>
          <w:rFonts w:hint="eastAsia"/>
        </w:rPr>
        <w:t>，弄清社科联组织的现状及工作情况，为规范管理、指导各学会，加强社科联信息报送工作，向市委宣传部</w:t>
      </w:r>
      <w:r>
        <w:rPr>
          <w:rFonts w:hint="eastAsia"/>
          <w:lang w:eastAsia="zh-CN"/>
        </w:rPr>
        <w:t>、</w:t>
      </w:r>
      <w:r>
        <w:rPr>
          <w:rFonts w:hint="eastAsia"/>
        </w:rPr>
        <w:t>省、韶关市社科联报送信息</w:t>
      </w:r>
      <w:r>
        <w:t>8篇。</w:t>
      </w:r>
    </w:p>
    <w:p w14:paraId="11787AB4">
      <w:pPr>
        <w:pStyle w:val="4"/>
        <w:bidi w:val="0"/>
        <w:rPr>
          <w:rFonts w:hint="eastAsia"/>
        </w:rPr>
      </w:pPr>
      <w:r>
        <w:rPr>
          <w:rFonts w:hint="eastAsia"/>
        </w:rPr>
        <w:t>【社科队伍人员学习】</w:t>
      </w:r>
    </w:p>
    <w:p w14:paraId="74BA946A">
      <w:pPr>
        <w:rPr>
          <w:rFonts w:hint="eastAsia"/>
        </w:rPr>
      </w:pPr>
      <w:r>
        <w:rPr>
          <w:rFonts w:hint="eastAsia"/>
        </w:rPr>
        <w:t>一是根据市委统一安排部署，社科联组织干部开展“面向基层、整顿作风、服务群众”实践活动，密切联系基层、联系群众。</w:t>
      </w:r>
      <w:r>
        <w:rPr>
          <w:rFonts w:hint="eastAsia"/>
          <w:lang w:val="en-US" w:eastAsia="zh-CN"/>
        </w:rPr>
        <w:t>二</w:t>
      </w:r>
      <w:r>
        <w:rPr>
          <w:rFonts w:hint="eastAsia"/>
        </w:rPr>
        <w:t>是加强社科联干部队伍的日常政治、业务学习，参加公务员培训，把自学和培训有机结合，提升政治业务素质。三是开展纪律教育，廉洁教育，坚持落实好干部廉政日记制度，提高效能，加强干部队伍建设，提高干部素质。</w:t>
      </w:r>
    </w:p>
    <w:p w14:paraId="7537F8DD">
      <w:pPr>
        <w:pStyle w:val="4"/>
        <w:bidi w:val="0"/>
        <w:rPr>
          <w:rFonts w:hint="eastAsia"/>
        </w:rPr>
      </w:pPr>
      <w:r>
        <w:rPr>
          <w:rFonts w:hint="eastAsia"/>
        </w:rPr>
        <w:t>【社科调研活动】</w:t>
      </w:r>
    </w:p>
    <w:p w14:paraId="42F582EC">
      <w:r>
        <w:rPr>
          <w:rFonts w:hint="eastAsia"/>
        </w:rPr>
        <w:t>根据省、韶关市社科联的工作布署，南雄社科联协助省、市社科联以及广州、清远社科界等相关单位的“广府文化</w:t>
      </w:r>
      <w:r>
        <w:rPr>
          <w:rFonts w:hint="eastAsia"/>
          <w:lang w:eastAsia="zh-CN"/>
        </w:rPr>
        <w:t>”、“</w:t>
      </w:r>
      <w:r>
        <w:rPr>
          <w:rFonts w:hint="eastAsia"/>
        </w:rPr>
        <w:t>旅游开发”、“平安广东”等专题调究课题活动，先后接待省、市专家学者</w:t>
      </w:r>
      <w:r>
        <w:t>20多人次来雄调研。</w:t>
      </w:r>
    </w:p>
    <w:p w14:paraId="682143F8">
      <w:pPr>
        <w:jc w:val="right"/>
        <w:rPr>
          <w:rFonts w:hint="eastAsia"/>
          <w:b/>
          <w:bCs/>
        </w:rPr>
      </w:pPr>
      <w:r>
        <w:rPr>
          <w:rFonts w:hint="eastAsia"/>
          <w:b/>
          <w:bCs/>
        </w:rPr>
        <w:t>（郭泊铄）</w:t>
      </w:r>
    </w:p>
    <w:p w14:paraId="0B432D37">
      <w:pPr>
        <w:pStyle w:val="10"/>
        <w:bidi w:val="0"/>
        <w:rPr>
          <w:b/>
          <w:bCs/>
        </w:rPr>
      </w:pPr>
      <w:r>
        <w:rPr>
          <w:rFonts w:hint="eastAsia"/>
          <w:b/>
          <w:bCs/>
        </w:rPr>
        <w:t>附：</w:t>
      </w:r>
      <w:r>
        <w:rPr>
          <w:b/>
          <w:bCs/>
        </w:rPr>
        <w:t>2013年市社科联领导班子成员名单</w:t>
      </w:r>
    </w:p>
    <w:p w14:paraId="450EDF10">
      <w:pPr>
        <w:pStyle w:val="10"/>
        <w:bidi w:val="0"/>
        <w:rPr>
          <w:rFonts w:hint="eastAsia"/>
        </w:rPr>
      </w:pPr>
      <w:r>
        <w:rPr>
          <w:rFonts w:hint="eastAsia"/>
          <w:b/>
          <w:bCs/>
        </w:rPr>
        <w:t>主</w:t>
      </w:r>
      <w:r>
        <w:rPr>
          <w:rFonts w:hint="eastAsia"/>
          <w:b/>
          <w:bCs/>
          <w:lang w:val="en-US" w:eastAsia="zh-CN"/>
        </w:rPr>
        <w:t xml:space="preserve">  </w:t>
      </w:r>
      <w:r>
        <w:rPr>
          <w:rFonts w:hint="eastAsia"/>
          <w:b/>
          <w:bCs/>
        </w:rPr>
        <w:t>席：</w:t>
      </w:r>
      <w:r>
        <w:rPr>
          <w:rFonts w:hint="eastAsia"/>
        </w:rPr>
        <w:t>钟</w:t>
      </w:r>
      <w:r>
        <w:rPr>
          <w:rFonts w:hint="eastAsia"/>
          <w:lang w:val="en-US" w:eastAsia="zh-CN"/>
        </w:rPr>
        <w:t xml:space="preserve">  </w:t>
      </w:r>
      <w:r>
        <w:rPr>
          <w:rFonts w:hint="eastAsia"/>
        </w:rPr>
        <w:t>武</w:t>
      </w:r>
    </w:p>
    <w:p w14:paraId="4A2ED72E">
      <w:pPr>
        <w:pStyle w:val="10"/>
        <w:bidi w:val="0"/>
        <w:rPr>
          <w:rFonts w:hint="eastAsia"/>
        </w:rPr>
      </w:pPr>
      <w:r>
        <w:rPr>
          <w:rFonts w:hint="eastAsia"/>
          <w:b/>
          <w:bCs/>
        </w:rPr>
        <w:t>副主席：</w:t>
      </w:r>
      <w:r>
        <w:rPr>
          <w:rFonts w:hint="eastAsia"/>
        </w:rPr>
        <w:t>王</w:t>
      </w:r>
      <w:r>
        <w:rPr>
          <w:rFonts w:hint="eastAsia"/>
          <w:lang w:val="en-US" w:eastAsia="zh-CN"/>
        </w:rPr>
        <w:t xml:space="preserve">  </w:t>
      </w:r>
      <w:r>
        <w:rPr>
          <w:rFonts w:hint="eastAsia"/>
        </w:rPr>
        <w:t>精</w:t>
      </w:r>
    </w:p>
    <w:p w14:paraId="568E70B0">
      <w:pPr>
        <w:pStyle w:val="3"/>
        <w:bidi w:val="0"/>
        <w:rPr>
          <w:rFonts w:hint="eastAsia"/>
          <w:lang w:val="en-US" w:eastAsia="zh-CN"/>
        </w:rPr>
      </w:pPr>
      <w:r>
        <w:rPr>
          <w:rFonts w:hint="eastAsia"/>
          <w:lang w:val="en-US" w:eastAsia="zh-CN"/>
        </w:rPr>
        <w:t>文联</w:t>
      </w:r>
    </w:p>
    <w:p w14:paraId="6D30F2C8">
      <w:pPr>
        <w:pStyle w:val="4"/>
        <w:bidi w:val="0"/>
        <w:rPr>
          <w:rFonts w:hint="eastAsia"/>
        </w:rPr>
      </w:pPr>
      <w:r>
        <w:rPr>
          <w:rFonts w:hint="eastAsia"/>
        </w:rPr>
        <w:t>【概况】</w:t>
      </w:r>
    </w:p>
    <w:p w14:paraId="2CE28367">
      <w:r>
        <w:rPr>
          <w:rFonts w:hint="eastAsia"/>
        </w:rPr>
        <w:t>南雄市文学艺术界联合会为正科级事业编制单位，编制为</w:t>
      </w:r>
      <w:r>
        <w:t>2人。2013年属下的美术协会</w:t>
      </w:r>
      <w:r>
        <w:rPr>
          <w:rFonts w:hint="eastAsia"/>
        </w:rPr>
        <w:t>书法协会、老年书法协会、音乐舞蹈戏剧协会、摄影协会、珠玑书画院、珠玑诗社、赏石盆景根艺协会、演讲与口才协会、南雄作家协会和南雄市民间文艺家协会等</w:t>
      </w:r>
      <w:r>
        <w:t>11个协会，出版《珠玑文艺》1期，</w:t>
      </w:r>
      <w:r>
        <w:rPr>
          <w:rFonts w:hint="eastAsia"/>
        </w:rPr>
        <w:t>《南雄书法报》</w:t>
      </w:r>
      <w:r>
        <w:t>3期，开展大型文艺活动2场，各</w:t>
      </w:r>
      <w:r>
        <w:rPr>
          <w:rFonts w:hint="eastAsia"/>
        </w:rPr>
        <w:t>种展览</w:t>
      </w:r>
      <w:r>
        <w:t>4期。</w:t>
      </w:r>
    </w:p>
    <w:p w14:paraId="1C48C290">
      <w:pPr>
        <w:pStyle w:val="4"/>
        <w:bidi w:val="0"/>
        <w:rPr>
          <w:rFonts w:hint="eastAsia"/>
        </w:rPr>
      </w:pPr>
      <w:r>
        <w:rPr>
          <w:rFonts w:hint="eastAsia"/>
        </w:rPr>
        <w:t>【文艺协会】</w:t>
      </w:r>
    </w:p>
    <w:p w14:paraId="33EEA934">
      <w:pPr>
        <w:rPr>
          <w:rFonts w:hint="eastAsia"/>
        </w:rPr>
      </w:pPr>
      <w:r>
        <w:rPr>
          <w:rFonts w:hint="eastAsia"/>
        </w:rPr>
        <w:t>文联组织协调美术协会、书法协会</w:t>
      </w:r>
      <w:r>
        <w:rPr>
          <w:rFonts w:hint="eastAsia"/>
          <w:lang w:eastAsia="zh-CN"/>
        </w:rPr>
        <w:t>、</w:t>
      </w:r>
      <w:r>
        <w:rPr>
          <w:rFonts w:hint="eastAsia"/>
        </w:rPr>
        <w:t>老年书法协会、音乐舞蹈戏剧协会、摄影协会、珠玑书画院、珠玑诗社、赏石盆景根艺协会、演讲与口才协会、南雄作家协会和南雄市民间文艺家协会等</w:t>
      </w:r>
      <w:r>
        <w:t>11个协会在遵守宪法和法律法规的前提下，按</w:t>
      </w:r>
      <w:r>
        <w:rPr>
          <w:rFonts w:hint="eastAsia"/>
        </w:rPr>
        <w:t>照各自的章程，开展各类文艺活动，繁荣文学艺术。</w:t>
      </w:r>
      <w:r>
        <w:t>2013年，赏石盆景根艺文化协会进行换届，推</w:t>
      </w:r>
      <w:r>
        <w:rPr>
          <w:rFonts w:hint="eastAsia"/>
        </w:rPr>
        <w:t>选出李光利为会长的新一届赏石盆景根艺文化协会班子；摄影协会改选班子，推选李子亮为摄影协会会长；珠玑诗社改选班子，推选杨应均出任秘书长；沈荣金同志被中国民间文艺家协会吸收为会员，该市于</w:t>
      </w:r>
      <w:r>
        <w:t>12月16日成立南雄市民间文艺家</w:t>
      </w:r>
      <w:r>
        <w:rPr>
          <w:rFonts w:hint="eastAsia"/>
        </w:rPr>
        <w:t>协会。</w:t>
      </w:r>
    </w:p>
    <w:p w14:paraId="681D0B3C">
      <w:pPr>
        <w:pStyle w:val="4"/>
        <w:bidi w:val="0"/>
        <w:rPr>
          <w:rFonts w:hint="eastAsia"/>
        </w:rPr>
      </w:pPr>
      <w:r>
        <w:rPr>
          <w:rFonts w:hint="eastAsia"/>
        </w:rPr>
        <w:t>【文学艺术活动】</w:t>
      </w:r>
    </w:p>
    <w:p w14:paraId="66B0B3F2">
      <w:pPr>
        <w:rPr>
          <w:rFonts w:hint="eastAsia"/>
        </w:rPr>
      </w:pPr>
      <w:r>
        <w:rPr>
          <w:rFonts w:hint="eastAsia"/>
        </w:rPr>
        <w:t>文联围绕市委市政府的中心工作开展各种文学艺术活动，做好文化服务。</w:t>
      </w:r>
      <w:r>
        <w:t>1月10</w:t>
      </w:r>
      <w:r>
        <w:rPr>
          <w:rFonts w:hint="eastAsia"/>
        </w:rPr>
        <w:t>日，举行</w:t>
      </w:r>
      <w:r>
        <w:t>2011-2012年度表彰大会暨2013年迎新</w:t>
      </w:r>
      <w:r>
        <w:rPr>
          <w:rFonts w:hint="eastAsia"/>
        </w:rPr>
        <w:t>春联欢会，表彰</w:t>
      </w:r>
      <w:r>
        <w:t>4个先进集体和77名先进个人</w:t>
      </w:r>
      <w:r>
        <w:rPr>
          <w:rFonts w:hint="eastAsia"/>
          <w:lang w:eastAsia="zh-CN"/>
        </w:rPr>
        <w:t>；</w:t>
      </w:r>
      <w:r>
        <w:rPr>
          <w:rFonts w:hint="eastAsia"/>
        </w:rPr>
        <w:t>春节期间，为南雄人民提供精神文化大餐，举办迎新春送春联活动和书法、赏石作品展览；</w:t>
      </w:r>
      <w:r>
        <w:t>4月，举</w:t>
      </w:r>
      <w:r>
        <w:rPr>
          <w:rFonts w:hint="eastAsia"/>
        </w:rPr>
        <w:t>办生态书画优秀作品活动；</w:t>
      </w:r>
      <w:r>
        <w:t>5月，在政府门口橱窗</w:t>
      </w:r>
      <w:r>
        <w:rPr>
          <w:rFonts w:hint="eastAsia"/>
        </w:rPr>
        <w:t>举办“情牵画梦，美丽家园”美术作品；</w:t>
      </w:r>
      <w:r>
        <w:t>2013年，</w:t>
      </w:r>
      <w:r>
        <w:rPr>
          <w:rFonts w:hint="eastAsia"/>
        </w:rPr>
        <w:t>作家协会分别在水口、湖口、油山、坪田四所中学发起“方圆杯”学生征文活动，激发学生的心灵美、文字美；</w:t>
      </w:r>
      <w:r>
        <w:t>8月，举办“中国梦”南雄市书画大</w:t>
      </w:r>
      <w:r>
        <w:rPr>
          <w:rFonts w:hint="eastAsia"/>
        </w:rPr>
        <w:t>赛，从</w:t>
      </w:r>
      <w:r>
        <w:t>148件书画作品中，评选出30幅获奖作品，</w:t>
      </w:r>
      <w:r>
        <w:rPr>
          <w:rFonts w:hint="eastAsia"/>
        </w:rPr>
        <w:t>展现文艺人士的中国梦；</w:t>
      </w:r>
      <w:r>
        <w:t>10月，在三影塔广场举办</w:t>
      </w:r>
      <w:r>
        <w:rPr>
          <w:rFonts w:hint="eastAsia"/>
        </w:rPr>
        <w:t>《走进生活，走近自然》美术作品精品展；</w:t>
      </w:r>
      <w:r>
        <w:t>11月，</w:t>
      </w:r>
      <w:r>
        <w:rPr>
          <w:rFonts w:hint="eastAsia"/>
        </w:rPr>
        <w:t>在市政府橱窗举办《雄韵金秋，醉美坪田》摄影展周宏忠“银杏染秋”专题摄影作品展；</w:t>
      </w:r>
      <w:r>
        <w:t>11月，</w:t>
      </w:r>
      <w:r>
        <w:rPr>
          <w:rFonts w:hint="eastAsia"/>
        </w:rPr>
        <w:t>诗社社员到坪田中学开展下乡服务基层传授诗书技艺活动。</w:t>
      </w:r>
    </w:p>
    <w:p w14:paraId="61C7724E">
      <w:pPr>
        <w:pStyle w:val="4"/>
        <w:bidi w:val="0"/>
        <w:rPr>
          <w:rFonts w:hint="eastAsia"/>
        </w:rPr>
      </w:pPr>
      <w:r>
        <w:rPr>
          <w:rFonts w:hint="eastAsia"/>
        </w:rPr>
        <w:t>【文化建设】</w:t>
      </w:r>
    </w:p>
    <w:p w14:paraId="4E515035">
      <w:pPr>
        <w:rPr>
          <w:rFonts w:hint="eastAsia"/>
        </w:rPr>
      </w:pPr>
      <w:r>
        <w:t>11月26日，以“弘扬中华传统文</w:t>
      </w:r>
      <w:r>
        <w:rPr>
          <w:rFonts w:hint="eastAsia"/>
        </w:rPr>
        <w:t>化实现民族伟大复兴”为主题，通过音诗画、表演唱、演讲、歌伴舞、配乐朗诵等表演形式把中华传统文化中的“孝、悌、忠、信、礼、义、廉、耻”诠释给广大观众，让观众对中华传统文化得到进</w:t>
      </w:r>
      <w:r>
        <w:rPr>
          <w:rFonts w:hint="eastAsia"/>
          <w:lang w:val="en-US" w:eastAsia="zh-CN"/>
        </w:rPr>
        <w:t>一</w:t>
      </w:r>
      <w:r>
        <w:rPr>
          <w:rFonts w:hint="eastAsia"/>
        </w:rPr>
        <w:t>步的了解，并使之得以继承和发扬；</w:t>
      </w:r>
      <w:r>
        <w:t>11月30日，</w:t>
      </w:r>
      <w:r>
        <w:rPr>
          <w:rFonts w:hint="eastAsia"/>
        </w:rPr>
        <w:t>又在三影塔广场举办敬老爱老文艺活动，通过文艺表演在社会上倡导发扬敬老爱老的优良传统，着力营造良好尊老爱老的社会氛围。</w:t>
      </w:r>
    </w:p>
    <w:p w14:paraId="489EBD59">
      <w:pPr>
        <w:pStyle w:val="4"/>
        <w:bidi w:val="0"/>
        <w:rPr>
          <w:rFonts w:hint="eastAsia"/>
        </w:rPr>
      </w:pPr>
      <w:r>
        <w:rPr>
          <w:rFonts w:hint="eastAsia"/>
        </w:rPr>
        <w:t>【阵地建设】</w:t>
      </w:r>
    </w:p>
    <w:p w14:paraId="0DD62464">
      <w:pPr>
        <w:rPr>
          <w:rFonts w:hint="eastAsia"/>
        </w:rPr>
      </w:pPr>
      <w:r>
        <w:rPr>
          <w:rFonts w:hint="eastAsia"/>
        </w:rPr>
        <w:t>为提升南雄软文化实力，组织人员挖掘、搜集整理一批颇具历史价值的文化资料，形成《珠玑姓氏文化丛书》书稿</w:t>
      </w:r>
      <w:r>
        <w:t>13卷。同时，巩固</w:t>
      </w:r>
      <w:r>
        <w:rPr>
          <w:rFonts w:hint="eastAsia"/>
          <w:lang w:eastAsia="zh-CN"/>
        </w:rPr>
        <w:t>《</w:t>
      </w:r>
      <w:r>
        <w:rPr>
          <w:rFonts w:hint="eastAsia"/>
        </w:rPr>
        <w:t>珠玑文艺》和《南雄文联网》文化建设阵地。</w:t>
      </w:r>
    </w:p>
    <w:p w14:paraId="77CA8505">
      <w:pPr>
        <w:pStyle w:val="4"/>
        <w:bidi w:val="0"/>
        <w:rPr>
          <w:rFonts w:hint="eastAsia"/>
        </w:rPr>
      </w:pPr>
      <w:r>
        <w:rPr>
          <w:rFonts w:hint="eastAsia"/>
        </w:rPr>
        <w:t>【古村落】</w:t>
      </w:r>
    </w:p>
    <w:p w14:paraId="05B2E029">
      <w:pPr>
        <w:rPr>
          <w:rFonts w:hint="eastAsia"/>
        </w:rPr>
      </w:pPr>
      <w:r>
        <w:rPr>
          <w:rFonts w:hint="eastAsia"/>
        </w:rPr>
        <w:t>市文联挖掘民间文化，注重对古村落历史文化的宣传引导，对古建筑物的古装饰、灰雕、木雕等艺术及建筑技巧进行搜集整理，提升软文化实力，</w:t>
      </w:r>
      <w:r>
        <w:t>2013年，完成水口镇篛过村省级“古村</w:t>
      </w:r>
      <w:r>
        <w:rPr>
          <w:rFonts w:hint="eastAsia"/>
        </w:rPr>
        <w:t>落”各项申报工作。</w:t>
      </w:r>
    </w:p>
    <w:p w14:paraId="55E0001C">
      <w:pPr>
        <w:pStyle w:val="4"/>
        <w:bidi w:val="0"/>
        <w:rPr>
          <w:rFonts w:hint="eastAsia"/>
        </w:rPr>
      </w:pPr>
      <w:r>
        <w:rPr>
          <w:rFonts w:hint="eastAsia"/>
        </w:rPr>
        <w:t>【文艺交流】</w:t>
      </w:r>
    </w:p>
    <w:p w14:paraId="7E4DCED1">
      <w:pPr>
        <w:rPr>
          <w:rFonts w:hint="eastAsia"/>
        </w:rPr>
      </w:pPr>
      <w:r>
        <w:t>11月9日，中国民间文艺家协会党</w:t>
      </w:r>
      <w:r>
        <w:rPr>
          <w:rFonts w:hint="eastAsia"/>
        </w:rPr>
        <w:t>组书记、专职副主席罗杨和省文联专职副主席李萍对该市珠玑古巷、梅关古道及新田古村落文化进行调研，为推动文化的大发展、大繁荣提出思路；</w:t>
      </w:r>
      <w:r>
        <w:t>12</w:t>
      </w:r>
      <w:r>
        <w:rPr>
          <w:rFonts w:hint="eastAsia"/>
        </w:rPr>
        <w:t>月</w:t>
      </w:r>
      <w:r>
        <w:t>22日，南雄中山两地书法作品展在珠玑书画院</w:t>
      </w:r>
      <w:r>
        <w:rPr>
          <w:rFonts w:hint="eastAsia"/>
        </w:rPr>
        <w:t>和中山市文联文艺家活动中心联展，展出</w:t>
      </w:r>
      <w:r>
        <w:t>88幅作</w:t>
      </w:r>
      <w:r>
        <w:rPr>
          <w:rFonts w:hint="eastAsia"/>
        </w:rPr>
        <w:t>品标签上都含有珠玑巷图案，联展对于弘扬优秀传统文化，提升珠玑巷知名度具有重要作用，推进两地文化繁荣发展。</w:t>
      </w:r>
      <w:r>
        <w:t>2013年，发挥桥梁和纽带的职能</w:t>
      </w:r>
      <w:r>
        <w:rPr>
          <w:rFonts w:hint="eastAsia"/>
        </w:rPr>
        <w:t>作用，开展学习交流活动，与江西信丰县、广州市花都区、中山市文艺界同仁交流文艺作品，在互相取长补短中致力于群众文艺的繁荣发展。</w:t>
      </w:r>
    </w:p>
    <w:p w14:paraId="33F7E6ED">
      <w:pPr>
        <w:pStyle w:val="4"/>
        <w:bidi w:val="0"/>
        <w:rPr>
          <w:rFonts w:hint="eastAsia"/>
        </w:rPr>
      </w:pPr>
      <w:r>
        <w:rPr>
          <w:rFonts w:hint="eastAsia"/>
        </w:rPr>
        <w:t>【文艺宣传】</w:t>
      </w:r>
    </w:p>
    <w:p w14:paraId="7B7E9AA8">
      <w:r>
        <w:rPr>
          <w:rFonts w:hint="eastAsia"/>
        </w:rPr>
        <w:t>抓好文艺宣传，为群众文艺营造良好氛围。</w:t>
      </w:r>
      <w:r>
        <w:t>2013年，韶关日报刊载该市文艺作者的文</w:t>
      </w:r>
      <w:r>
        <w:rPr>
          <w:rFonts w:hint="eastAsia"/>
        </w:rPr>
        <w:t>章</w:t>
      </w:r>
      <w:r>
        <w:t>8篇，宣传报道2篇，《广东文艺界》和《新世</w:t>
      </w:r>
      <w:r>
        <w:rPr>
          <w:rFonts w:hint="eastAsia"/>
        </w:rPr>
        <w:t>纪文坛》各报道南雄文艺动态</w:t>
      </w:r>
      <w:r>
        <w:t>2篇，出版《珠玑文</w:t>
      </w:r>
      <w:r>
        <w:rPr>
          <w:rFonts w:hint="eastAsia"/>
        </w:rPr>
        <w:t>艺》</w:t>
      </w:r>
      <w:r>
        <w:t>1期，《南雄文联网》更新文章30多篇。</w:t>
      </w:r>
    </w:p>
    <w:p w14:paraId="4E2C4638">
      <w:pPr>
        <w:jc w:val="right"/>
        <w:rPr>
          <w:rFonts w:hint="eastAsia"/>
          <w:b/>
          <w:bCs/>
        </w:rPr>
      </w:pPr>
      <w:r>
        <w:rPr>
          <w:rFonts w:hint="eastAsia"/>
          <w:b/>
          <w:bCs/>
        </w:rPr>
        <w:t>（赵才文）</w:t>
      </w:r>
    </w:p>
    <w:p w14:paraId="01845CF8">
      <w:pPr>
        <w:pStyle w:val="10"/>
        <w:bidi w:val="0"/>
        <w:rPr>
          <w:b/>
          <w:bCs/>
        </w:rPr>
      </w:pPr>
      <w:r>
        <w:rPr>
          <w:rFonts w:hint="eastAsia"/>
          <w:b/>
          <w:bCs/>
        </w:rPr>
        <w:t>附：</w:t>
      </w:r>
      <w:r>
        <w:rPr>
          <w:b/>
          <w:bCs/>
        </w:rPr>
        <w:t>2013年市文联领导班子成员名单</w:t>
      </w:r>
    </w:p>
    <w:p w14:paraId="0841590D">
      <w:pPr>
        <w:pStyle w:val="10"/>
        <w:bidi w:val="0"/>
        <w:rPr>
          <w:rFonts w:hint="eastAsia"/>
        </w:rPr>
      </w:pPr>
      <w:r>
        <w:rPr>
          <w:rFonts w:hint="eastAsia"/>
          <w:b/>
          <w:bCs/>
        </w:rPr>
        <w:t>负责人：</w:t>
      </w:r>
      <w:r>
        <w:rPr>
          <w:rFonts w:hint="eastAsia"/>
        </w:rPr>
        <w:t>刘甫梅</w:t>
      </w:r>
    </w:p>
    <w:p w14:paraId="478214D5">
      <w:pPr>
        <w:pStyle w:val="4"/>
        <w:bidi w:val="0"/>
        <w:rPr>
          <w:rFonts w:hint="eastAsia"/>
        </w:rPr>
      </w:pPr>
      <w:r>
        <w:rPr>
          <w:rFonts w:hint="eastAsia"/>
        </w:rPr>
        <w:t>【广东南雄珠玑书画院】</w:t>
      </w:r>
    </w:p>
    <w:p w14:paraId="06DB2CB5">
      <w:r>
        <w:rPr>
          <w:rFonts w:hint="eastAsia"/>
        </w:rPr>
        <w:t>该院成立于</w:t>
      </w:r>
      <w:r>
        <w:t>2012年1</w:t>
      </w:r>
      <w:r>
        <w:rPr>
          <w:rFonts w:hint="eastAsia"/>
        </w:rPr>
        <w:t>月，旨在弘扬珠玑文化，传播岭南文明，是集研究、创作、培训、展览、出版、交流、收藏为一体的社会文化团体。刘烈章任书面院院长。</w:t>
      </w:r>
      <w:r>
        <w:t>2013年1</w:t>
      </w:r>
      <w:r>
        <w:rPr>
          <w:rFonts w:hint="eastAsia"/>
        </w:rPr>
        <w:t>月</w:t>
      </w:r>
      <w:r>
        <w:t>30日，与韶关九龄书画院联合举办迎新春书画</w:t>
      </w:r>
      <w:r>
        <w:rPr>
          <w:rFonts w:hint="eastAsia"/>
        </w:rPr>
        <w:t>作品展，此次共展出书画作品</w:t>
      </w:r>
      <w:r>
        <w:t>93幅，书法有篆</w:t>
      </w:r>
      <w:r>
        <w:rPr>
          <w:rFonts w:hint="eastAsia"/>
          <w:lang w:eastAsia="zh-CN"/>
        </w:rPr>
        <w:t>、</w:t>
      </w:r>
      <w:r>
        <w:rPr>
          <w:rFonts w:hint="eastAsia"/>
        </w:rPr>
        <w:t>隶、楷、行、草各体，国画工写兼备。</w:t>
      </w:r>
      <w:r>
        <w:t>2013年9月26日上午，中国梦南雄市书画大赛颁奖仪式暨获奖</w:t>
      </w:r>
      <w:r>
        <w:rPr>
          <w:rFonts w:hint="eastAsia"/>
        </w:rPr>
        <w:t>作品展在珠玑书画院举行。市委宣传部、市文联领导对获奖者进行颁奖。</w:t>
      </w:r>
      <w:r>
        <w:t>2013年，珠玑书画院黄飞的</w:t>
      </w:r>
      <w:r>
        <w:rPr>
          <w:rFonts w:hint="eastAsia"/>
        </w:rPr>
        <w:t>作品获广东省第二届张九龄书法篆刻作品获优秀奖。</w:t>
      </w:r>
      <w:r>
        <w:t>2013年11月28日，珠玑书画院院长刘烈章</w:t>
      </w:r>
      <w:r>
        <w:rPr>
          <w:rFonts w:hint="eastAsia"/>
          <w:lang w:eastAsia="zh-CN"/>
        </w:rPr>
        <w:t>、</w:t>
      </w:r>
      <w:r>
        <w:rPr>
          <w:rFonts w:hint="eastAsia"/>
        </w:rPr>
        <w:t>副院长邓功篪、张铭星、钟俊康等</w:t>
      </w:r>
      <w:r>
        <w:t>5人前往水口中</w:t>
      </w:r>
      <w:r>
        <w:rPr>
          <w:rFonts w:hint="eastAsia"/>
        </w:rPr>
        <w:t>学开展书法进校园活动。</w:t>
      </w:r>
      <w:r>
        <w:t>2013年12月，“南雄、中</w:t>
      </w:r>
      <w:r>
        <w:rPr>
          <w:rFonts w:hint="eastAsia"/>
        </w:rPr>
        <w:t>山两地书法作品联展”在广东南雄珠玑书画院”举行，中山市书协副主席吴大勤、林文靖，江西省大余县书协主席李辉，以及南雄、中山两地书法家和书法爱好者</w:t>
      </w:r>
      <w:r>
        <w:t>100多人参加联展活动。</w:t>
      </w:r>
    </w:p>
    <w:p w14:paraId="7FCE86A2">
      <w:pPr>
        <w:jc w:val="right"/>
        <w:rPr>
          <w:rFonts w:hint="eastAsia"/>
          <w:b/>
          <w:bCs/>
        </w:rPr>
      </w:pPr>
      <w:r>
        <w:rPr>
          <w:rFonts w:hint="eastAsia"/>
          <w:b/>
          <w:bCs/>
        </w:rPr>
        <w:t>（珠玑书画院）</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3EABF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15FA0539">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7440" cy="4594860"/>
                  <wp:effectExtent l="0" t="0" r="3810" b="15240"/>
                  <wp:docPr id="51" name="图片 51" descr="南雄年鉴2014-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南雄年鉴2014-051"/>
                          <pic:cNvPicPr>
                            <a:picLocks noChangeAspect="1"/>
                          </pic:cNvPicPr>
                        </pic:nvPicPr>
                        <pic:blipFill>
                          <a:blip r:embed="rId121"/>
                          <a:stretch>
                            <a:fillRect/>
                          </a:stretch>
                        </pic:blipFill>
                        <pic:spPr>
                          <a:xfrm>
                            <a:off x="0" y="0"/>
                            <a:ext cx="6187440" cy="4594860"/>
                          </a:xfrm>
                          <a:prstGeom prst="rect">
                            <a:avLst/>
                          </a:prstGeom>
                        </pic:spPr>
                      </pic:pic>
                    </a:graphicData>
                  </a:graphic>
                </wp:inline>
              </w:drawing>
            </w:r>
          </w:p>
        </w:tc>
      </w:tr>
    </w:tbl>
    <w:p w14:paraId="19FC4E9A">
      <w:pPr>
        <w:pStyle w:val="2"/>
        <w:bidi w:val="0"/>
        <w:rPr>
          <w:rFonts w:hint="eastAsia"/>
        </w:rPr>
      </w:pPr>
      <w:r>
        <w:rPr>
          <w:rFonts w:hint="eastAsia"/>
        </w:rPr>
        <w:t>政法</w:t>
      </w:r>
    </w:p>
    <w:p w14:paraId="4A1689B8">
      <w:pPr>
        <w:pStyle w:val="3"/>
        <w:bidi w:val="0"/>
        <w:rPr>
          <w:rFonts w:hint="default"/>
          <w:lang w:val="en-US" w:eastAsia="zh-CN"/>
        </w:rPr>
      </w:pPr>
      <w:r>
        <w:rPr>
          <w:rFonts w:hint="eastAsia"/>
          <w:lang w:val="en-US" w:eastAsia="zh-CN"/>
        </w:rPr>
        <w:t xml:space="preserve">综述 </w:t>
      </w:r>
    </w:p>
    <w:p w14:paraId="0249B57A">
      <w:pPr>
        <w:pStyle w:val="4"/>
        <w:bidi w:val="0"/>
        <w:rPr>
          <w:rFonts w:hint="eastAsia"/>
        </w:rPr>
      </w:pPr>
      <w:r>
        <w:rPr>
          <w:rFonts w:hint="eastAsia"/>
        </w:rPr>
        <w:t>【概况】</w:t>
      </w:r>
    </w:p>
    <w:p w14:paraId="0EE222E8">
      <w:r>
        <w:rPr>
          <w:rFonts w:hint="eastAsia"/>
        </w:rPr>
        <w:t>中共南雄市委政法委员会协助市委统</w:t>
      </w:r>
      <w:r>
        <w:rPr>
          <w:rFonts w:hint="eastAsia"/>
          <w:lang w:val="en-US" w:eastAsia="zh-CN"/>
        </w:rPr>
        <w:t>一</w:t>
      </w:r>
      <w:r>
        <w:rPr>
          <w:rFonts w:hint="eastAsia"/>
        </w:rPr>
        <w:t>领导和管理南雄市政法工作。内设社会管理综合治理委员会办公室、市委防范和处理邪教问题领导小组办公室、市委社会工作委员会办公室。禁毒办与市委政法委合署办公。内设机构总数核定</w:t>
      </w:r>
      <w:r>
        <w:t>7个，核</w:t>
      </w:r>
      <w:r>
        <w:rPr>
          <w:rFonts w:hint="eastAsia"/>
        </w:rPr>
        <w:t>定编制</w:t>
      </w:r>
      <w:r>
        <w:t>14人，其中后勤编制1人。</w:t>
      </w:r>
    </w:p>
    <w:p w14:paraId="64D0C414">
      <w:pPr>
        <w:pStyle w:val="4"/>
        <w:bidi w:val="0"/>
        <w:rPr>
          <w:rFonts w:hint="eastAsia"/>
        </w:rPr>
      </w:pPr>
      <w:r>
        <w:rPr>
          <w:rFonts w:hint="eastAsia"/>
          <w:lang w:eastAsia="zh-CN"/>
        </w:rPr>
        <w:t>【</w:t>
      </w:r>
      <w:r>
        <w:rPr>
          <w:rFonts w:hint="eastAsia"/>
        </w:rPr>
        <w:t>政法工作】</w:t>
      </w:r>
    </w:p>
    <w:p w14:paraId="48927D17">
      <w:pPr>
        <w:rPr>
          <w:rFonts w:hint="eastAsia"/>
        </w:rPr>
      </w:pPr>
      <w:r>
        <w:rPr>
          <w:rFonts w:hint="eastAsia"/>
        </w:rPr>
        <w:t>围绕创建“平安南雄”这一目标，扎实推进政法各项工作，政法机关严打暴力刑事犯罪、经济领域违法犯罪、毒品违法犯罪。</w:t>
      </w:r>
      <w:r>
        <w:t>2013年刑</w:t>
      </w:r>
      <w:r>
        <w:rPr>
          <w:rFonts w:hint="eastAsia"/>
        </w:rPr>
        <w:t>事案件</w:t>
      </w:r>
      <w:r>
        <w:t>1011宗，破355宗，其中重大案件90宗破57宗，破案率63%；</w:t>
      </w:r>
      <w:r>
        <w:rPr>
          <w:rFonts w:hint="eastAsia"/>
          <w:lang w:eastAsia="zh-CN"/>
        </w:rPr>
        <w:t>查</w:t>
      </w:r>
      <w:r>
        <w:t>处涉黄涉赌案件60宗，处</w:t>
      </w:r>
      <w:r>
        <w:rPr>
          <w:rFonts w:hint="eastAsia"/>
        </w:rPr>
        <w:t>理</w:t>
      </w:r>
      <w:r>
        <w:t>248人；破获毒品案件13宗，抓获犯罪嫌疑人16人；受理和</w:t>
      </w:r>
      <w:r>
        <w:rPr>
          <w:rFonts w:hint="eastAsia"/>
          <w:lang w:eastAsia="zh-CN"/>
        </w:rPr>
        <w:t>查</w:t>
      </w:r>
      <w:r>
        <w:t>处治安案件1872起，</w:t>
      </w:r>
      <w:r>
        <w:rPr>
          <w:rFonts w:hint="eastAsia"/>
          <w:lang w:eastAsia="zh-CN"/>
        </w:rPr>
        <w:t>查</w:t>
      </w:r>
      <w:r>
        <w:t>结1412</w:t>
      </w:r>
      <w:r>
        <w:rPr>
          <w:rFonts w:hint="eastAsia"/>
        </w:rPr>
        <w:t>件，</w:t>
      </w:r>
      <w:r>
        <w:rPr>
          <w:rFonts w:hint="eastAsia"/>
          <w:lang w:eastAsia="zh-CN"/>
        </w:rPr>
        <w:t>查</w:t>
      </w:r>
      <w:r>
        <w:rPr>
          <w:rFonts w:hint="eastAsia"/>
        </w:rPr>
        <w:t>结率</w:t>
      </w:r>
      <w:r>
        <w:t>75%，</w:t>
      </w:r>
      <w:r>
        <w:rPr>
          <w:rFonts w:hint="eastAsia"/>
          <w:lang w:eastAsia="zh-CN"/>
        </w:rPr>
        <w:t>查</w:t>
      </w:r>
      <w:r>
        <w:t>处违法人员1682人次。同时，</w:t>
      </w:r>
      <w:r>
        <w:rPr>
          <w:rFonts w:hint="eastAsia"/>
        </w:rPr>
        <w:t>加强监督，规范执法司法行为，维护法律公平正义。推进依法行政建设，强化诉讼监督，建立健全“两法衔接”信息共享平台。坚持“依法公开、及时公开、全面公开、规范公开”原则，加大执法司法信息公开力度，拓宽监督渠道。</w:t>
      </w:r>
    </w:p>
    <w:p w14:paraId="5D6CC0A8">
      <w:pPr>
        <w:pStyle w:val="4"/>
        <w:bidi w:val="0"/>
        <w:rPr>
          <w:rFonts w:hint="eastAsia"/>
        </w:rPr>
      </w:pPr>
      <w:r>
        <w:rPr>
          <w:rFonts w:hint="eastAsia"/>
        </w:rPr>
        <w:t>【社会管理综合治理工作】</w:t>
      </w:r>
    </w:p>
    <w:p w14:paraId="5F0220AD">
      <w:r>
        <w:rPr>
          <w:rFonts w:hint="eastAsia"/>
        </w:rPr>
        <w:t>开展“平安细胞”建设和专项治理工作成效明显，建立健全立体化社会</w:t>
      </w:r>
      <w:r>
        <w:rPr>
          <w:rFonts w:hint="eastAsia"/>
          <w:lang w:eastAsia="zh-CN"/>
        </w:rPr>
        <w:t>治</w:t>
      </w:r>
      <w:r>
        <w:rPr>
          <w:rFonts w:hint="eastAsia"/>
        </w:rPr>
        <w:t>安防控体系，社会治安状况良好，群众安全感及满意度有所增强，社会公共安全水平不断提高，在韶关市开展主动治理，及时化解社会矛盾群众安全感及满意度测评中，南雄在韶关市排名第一。</w:t>
      </w:r>
      <w:r>
        <w:t>2013</w:t>
      </w:r>
      <w:r>
        <w:rPr>
          <w:rFonts w:hint="eastAsia"/>
        </w:rPr>
        <w:t>年排</w:t>
      </w:r>
      <w:r>
        <w:rPr>
          <w:rFonts w:hint="eastAsia"/>
          <w:lang w:eastAsia="zh-CN"/>
        </w:rPr>
        <w:t>查</w:t>
      </w:r>
      <w:r>
        <w:rPr>
          <w:rFonts w:hint="eastAsia"/>
        </w:rPr>
        <w:t>调处矛盾纠纷</w:t>
      </w:r>
      <w:r>
        <w:t>468次839起，受理涉法涉诉</w:t>
      </w:r>
      <w:r>
        <w:rPr>
          <w:rFonts w:hint="eastAsia"/>
        </w:rPr>
        <w:t>信访案件</w:t>
      </w:r>
      <w:r>
        <w:t>80宗，已经办结73宗，停访息诉72宗。</w:t>
      </w:r>
    </w:p>
    <w:p w14:paraId="65C9ACC0">
      <w:pPr>
        <w:pStyle w:val="4"/>
        <w:bidi w:val="0"/>
        <w:rPr>
          <w:rFonts w:hint="eastAsia"/>
        </w:rPr>
      </w:pPr>
      <w:r>
        <w:rPr>
          <w:rFonts w:hint="eastAsia"/>
        </w:rPr>
        <w:t>【社会工作】</w:t>
      </w:r>
    </w:p>
    <w:p w14:paraId="0DF29C64">
      <w:pPr>
        <w:rPr>
          <w:rFonts w:hint="eastAsia"/>
        </w:rPr>
      </w:pPr>
      <w:r>
        <w:rPr>
          <w:rFonts w:hint="eastAsia"/>
        </w:rPr>
        <w:t>按照构建社会主义和谐社会的理念，社会工作以人人享有基本公共服务为目标，以改革创新为动力，强化政府社会管理和公共服务职能，着力保障和改善民生，完善社会服务，创新社会管理，加强社会规范，促进社会公平正义。开展社区建设，强化社区服务能力。</w:t>
      </w:r>
      <w:r>
        <w:t>2013年社工委牵头，联</w:t>
      </w:r>
      <w:r>
        <w:rPr>
          <w:rFonts w:hint="eastAsia"/>
        </w:rPr>
        <w:t>合城管、</w:t>
      </w:r>
      <w:r>
        <w:rPr>
          <w:rFonts w:hint="eastAsia"/>
          <w:lang w:val="en-US" w:eastAsia="zh-CN"/>
        </w:rPr>
        <w:t>卫</w:t>
      </w:r>
      <w:r>
        <w:rPr>
          <w:rFonts w:hint="eastAsia"/>
        </w:rPr>
        <w:t>生、团委、妇联等多个部门在雄州街道民主社区建立社区服务中心示范点，确立社区服务中心的</w:t>
      </w:r>
      <w:r>
        <w:t>7项服务项目：法律咨询服务、民政帮扶服</w:t>
      </w:r>
      <w:r>
        <w:rPr>
          <w:rFonts w:hint="eastAsia"/>
        </w:rPr>
        <w:t>务、计划生育服务、文体教育服务、环境卫生服务、外来人口管理服务、志愿者服务。探索通过社区服务中心提供的各类服务项目帮助社区解决养老抚幼、助残帮困等民生问题。</w:t>
      </w:r>
    </w:p>
    <w:p w14:paraId="6C6393BA">
      <w:pPr>
        <w:pStyle w:val="4"/>
        <w:bidi w:val="0"/>
        <w:rPr>
          <w:rFonts w:hint="eastAsia"/>
        </w:rPr>
      </w:pPr>
      <w:r>
        <w:rPr>
          <w:rFonts w:hint="eastAsia"/>
        </w:rPr>
        <w:t>【防邪工作】</w:t>
      </w:r>
    </w:p>
    <w:p w14:paraId="14FDFA58">
      <w:r>
        <w:rPr>
          <w:rFonts w:hint="eastAsia"/>
        </w:rPr>
        <w:t>加大对“法轮功”、“全能神”邪教组织的防范打击力度，依法处理“全能神”骨干成员</w:t>
      </w:r>
      <w:r>
        <w:t>4人。</w:t>
      </w:r>
    </w:p>
    <w:p w14:paraId="6194E384">
      <w:pPr>
        <w:pStyle w:val="4"/>
        <w:bidi w:val="0"/>
        <w:rPr>
          <w:rFonts w:hint="eastAsia"/>
        </w:rPr>
      </w:pPr>
      <w:r>
        <w:rPr>
          <w:rFonts w:hint="eastAsia"/>
        </w:rPr>
        <w:t>【队伍建设】</w:t>
      </w:r>
    </w:p>
    <w:p w14:paraId="17725B0E">
      <w:pPr>
        <w:rPr>
          <w:rFonts w:hint="eastAsia"/>
          <w:lang w:eastAsia="zh-CN"/>
        </w:rPr>
      </w:pPr>
      <w:r>
        <w:rPr>
          <w:rFonts w:hint="eastAsia"/>
        </w:rPr>
        <w:t>围绕开展“面向基层、整顿作风、服务群众”教育实践活动，结合落实中央八项规定，集中开展整治“慵懒散奢”不良风气专项活动，政法干警的纪律作风大为转变。司法局周文斌被授予全国“模范人民调解员”、省“调解能手”，公安局、法院等单位</w:t>
      </w:r>
      <w:r>
        <w:t>10人立三等功，71人评为单</w:t>
      </w:r>
      <w:r>
        <w:rPr>
          <w:rFonts w:hint="eastAsia"/>
        </w:rPr>
        <w:t>位先进个人</w:t>
      </w:r>
      <w:r>
        <w:rPr>
          <w:rFonts w:hint="eastAsia"/>
          <w:lang w:eastAsia="zh-CN"/>
        </w:rPr>
        <w:t>。</w:t>
      </w:r>
    </w:p>
    <w:p w14:paraId="544B528A">
      <w:pPr>
        <w:jc w:val="right"/>
        <w:rPr>
          <w:rFonts w:hint="eastAsia"/>
          <w:b/>
          <w:bCs/>
        </w:rPr>
      </w:pPr>
      <w:r>
        <w:rPr>
          <w:rFonts w:hint="eastAsia"/>
          <w:b/>
          <w:bCs/>
        </w:rPr>
        <w:t>（黄时清）</w:t>
      </w:r>
    </w:p>
    <w:p w14:paraId="231CDB28">
      <w:pPr>
        <w:pStyle w:val="10"/>
        <w:bidi w:val="0"/>
        <w:rPr>
          <w:b/>
          <w:bCs/>
        </w:rPr>
      </w:pPr>
      <w:r>
        <w:rPr>
          <w:rFonts w:hint="eastAsia"/>
          <w:b/>
          <w:bCs/>
        </w:rPr>
        <w:t>附：</w:t>
      </w:r>
      <w:r>
        <w:rPr>
          <w:b/>
          <w:bCs/>
        </w:rPr>
        <w:t>2013年市政法委领导班子成员名单</w:t>
      </w:r>
    </w:p>
    <w:p w14:paraId="111B807B">
      <w:pPr>
        <w:pStyle w:val="10"/>
        <w:bidi w:val="0"/>
        <w:rPr>
          <w:rFonts w:hint="eastAsia"/>
        </w:rPr>
      </w:pPr>
      <w:r>
        <w:rPr>
          <w:rFonts w:hint="eastAsia"/>
          <w:b/>
          <w:bCs/>
        </w:rPr>
        <w:t>书</w:t>
      </w:r>
      <w:r>
        <w:rPr>
          <w:rFonts w:hint="eastAsia"/>
          <w:b/>
          <w:bCs/>
          <w:lang w:val="en-US" w:eastAsia="zh-CN"/>
        </w:rPr>
        <w:t xml:space="preserve">  </w:t>
      </w:r>
      <w:r>
        <w:rPr>
          <w:rFonts w:hint="eastAsia"/>
          <w:b/>
          <w:bCs/>
        </w:rPr>
        <w:t>记：</w:t>
      </w:r>
      <w:r>
        <w:rPr>
          <w:rFonts w:hint="eastAsia"/>
        </w:rPr>
        <w:t>刘发龙（兼）</w:t>
      </w:r>
    </w:p>
    <w:p w14:paraId="194A5B57">
      <w:pPr>
        <w:pStyle w:val="10"/>
        <w:bidi w:val="0"/>
        <w:rPr>
          <w:rFonts w:hint="eastAsia"/>
        </w:rPr>
      </w:pPr>
      <w:r>
        <w:rPr>
          <w:rFonts w:hint="eastAsia"/>
          <w:b/>
          <w:bCs/>
        </w:rPr>
        <w:t>副书记：</w:t>
      </w:r>
      <w:r>
        <w:rPr>
          <w:rFonts w:hint="eastAsia"/>
        </w:rPr>
        <w:t>刘悦明（兼）</w:t>
      </w:r>
      <w:r>
        <w:rPr>
          <w:rFonts w:hint="eastAsia"/>
          <w:lang w:val="en-US" w:eastAsia="zh-CN"/>
        </w:rPr>
        <w:t xml:space="preserve">   </w:t>
      </w:r>
      <w:r>
        <w:rPr>
          <w:rFonts w:hint="eastAsia"/>
        </w:rPr>
        <w:t>陈伦寿</w:t>
      </w:r>
      <w:r>
        <w:rPr>
          <w:rFonts w:hint="eastAsia"/>
          <w:lang w:val="en-US" w:eastAsia="zh-CN"/>
        </w:rPr>
        <w:t xml:space="preserve">   </w:t>
      </w:r>
      <w:r>
        <w:rPr>
          <w:rFonts w:hint="eastAsia"/>
        </w:rPr>
        <w:t>杨应生</w:t>
      </w:r>
    </w:p>
    <w:p w14:paraId="1FA1BC85">
      <w:pPr>
        <w:pStyle w:val="10"/>
        <w:bidi w:val="0"/>
        <w:ind w:leftChars="400"/>
        <w:rPr>
          <w:rFonts w:hint="eastAsia"/>
        </w:rPr>
      </w:pPr>
      <w:r>
        <w:rPr>
          <w:rFonts w:hint="eastAsia"/>
        </w:rPr>
        <w:t>叶建英</w:t>
      </w:r>
      <w:r>
        <w:rPr>
          <w:rFonts w:hint="eastAsia"/>
          <w:lang w:val="en-US" w:eastAsia="zh-CN"/>
        </w:rPr>
        <w:t xml:space="preserve">   </w:t>
      </w:r>
      <w:r>
        <w:rPr>
          <w:rFonts w:hint="eastAsia"/>
        </w:rPr>
        <w:t>苏德椿</w:t>
      </w:r>
    </w:p>
    <w:p w14:paraId="5E7A913D">
      <w:pPr>
        <w:pStyle w:val="10"/>
        <w:bidi w:val="0"/>
        <w:rPr>
          <w:rFonts w:hint="eastAsia"/>
        </w:rPr>
      </w:pPr>
      <w:r>
        <w:rPr>
          <w:rFonts w:hint="eastAsia"/>
          <w:b/>
          <w:bCs/>
        </w:rPr>
        <w:t>政法中心纪检组长：</w:t>
      </w:r>
      <w:r>
        <w:rPr>
          <w:rFonts w:hint="eastAsia"/>
        </w:rPr>
        <w:t>陈世旺</w:t>
      </w:r>
    </w:p>
    <w:p w14:paraId="169A1330">
      <w:pPr>
        <w:pStyle w:val="3"/>
        <w:bidi w:val="0"/>
        <w:rPr>
          <w:rFonts w:hint="eastAsia"/>
          <w:lang w:val="en-US" w:eastAsia="zh-CN"/>
        </w:rPr>
      </w:pPr>
      <w:r>
        <w:rPr>
          <w:rFonts w:hint="eastAsia"/>
          <w:lang w:val="en-US" w:eastAsia="zh-CN"/>
        </w:rPr>
        <w:t>公安</w:t>
      </w:r>
    </w:p>
    <w:p w14:paraId="1C49E82E">
      <w:pPr>
        <w:pStyle w:val="4"/>
        <w:bidi w:val="0"/>
        <w:rPr>
          <w:rFonts w:hint="eastAsia"/>
        </w:rPr>
      </w:pPr>
      <w:r>
        <w:rPr>
          <w:rFonts w:hint="eastAsia"/>
          <w:lang w:eastAsia="zh-CN"/>
        </w:rPr>
        <w:t>【</w:t>
      </w:r>
      <w:r>
        <w:rPr>
          <w:rFonts w:hint="eastAsia"/>
        </w:rPr>
        <w:t>概况】</w:t>
      </w:r>
    </w:p>
    <w:p w14:paraId="5CB14AC0">
      <w:r>
        <w:rPr>
          <w:rFonts w:hint="eastAsia"/>
        </w:rPr>
        <w:t>南雄市公安局为南雄市人民政府工作部门，正科级单位，位于南雄市雄州街道雄中路</w:t>
      </w:r>
      <w:r>
        <w:t>338</w:t>
      </w:r>
      <w:r>
        <w:rPr>
          <w:rFonts w:hint="eastAsia"/>
        </w:rPr>
        <w:t>号。主要职能是维护社会治安秩序，侦破处置危害国家安全案件和一切刑事、</w:t>
      </w:r>
      <w:r>
        <w:rPr>
          <w:rFonts w:hint="eastAsia"/>
          <w:lang w:eastAsia="zh-CN"/>
        </w:rPr>
        <w:t>治</w:t>
      </w:r>
      <w:r>
        <w:rPr>
          <w:rFonts w:hint="eastAsia"/>
        </w:rPr>
        <w:t>安案件及各类治安事件，管理治安、出入境、户政、网监和交通安全消防安全以及看守所、拘留所工作，组织实施警卫任务和大型会议、群体活动的安保工作，监督各机关、企事业单位的安全保卫工作和治安保卫组织建设等。内设机构</w:t>
      </w:r>
      <w:r>
        <w:t>14个（其中副科级建制12个、正</w:t>
      </w:r>
      <w:r>
        <w:rPr>
          <w:rFonts w:hint="eastAsia"/>
        </w:rPr>
        <w:t>股级建制</w:t>
      </w:r>
      <w:r>
        <w:t>2个），副科级建制的派出所23个，看守</w:t>
      </w:r>
      <w:r>
        <w:rPr>
          <w:rFonts w:hint="eastAsia"/>
        </w:rPr>
        <w:t>所、拘留所各</w:t>
      </w:r>
      <w:r>
        <w:t>1个。在职人员405人，其中民警400人、职工5人。2013年，7人荣立个人三等功</w:t>
      </w:r>
      <w:r>
        <w:rPr>
          <w:rFonts w:hint="eastAsia"/>
          <w:lang w:eastAsia="zh-CN"/>
        </w:rPr>
        <w:t>、</w:t>
      </w:r>
      <w:r>
        <w:t>2个部门荣立集体三等功。</w:t>
      </w:r>
    </w:p>
    <w:p w14:paraId="40F150A1">
      <w:pPr>
        <w:pStyle w:val="4"/>
        <w:bidi w:val="0"/>
        <w:rPr>
          <w:rFonts w:hint="eastAsia"/>
        </w:rPr>
      </w:pPr>
      <w:r>
        <w:rPr>
          <w:rFonts w:hint="eastAsia"/>
        </w:rPr>
        <w:t>【雏维稳工作】</w:t>
      </w:r>
    </w:p>
    <w:p w14:paraId="367B133D">
      <w:pPr>
        <w:rPr>
          <w:rFonts w:hint="eastAsia"/>
        </w:rPr>
      </w:pPr>
      <w:r>
        <w:rPr>
          <w:rFonts w:hint="eastAsia"/>
        </w:rPr>
        <w:t>强化情报信息工作，掌握社会面动态，开展“信访积案化解年”活动，及时调处化解矛盾纠纷。全警动员，全力以赴，为党的十八</w:t>
      </w:r>
      <w:r>
        <w:rPr>
          <w:rFonts w:hint="eastAsia"/>
          <w:lang w:val="en-US" w:eastAsia="zh-CN"/>
        </w:rPr>
        <w:t>届</w:t>
      </w:r>
      <w:r>
        <w:rPr>
          <w:rFonts w:hint="eastAsia"/>
        </w:rPr>
        <w:t>三中全会胜利召开创造安全稳定的社会环境。</w:t>
      </w:r>
    </w:p>
    <w:p w14:paraId="3B0CC26F">
      <w:pPr>
        <w:pStyle w:val="4"/>
        <w:bidi w:val="0"/>
        <w:rPr>
          <w:rFonts w:hint="eastAsia"/>
        </w:rPr>
      </w:pPr>
      <w:r>
        <w:rPr>
          <w:rFonts w:hint="eastAsia"/>
        </w:rPr>
        <w:t>【严打专项斗争】</w:t>
      </w:r>
    </w:p>
    <w:p w14:paraId="7A37804B">
      <w:r>
        <w:rPr>
          <w:rFonts w:hint="eastAsia"/>
        </w:rPr>
        <w:t>以专项行动为主战场，组织开展“</w:t>
      </w:r>
      <w:r>
        <w:rPr>
          <w:rFonts w:hint="eastAsia"/>
          <w:lang w:eastAsia="zh-CN"/>
        </w:rPr>
        <w:t>粤</w:t>
      </w:r>
      <w:r>
        <w:rPr>
          <w:rFonts w:hint="eastAsia"/>
        </w:rPr>
        <w:t>安</w:t>
      </w:r>
      <w:r>
        <w:t>13”、“雷霆扫毒”、“打盗抢、保民安”</w:t>
      </w:r>
      <w:r>
        <w:rPr>
          <w:rFonts w:hint="eastAsia"/>
        </w:rPr>
        <w:t>“打假”一系列严打专项行动，遏制刑事案件的发生。破刑事案件</w:t>
      </w:r>
      <w:r>
        <w:t>355宗，其中，破“两抢一盗”案</w:t>
      </w:r>
      <w:r>
        <w:rPr>
          <w:rFonts w:hint="eastAsia"/>
        </w:rPr>
        <w:t>件</w:t>
      </w:r>
      <w:r>
        <w:t>277宗、毒品案件13宗、经济犯罪案件9宗。抓</w:t>
      </w:r>
      <w:r>
        <w:rPr>
          <w:rFonts w:hint="eastAsia"/>
        </w:rPr>
        <w:t>获各类刑事犯罪嫌疑人</w:t>
      </w:r>
      <w:r>
        <w:t>174名。</w:t>
      </w:r>
    </w:p>
    <w:p w14:paraId="5666B1A7">
      <w:pPr>
        <w:pStyle w:val="4"/>
        <w:bidi w:val="0"/>
        <w:rPr>
          <w:rFonts w:hint="eastAsia"/>
        </w:rPr>
      </w:pPr>
      <w:r>
        <w:rPr>
          <w:rFonts w:hint="eastAsia"/>
          <w:lang w:eastAsia="zh-CN"/>
        </w:rPr>
        <w:t>【</w:t>
      </w:r>
      <w:r>
        <w:rPr>
          <w:rFonts w:hint="eastAsia"/>
        </w:rPr>
        <w:t>社会治安管理】</w:t>
      </w:r>
    </w:p>
    <w:p w14:paraId="433618D6">
      <w:pPr>
        <w:rPr>
          <w:rFonts w:hint="eastAsia"/>
          <w:lang w:eastAsia="zh-CN"/>
        </w:rPr>
      </w:pPr>
      <w:r>
        <w:rPr>
          <w:rFonts w:hint="eastAsia"/>
        </w:rPr>
        <w:t>开展扫黄扫赌“无声风暴”</w:t>
      </w:r>
      <w:r>
        <w:rPr>
          <w:rFonts w:hint="eastAsia"/>
          <w:lang w:eastAsia="zh-CN"/>
        </w:rPr>
        <w:t>、</w:t>
      </w:r>
      <w:r>
        <w:rPr>
          <w:rFonts w:hint="eastAsia"/>
        </w:rPr>
        <w:t>“打四黑除四害”、“夏秋社会治安整治”、“护校安园”专项行动，开展重点地区治安整治，强化社会面的治安防控。加强派出所基层基础建设，油山、南亩、古市三个派出所被省公安厅授予二级派出所。</w:t>
      </w:r>
      <w:r>
        <w:t>2013年</w:t>
      </w:r>
      <w:r>
        <w:rPr>
          <w:rFonts w:hint="eastAsia"/>
          <w:lang w:eastAsia="zh-CN"/>
        </w:rPr>
        <w:t>查</w:t>
      </w:r>
      <w:r>
        <w:t>处治安案件1872起，</w:t>
      </w:r>
      <w:r>
        <w:rPr>
          <w:rFonts w:hint="eastAsia"/>
          <w:lang w:eastAsia="zh-CN"/>
        </w:rPr>
        <w:t>查</w:t>
      </w:r>
      <w:r>
        <w:t>结1412起，</w:t>
      </w:r>
      <w:r>
        <w:rPr>
          <w:rFonts w:hint="eastAsia"/>
          <w:lang w:eastAsia="zh-CN"/>
        </w:rPr>
        <w:t>查</w:t>
      </w:r>
      <w:r>
        <w:rPr>
          <w:rFonts w:hint="eastAsia"/>
        </w:rPr>
        <w:t>处违法人员</w:t>
      </w:r>
      <w:r>
        <w:t>1682人次</w:t>
      </w:r>
      <w:r>
        <w:rPr>
          <w:rFonts w:hint="eastAsia"/>
          <w:lang w:eastAsia="zh-CN"/>
        </w:rPr>
        <w:t>。</w:t>
      </w:r>
    </w:p>
    <w:p w14:paraId="58E2D42F">
      <w:pPr>
        <w:pStyle w:val="4"/>
        <w:bidi w:val="0"/>
        <w:rPr>
          <w:rFonts w:hint="eastAsia"/>
        </w:rPr>
      </w:pPr>
      <w:r>
        <w:rPr>
          <w:rFonts w:hint="eastAsia"/>
        </w:rPr>
        <w:t>【户政、出入境管理】</w:t>
      </w:r>
    </w:p>
    <w:p w14:paraId="56742B72">
      <w:r>
        <w:rPr>
          <w:rFonts w:hint="eastAsia"/>
        </w:rPr>
        <w:t>以创建“平安南雄”为契机，大力改进服务工作。推行居住证制度，做好身份证登记指纹信息工作，放宽投资入户、特殊人才落户政策。推进“服务措施一网办”，深化行政审批制度改革，简化审批程序，推行“网上预受理”便民利民措施，提高服务效率。</w:t>
      </w:r>
      <w:r>
        <w:t>2013年受理审批入</w:t>
      </w:r>
      <w:r>
        <w:rPr>
          <w:rFonts w:hint="eastAsia"/>
        </w:rPr>
        <w:t>户申请材料</w:t>
      </w:r>
      <w:r>
        <w:t>7836份，办理各类户政业务21846人，</w:t>
      </w:r>
      <w:r>
        <w:rPr>
          <w:rFonts w:hint="eastAsia"/>
        </w:rPr>
        <w:t>变更、更正户口项目审批</w:t>
      </w:r>
      <w:r>
        <w:t>356份；办理出入境业务17451人次。</w:t>
      </w:r>
    </w:p>
    <w:p w14:paraId="776DDC25">
      <w:pPr>
        <w:pStyle w:val="4"/>
        <w:bidi w:val="0"/>
        <w:rPr>
          <w:rFonts w:hint="eastAsia"/>
        </w:rPr>
      </w:pPr>
      <w:r>
        <w:rPr>
          <w:rFonts w:hint="eastAsia"/>
        </w:rPr>
        <w:t>【道路交通管理】</w:t>
      </w:r>
    </w:p>
    <w:p w14:paraId="098A45C8">
      <w:r>
        <w:rPr>
          <w:rFonts w:hint="eastAsia"/>
        </w:rPr>
        <w:t>加强交通安全管理，以新交规的实施为契机，做好车驾管业务系统建设，开展道路交通运输市场秩序整治行动，加大对严重危害交通安全违法行动的</w:t>
      </w:r>
      <w:r>
        <w:rPr>
          <w:rFonts w:hint="eastAsia"/>
          <w:lang w:eastAsia="zh-CN"/>
        </w:rPr>
        <w:t>查</w:t>
      </w:r>
      <w:r>
        <w:rPr>
          <w:rFonts w:hint="eastAsia"/>
        </w:rPr>
        <w:t>处力度。完善道路交通设施，建立科学合理的路面勤务机制。</w:t>
      </w:r>
      <w:r>
        <w:t>2013年，发生交通</w:t>
      </w:r>
      <w:r>
        <w:rPr>
          <w:rFonts w:hint="eastAsia"/>
        </w:rPr>
        <w:t>事故</w:t>
      </w:r>
      <w:r>
        <w:t>23宗，死亡13人，受伤17人，经济损失17.1万元。</w:t>
      </w:r>
    </w:p>
    <w:p w14:paraId="112D1A62">
      <w:pPr>
        <w:pStyle w:val="4"/>
        <w:bidi w:val="0"/>
        <w:rPr>
          <w:rFonts w:hint="eastAsia"/>
        </w:rPr>
      </w:pPr>
      <w:r>
        <w:rPr>
          <w:rFonts w:hint="eastAsia"/>
        </w:rPr>
        <w:t>【消防管理】</w:t>
      </w:r>
    </w:p>
    <w:p w14:paraId="1D4EF9B6">
      <w:pPr>
        <w:rPr>
          <w:rFonts w:hint="eastAsia"/>
          <w:lang w:eastAsia="zh-CN"/>
        </w:rPr>
      </w:pPr>
      <w:r>
        <w:rPr>
          <w:rFonts w:hint="eastAsia"/>
        </w:rPr>
        <w:t>加强火灾隐患排</w:t>
      </w:r>
      <w:r>
        <w:rPr>
          <w:rFonts w:hint="eastAsia"/>
          <w:lang w:eastAsia="zh-CN"/>
        </w:rPr>
        <w:t>查</w:t>
      </w:r>
      <w:r>
        <w:rPr>
          <w:rFonts w:hint="eastAsia"/>
        </w:rPr>
        <w:t>整治，重点对省政府挂牌整</w:t>
      </w:r>
      <w:r>
        <w:rPr>
          <w:rFonts w:hint="eastAsia"/>
          <w:lang w:eastAsia="zh-CN"/>
        </w:rPr>
        <w:t>治</w:t>
      </w:r>
      <w:r>
        <w:rPr>
          <w:rFonts w:hint="eastAsia"/>
        </w:rPr>
        <w:t>的雄州街道进行消防安全隐患整治。落实派出所消防监督职能，大力开展对重点单位、“四小”场所的排</w:t>
      </w:r>
      <w:r>
        <w:rPr>
          <w:rFonts w:hint="eastAsia"/>
          <w:lang w:eastAsia="zh-CN"/>
        </w:rPr>
        <w:t>查</w:t>
      </w:r>
      <w:r>
        <w:rPr>
          <w:rFonts w:hint="eastAsia"/>
        </w:rPr>
        <w:t>治理，推行消防安全网格化管理，争取实现火灾事故“零死亡”的目标。</w:t>
      </w:r>
      <w:r>
        <w:t>2013</w:t>
      </w:r>
      <w:r>
        <w:rPr>
          <w:rFonts w:hint="eastAsia"/>
        </w:rPr>
        <w:t>年，发生火灾事故</w:t>
      </w:r>
      <w:r>
        <w:t>49宗，受伤2人，经济损失25.67万元</w:t>
      </w:r>
      <w:r>
        <w:rPr>
          <w:rFonts w:hint="eastAsia"/>
          <w:lang w:eastAsia="zh-CN"/>
        </w:rPr>
        <w:t>。</w:t>
      </w:r>
    </w:p>
    <w:p w14:paraId="739DBF33">
      <w:pPr>
        <w:pStyle w:val="4"/>
        <w:bidi w:val="0"/>
        <w:rPr>
          <w:rFonts w:hint="eastAsia"/>
        </w:rPr>
      </w:pPr>
      <w:r>
        <w:rPr>
          <w:rFonts w:hint="eastAsia"/>
        </w:rPr>
        <w:t>【网络监督】</w:t>
      </w:r>
    </w:p>
    <w:p w14:paraId="3C5E5912">
      <w:r>
        <w:rPr>
          <w:rFonts w:hint="eastAsia"/>
        </w:rPr>
        <w:t>加强互联网上网服务场所和非经营性场所网络安</w:t>
      </w:r>
      <w:r>
        <w:rPr>
          <w:rFonts w:hint="eastAsia"/>
          <w:lang w:val="en-US" w:eastAsia="zh-CN"/>
        </w:rPr>
        <w:t>全</w:t>
      </w:r>
      <w:r>
        <w:rPr>
          <w:rFonts w:hint="eastAsia"/>
        </w:rPr>
        <w:t>管理，严格实行网络巡</w:t>
      </w:r>
      <w:r>
        <w:rPr>
          <w:rFonts w:hint="eastAsia"/>
          <w:lang w:eastAsia="zh-CN"/>
        </w:rPr>
        <w:t>查</w:t>
      </w:r>
      <w:r>
        <w:rPr>
          <w:rFonts w:hint="eastAsia"/>
        </w:rPr>
        <w:t>制度，开展网上舆情监控处置和引导工作。做好公安信息化和“平安南雄”视频监控系统工程。</w:t>
      </w:r>
      <w:r>
        <w:t>2013年完成8</w:t>
      </w:r>
      <w:r>
        <w:rPr>
          <w:rFonts w:hint="eastAsia"/>
        </w:rPr>
        <w:t>个治安卡口和</w:t>
      </w:r>
      <w:r>
        <w:t>272个视频监控一类点的建设。充分</w:t>
      </w:r>
      <w:r>
        <w:rPr>
          <w:rFonts w:hint="eastAsia"/>
        </w:rPr>
        <w:t>发挥网安技术侦控优势，利用网络技术成功破获各类刑事案件</w:t>
      </w:r>
      <w:r>
        <w:t>45宗，抓获犯罪嫌疑人43人。</w:t>
      </w:r>
    </w:p>
    <w:p w14:paraId="39368672">
      <w:pPr>
        <w:pStyle w:val="4"/>
        <w:bidi w:val="0"/>
        <w:rPr>
          <w:rFonts w:hint="eastAsia"/>
        </w:rPr>
      </w:pPr>
      <w:r>
        <w:rPr>
          <w:rFonts w:hint="eastAsia"/>
        </w:rPr>
        <w:t>【监所管理】</w:t>
      </w:r>
    </w:p>
    <w:p w14:paraId="0367C642">
      <w:r>
        <w:rPr>
          <w:rFonts w:hint="eastAsia"/>
        </w:rPr>
        <w:t>以开展“管理机制创新活动”、“法治文明窗口建设活动年”专项活动为重点，强力推进勤务模式改革，整治监所安全隐患，加强监所管理。看守所羁押被监管人员</w:t>
      </w:r>
      <w:r>
        <w:t>1296人，获取犯罪线</w:t>
      </w:r>
      <w:r>
        <w:rPr>
          <w:rFonts w:hint="eastAsia"/>
        </w:rPr>
        <w:t>索</w:t>
      </w:r>
      <w:r>
        <w:t>2条，深挖破案21宗；拘留所收押拘留人员232人。</w:t>
      </w:r>
    </w:p>
    <w:p w14:paraId="7569062A">
      <w:pPr>
        <w:pStyle w:val="4"/>
        <w:bidi w:val="0"/>
        <w:rPr>
          <w:rFonts w:hint="eastAsia"/>
        </w:rPr>
      </w:pPr>
      <w:r>
        <w:rPr>
          <w:rFonts w:hint="eastAsia"/>
        </w:rPr>
        <w:t>【执法规范化建设】</w:t>
      </w:r>
    </w:p>
    <w:p w14:paraId="32359226">
      <w:pPr>
        <w:rPr>
          <w:rFonts w:hint="eastAsia"/>
          <w:lang w:eastAsia="zh-CN"/>
        </w:rPr>
      </w:pPr>
      <w:r>
        <w:rPr>
          <w:rFonts w:hint="eastAsia"/>
        </w:rPr>
        <w:t>以执法场所规范化建设为着力点和突破点，全面加强执法规范化建设。投资</w:t>
      </w:r>
      <w:r>
        <w:t>200余万元完成局办案中心、交警大队、各派出所</w:t>
      </w:r>
      <w:r>
        <w:rPr>
          <w:rFonts w:hint="eastAsia"/>
        </w:rPr>
        <w:t>（除界址和市区四个所）</w:t>
      </w:r>
      <w:r>
        <w:t>17个办案区执法场所功能</w:t>
      </w:r>
      <w:r>
        <w:rPr>
          <w:rFonts w:hint="eastAsia"/>
        </w:rPr>
        <w:t>分区的修建和改造，按照上级要求统一配备电脑</w:t>
      </w:r>
      <w:r>
        <w:rPr>
          <w:rFonts w:hint="eastAsia"/>
          <w:lang w:eastAsia="zh-CN"/>
        </w:rPr>
        <w:t>、</w:t>
      </w:r>
      <w:r>
        <w:rPr>
          <w:rFonts w:hint="eastAsia"/>
        </w:rPr>
        <w:t>称重仪，安装监控装备，制作工作制度牌和标识牌，全部通过上级机关的检</w:t>
      </w:r>
      <w:r>
        <w:rPr>
          <w:rFonts w:hint="eastAsia"/>
          <w:lang w:eastAsia="zh-CN"/>
        </w:rPr>
        <w:t>查</w:t>
      </w:r>
      <w:r>
        <w:rPr>
          <w:rFonts w:hint="eastAsia"/>
        </w:rPr>
        <w:t>验收</w:t>
      </w:r>
      <w:r>
        <w:rPr>
          <w:rFonts w:hint="eastAsia"/>
          <w:lang w:eastAsia="zh-CN"/>
        </w:rPr>
        <w:t>。</w:t>
      </w:r>
    </w:p>
    <w:p w14:paraId="67450808">
      <w:pPr>
        <w:pStyle w:val="4"/>
        <w:bidi w:val="0"/>
        <w:rPr>
          <w:rFonts w:hint="eastAsia"/>
        </w:rPr>
      </w:pPr>
      <w:r>
        <w:rPr>
          <w:rFonts w:hint="eastAsia"/>
        </w:rPr>
        <w:t>【信访“五个一”建设】</w:t>
      </w:r>
    </w:p>
    <w:p w14:paraId="49093A2F">
      <w:pPr>
        <w:rPr>
          <w:rFonts w:hint="eastAsia"/>
        </w:rPr>
      </w:pPr>
      <w:r>
        <w:t>2013年根据上级公安机</w:t>
      </w:r>
      <w:r>
        <w:rPr>
          <w:rFonts w:hint="eastAsia"/>
        </w:rPr>
        <w:t>关的部署，在开展信访工作“抓源头、打基础、强机制、促规范”活动中，以软件建设为主，硬件建设为辅，全力推进信访“五个一”建设。一是配备</w:t>
      </w:r>
      <w:r>
        <w:t>3名具有大专以上学历，曾在多个警种担任过部门</w:t>
      </w:r>
      <w:r>
        <w:rPr>
          <w:rFonts w:hint="eastAsia"/>
        </w:rPr>
        <w:t>负责人的专职信访民警；二是从</w:t>
      </w:r>
      <w:r>
        <w:t>2013年开始，按</w:t>
      </w:r>
      <w:r>
        <w:rPr>
          <w:rFonts w:hint="eastAsia"/>
        </w:rPr>
        <w:t>照国家有关规定落实信访民警的岗位津贴；三是按最新标准重建信访办公室，</w:t>
      </w:r>
      <w:r>
        <w:t>2013年12月开始动工，</w:t>
      </w:r>
      <w:r>
        <w:rPr>
          <w:rFonts w:hint="eastAsia"/>
        </w:rPr>
        <w:t>预计在</w:t>
      </w:r>
      <w:r>
        <w:t>2014年上半年能启用；四是充分运用科技</w:t>
      </w:r>
      <w:r>
        <w:rPr>
          <w:rFonts w:hint="eastAsia"/>
        </w:rPr>
        <w:t>系统，将信访专用电脑接入公安专网，安装广东公安机关信访工作信息系统。办公场所安装监控设施；五是完善一套信访规范制度。</w:t>
      </w:r>
    </w:p>
    <w:p w14:paraId="0FA70910">
      <w:pPr>
        <w:pStyle w:val="4"/>
        <w:bidi w:val="0"/>
        <w:rPr>
          <w:rFonts w:hint="eastAsia"/>
        </w:rPr>
      </w:pPr>
      <w:r>
        <w:rPr>
          <w:rFonts w:hint="eastAsia"/>
        </w:rPr>
        <w:t>【队伍建设】</w:t>
      </w:r>
    </w:p>
    <w:p w14:paraId="0FC5FC4D">
      <w:pPr>
        <w:rPr>
          <w:rFonts w:hint="eastAsia"/>
        </w:rPr>
      </w:pPr>
      <w:r>
        <w:rPr>
          <w:rFonts w:hint="eastAsia"/>
        </w:rPr>
        <w:t>围绕“打造忠诚为民队伍，树立公正廉洁形象”人民警察核心价值理念，以开展“面向基层、整顿作风、服务群众”教育活动为载体，全面加强队伍教育管理和反腐倡廉建设。落实中央八项规定和公安部“十项规定”，坚持厉行节约，规范公务接待，集中开展公务用车专项整治</w:t>
      </w:r>
      <w:r>
        <w:rPr>
          <w:rFonts w:hint="eastAsia"/>
          <w:lang w:eastAsia="zh-CN"/>
        </w:rPr>
        <w:t>。</w:t>
      </w:r>
      <w:r>
        <w:rPr>
          <w:rFonts w:hint="eastAsia"/>
        </w:rPr>
        <w:t>坚持开展“解警困、</w:t>
      </w:r>
      <w:r>
        <w:rPr>
          <w:rFonts w:hint="eastAsia"/>
          <w:lang w:val="en-US" w:eastAsia="zh-CN"/>
        </w:rPr>
        <w:t>暖</w:t>
      </w:r>
      <w:r>
        <w:rPr>
          <w:rFonts w:hint="eastAsia"/>
        </w:rPr>
        <w:t>警心”活动，落实从优待警措施，积极参与韶关市公安系统第一届运动会，并取得较好成绩。</w:t>
      </w:r>
    </w:p>
    <w:p w14:paraId="1FA08275">
      <w:pPr>
        <w:jc w:val="right"/>
        <w:rPr>
          <w:rFonts w:hint="eastAsia"/>
          <w:b/>
          <w:bCs/>
        </w:rPr>
      </w:pPr>
      <w:r>
        <w:rPr>
          <w:rFonts w:hint="eastAsia"/>
          <w:b/>
          <w:bCs/>
        </w:rPr>
        <w:t>（叶</w:t>
      </w:r>
      <w:r>
        <w:rPr>
          <w:rFonts w:hint="eastAsia"/>
          <w:b/>
          <w:bCs/>
          <w:lang w:val="en-US" w:eastAsia="zh-CN"/>
        </w:rPr>
        <w:t xml:space="preserve">  </w:t>
      </w:r>
      <w:r>
        <w:rPr>
          <w:rFonts w:hint="eastAsia"/>
          <w:b/>
          <w:bCs/>
        </w:rPr>
        <w:t>青）</w:t>
      </w:r>
    </w:p>
    <w:p w14:paraId="73A49A9A">
      <w:pPr>
        <w:pStyle w:val="10"/>
        <w:bidi w:val="0"/>
        <w:rPr>
          <w:b/>
          <w:bCs/>
        </w:rPr>
      </w:pPr>
      <w:r>
        <w:rPr>
          <w:rFonts w:hint="eastAsia"/>
          <w:b/>
          <w:bCs/>
        </w:rPr>
        <w:t>附：</w:t>
      </w:r>
      <w:r>
        <w:rPr>
          <w:b/>
          <w:bCs/>
        </w:rPr>
        <w:t>2013年市公安局领导班子成员名单</w:t>
      </w:r>
    </w:p>
    <w:p w14:paraId="02910D46">
      <w:pPr>
        <w:pStyle w:val="10"/>
        <w:bidi w:val="0"/>
        <w:rPr>
          <w:rFonts w:hint="eastAsia"/>
        </w:rPr>
      </w:pPr>
      <w:r>
        <w:rPr>
          <w:rFonts w:hint="eastAsia"/>
          <w:b/>
          <w:bCs/>
        </w:rPr>
        <w:t>党委书记、局长：</w:t>
      </w:r>
      <w:r>
        <w:rPr>
          <w:rFonts w:hint="eastAsia"/>
        </w:rPr>
        <w:t>刘悦明（兼）</w:t>
      </w:r>
    </w:p>
    <w:p w14:paraId="0FDB67D7">
      <w:pPr>
        <w:pStyle w:val="10"/>
        <w:bidi w:val="0"/>
        <w:rPr>
          <w:rFonts w:hint="eastAsia"/>
        </w:rPr>
      </w:pPr>
      <w:r>
        <w:rPr>
          <w:rFonts w:hint="eastAsia"/>
          <w:b/>
          <w:bCs/>
        </w:rPr>
        <w:t>党委副书记、政委：</w:t>
      </w:r>
      <w:r>
        <w:rPr>
          <w:rFonts w:hint="eastAsia"/>
        </w:rPr>
        <w:t>徐学智</w:t>
      </w:r>
    </w:p>
    <w:p w14:paraId="6E0FCCD4">
      <w:pPr>
        <w:pStyle w:val="10"/>
        <w:bidi w:val="0"/>
      </w:pPr>
      <w:r>
        <w:rPr>
          <w:rFonts w:hint="eastAsia"/>
          <w:b/>
          <w:bCs/>
        </w:rPr>
        <w:t>党委委员、副局长：</w:t>
      </w:r>
      <w:r>
        <w:rPr>
          <w:rFonts w:hint="eastAsia"/>
        </w:rPr>
        <w:t>邓德尧（任至</w:t>
      </w:r>
      <w:r>
        <w:t>7月）</w:t>
      </w:r>
    </w:p>
    <w:p w14:paraId="616E31F4">
      <w:pPr>
        <w:pStyle w:val="10"/>
        <w:bidi w:val="0"/>
        <w:ind w:left="1890" w:leftChars="900"/>
        <w:rPr>
          <w:rFonts w:hint="eastAsia"/>
        </w:rPr>
      </w:pPr>
      <w:r>
        <w:rPr>
          <w:rFonts w:hint="eastAsia"/>
        </w:rPr>
        <w:t>钟</w:t>
      </w:r>
      <w:r>
        <w:rPr>
          <w:rFonts w:hint="eastAsia"/>
          <w:lang w:val="en-US" w:eastAsia="zh-CN"/>
        </w:rPr>
        <w:t xml:space="preserve">  </w:t>
      </w:r>
      <w:r>
        <w:rPr>
          <w:rFonts w:hint="eastAsia"/>
        </w:rPr>
        <w:t>彬</w:t>
      </w:r>
      <w:r>
        <w:rPr>
          <w:rFonts w:hint="eastAsia"/>
          <w:lang w:val="en-US" w:eastAsia="zh-CN"/>
        </w:rPr>
        <w:t xml:space="preserve">   </w:t>
      </w:r>
      <w:r>
        <w:rPr>
          <w:rFonts w:hint="eastAsia"/>
        </w:rPr>
        <w:t>何南京</w:t>
      </w:r>
      <w:r>
        <w:rPr>
          <w:rFonts w:hint="eastAsia"/>
          <w:lang w:val="en-US" w:eastAsia="zh-CN"/>
        </w:rPr>
        <w:t xml:space="preserve">   </w:t>
      </w:r>
      <w:r>
        <w:rPr>
          <w:rFonts w:hint="eastAsia"/>
        </w:rPr>
        <w:t>陈本雄</w:t>
      </w:r>
    </w:p>
    <w:p w14:paraId="34EB2D76">
      <w:pPr>
        <w:pStyle w:val="10"/>
        <w:bidi w:val="0"/>
        <w:ind w:left="1890" w:leftChars="900"/>
      </w:pPr>
      <w:r>
        <w:rPr>
          <w:rFonts w:hint="eastAsia"/>
        </w:rPr>
        <w:t>何慎华</w:t>
      </w:r>
      <w:r>
        <w:rPr>
          <w:rFonts w:hint="eastAsia"/>
          <w:lang w:val="en-US" w:eastAsia="zh-CN"/>
        </w:rPr>
        <w:t xml:space="preserve">   </w:t>
      </w:r>
      <w:r>
        <w:rPr>
          <w:rFonts w:hint="eastAsia"/>
        </w:rPr>
        <w:t>邓文兴（</w:t>
      </w:r>
      <w:r>
        <w:t>9月任）</w:t>
      </w:r>
    </w:p>
    <w:p w14:paraId="7C8D9663">
      <w:pPr>
        <w:pStyle w:val="10"/>
        <w:bidi w:val="0"/>
        <w:rPr>
          <w:rFonts w:hint="eastAsia"/>
        </w:rPr>
      </w:pPr>
      <w:r>
        <w:rPr>
          <w:rFonts w:hint="eastAsia"/>
          <w:b/>
          <w:bCs/>
        </w:rPr>
        <w:t>党委委员、纪委书记：</w:t>
      </w:r>
      <w:r>
        <w:rPr>
          <w:rFonts w:hint="eastAsia"/>
        </w:rPr>
        <w:t>钟卫国</w:t>
      </w:r>
    </w:p>
    <w:p w14:paraId="41405BD9">
      <w:pPr>
        <w:pStyle w:val="10"/>
        <w:bidi w:val="0"/>
        <w:rPr>
          <w:rFonts w:hint="eastAsia"/>
        </w:rPr>
      </w:pPr>
      <w:r>
        <w:rPr>
          <w:rFonts w:hint="eastAsia"/>
          <w:b/>
          <w:bCs/>
        </w:rPr>
        <w:t>党委委员、政工室主任：</w:t>
      </w:r>
      <w:r>
        <w:rPr>
          <w:rFonts w:hint="eastAsia"/>
        </w:rPr>
        <w:t>张</w:t>
      </w:r>
      <w:r>
        <w:rPr>
          <w:rFonts w:hint="eastAsia"/>
          <w:lang w:val="en-US" w:eastAsia="zh-CN"/>
        </w:rPr>
        <w:t xml:space="preserve">  </w:t>
      </w:r>
      <w:r>
        <w:rPr>
          <w:rFonts w:hint="eastAsia"/>
        </w:rPr>
        <w:t>明</w:t>
      </w:r>
    </w:p>
    <w:p w14:paraId="25193683">
      <w:pPr>
        <w:pStyle w:val="10"/>
        <w:bidi w:val="0"/>
        <w:rPr>
          <w:rFonts w:hint="eastAsia"/>
        </w:rPr>
      </w:pPr>
      <w:r>
        <w:rPr>
          <w:rFonts w:hint="eastAsia"/>
          <w:b/>
          <w:bCs/>
        </w:rPr>
        <w:t>党委委员、指挥中心主任：</w:t>
      </w:r>
      <w:r>
        <w:rPr>
          <w:rFonts w:hint="eastAsia"/>
        </w:rPr>
        <w:t>徐立宏</w:t>
      </w:r>
    </w:p>
    <w:p w14:paraId="3FA7353C">
      <w:pPr>
        <w:pStyle w:val="3"/>
        <w:bidi w:val="0"/>
        <w:rPr>
          <w:rFonts w:hint="eastAsia"/>
        </w:rPr>
      </w:pPr>
      <w:r>
        <w:rPr>
          <w:rFonts w:hint="eastAsia"/>
        </w:rPr>
        <w:t>检察</w:t>
      </w:r>
    </w:p>
    <w:p w14:paraId="66351359">
      <w:pPr>
        <w:pStyle w:val="4"/>
        <w:bidi w:val="0"/>
        <w:rPr>
          <w:rFonts w:hint="eastAsia"/>
        </w:rPr>
      </w:pPr>
      <w:r>
        <w:rPr>
          <w:rFonts w:hint="eastAsia"/>
        </w:rPr>
        <w:t>【概况】</w:t>
      </w:r>
    </w:p>
    <w:p w14:paraId="42E0CDA2">
      <w:r>
        <w:rPr>
          <w:rFonts w:hint="eastAsia"/>
        </w:rPr>
        <w:t>南雄市人民检察院是按照公务员管理的正科级司法机关，履行宪法赋予的法律监督职责。</w:t>
      </w:r>
      <w:r>
        <w:t>2008年12月18日，从旧址（林荫西路40号）搬</w:t>
      </w:r>
      <w:r>
        <w:rPr>
          <w:rFonts w:hint="eastAsia"/>
        </w:rPr>
        <w:t>迁到现址（环城东路</w:t>
      </w:r>
      <w:r>
        <w:t>66号）办公。内设机构有政</w:t>
      </w:r>
      <w:r>
        <w:rPr>
          <w:rFonts w:hint="eastAsia"/>
        </w:rPr>
        <w:t>工科、检委办、办公室、侦</w:t>
      </w:r>
      <w:r>
        <w:rPr>
          <w:rFonts w:hint="eastAsia"/>
          <w:lang w:eastAsia="zh-CN"/>
        </w:rPr>
        <w:t>查</w:t>
      </w:r>
      <w:r>
        <w:rPr>
          <w:rFonts w:hint="eastAsia"/>
        </w:rPr>
        <w:t>一科、侦</w:t>
      </w:r>
      <w:r>
        <w:rPr>
          <w:rFonts w:hint="eastAsia"/>
          <w:lang w:eastAsia="zh-CN"/>
        </w:rPr>
        <w:t>查</w:t>
      </w:r>
      <w:r>
        <w:rPr>
          <w:rFonts w:hint="eastAsia"/>
        </w:rPr>
        <w:t>二科、反渎职侵权局、公诉科、侦</w:t>
      </w:r>
      <w:r>
        <w:rPr>
          <w:rFonts w:hint="eastAsia"/>
          <w:lang w:eastAsia="zh-CN"/>
        </w:rPr>
        <w:t>查</w:t>
      </w:r>
      <w:r>
        <w:rPr>
          <w:rFonts w:hint="eastAsia"/>
        </w:rPr>
        <w:t>监督科、预防科、监所检察科、民事行政检察科、控告申诉检察科、案件管理中心、法警大队、驻湖口检察室等</w:t>
      </w:r>
      <w:r>
        <w:t>15个部门。</w:t>
      </w:r>
      <w:r>
        <w:rPr>
          <w:rFonts w:hint="eastAsia"/>
        </w:rPr>
        <w:t>干警政法专用编制</w:t>
      </w:r>
      <w:r>
        <w:t>48人，现有干警47人，办案辅</w:t>
      </w:r>
      <w:r>
        <w:rPr>
          <w:rFonts w:hint="eastAsia"/>
        </w:rPr>
        <w:t>助人员</w:t>
      </w:r>
      <w:r>
        <w:t>7人。</w:t>
      </w:r>
    </w:p>
    <w:p w14:paraId="360D84A8">
      <w:pPr>
        <w:pStyle w:val="4"/>
        <w:bidi w:val="0"/>
        <w:rPr>
          <w:rFonts w:hint="eastAsia"/>
        </w:rPr>
      </w:pPr>
      <w:r>
        <w:rPr>
          <w:rFonts w:hint="eastAsia"/>
        </w:rPr>
        <w:t>【侦</w:t>
      </w:r>
      <w:r>
        <w:rPr>
          <w:rFonts w:hint="eastAsia"/>
          <w:lang w:eastAsia="zh-CN"/>
        </w:rPr>
        <w:t>查</w:t>
      </w:r>
      <w:r>
        <w:rPr>
          <w:rFonts w:hint="eastAsia"/>
        </w:rPr>
        <w:t>监督】</w:t>
      </w:r>
    </w:p>
    <w:p w14:paraId="29B4A0E6">
      <w:r>
        <w:rPr>
          <w:rFonts w:hint="eastAsia"/>
        </w:rPr>
        <w:t>侦监部门受理审</w:t>
      </w:r>
      <w:r>
        <w:rPr>
          <w:rFonts w:hint="eastAsia"/>
          <w:lang w:eastAsia="zh-CN"/>
        </w:rPr>
        <w:t>查</w:t>
      </w:r>
      <w:r>
        <w:rPr>
          <w:rFonts w:hint="eastAsia"/>
        </w:rPr>
        <w:t>批捕案件</w:t>
      </w:r>
      <w:r>
        <w:t>127件150人，其中批准逮捕121件142人（含附条件逮</w:t>
      </w:r>
      <w:r>
        <w:rPr>
          <w:rFonts w:hint="eastAsia"/>
        </w:rPr>
        <w:t>捕</w:t>
      </w:r>
      <w:r>
        <w:t>1件1人），决定逮捕1件1人，不批准逮捕6件7人；发出《应当逮捕犯罪嫌疑人意见书》46份，</w:t>
      </w:r>
      <w:r>
        <w:rPr>
          <w:rFonts w:hint="eastAsia"/>
        </w:rPr>
        <w:t>纠正漏捕</w:t>
      </w:r>
      <w:r>
        <w:t>16人；向公安机关发出《纠正违法通知</w:t>
      </w:r>
      <w:r>
        <w:rPr>
          <w:rFonts w:hint="eastAsia"/>
        </w:rPr>
        <w:t>书》</w:t>
      </w:r>
      <w:r>
        <w:t>1份并已答复纠正；发出《补充侦</w:t>
      </w:r>
      <w:r>
        <w:rPr>
          <w:rFonts w:hint="eastAsia"/>
          <w:lang w:eastAsia="zh-CN"/>
        </w:rPr>
        <w:t>查</w:t>
      </w:r>
      <w:r>
        <w:t>提纲》</w:t>
      </w:r>
      <w:r>
        <w:rPr>
          <w:rFonts w:hint="eastAsia"/>
        </w:rPr>
        <w:t>《继续侦</w:t>
      </w:r>
      <w:r>
        <w:rPr>
          <w:rFonts w:hint="eastAsia"/>
          <w:lang w:eastAsia="zh-CN"/>
        </w:rPr>
        <w:t>查</w:t>
      </w:r>
      <w:r>
        <w:rPr>
          <w:rFonts w:hint="eastAsia"/>
        </w:rPr>
        <w:t>取证意见书》或《提供法庭审判所需证据材料意见书》</w:t>
      </w:r>
      <w:r>
        <w:t>7份；开展侦</w:t>
      </w:r>
      <w:r>
        <w:rPr>
          <w:rFonts w:hint="eastAsia"/>
          <w:lang w:eastAsia="zh-CN"/>
        </w:rPr>
        <w:t>查</w:t>
      </w:r>
      <w:r>
        <w:t>阶段羁押必要性审</w:t>
      </w:r>
      <w:r>
        <w:rPr>
          <w:rFonts w:hint="eastAsia"/>
          <w:lang w:eastAsia="zh-CN"/>
        </w:rPr>
        <w:t>查</w:t>
      </w:r>
      <w:r>
        <w:t>3件3人；撤案监督3件3人；立案监督5件5</w:t>
      </w:r>
      <w:r>
        <w:rPr>
          <w:rFonts w:hint="eastAsia"/>
        </w:rPr>
        <w:t>人；提前介入</w:t>
      </w:r>
      <w:r>
        <w:t>9次。</w:t>
      </w:r>
    </w:p>
    <w:p w14:paraId="58B2A4BD">
      <w:pPr>
        <w:pStyle w:val="4"/>
        <w:bidi w:val="0"/>
        <w:rPr>
          <w:rFonts w:hint="eastAsia"/>
        </w:rPr>
      </w:pPr>
      <w:r>
        <w:rPr>
          <w:rFonts w:hint="eastAsia"/>
        </w:rPr>
        <w:t>【审</w:t>
      </w:r>
      <w:r>
        <w:rPr>
          <w:rFonts w:hint="eastAsia"/>
          <w:lang w:eastAsia="zh-CN"/>
        </w:rPr>
        <w:t>查</w:t>
      </w:r>
      <w:r>
        <w:rPr>
          <w:rFonts w:hint="eastAsia"/>
        </w:rPr>
        <w:t>起诉】</w:t>
      </w:r>
    </w:p>
    <w:p w14:paraId="6B33C5EC">
      <w:r>
        <w:rPr>
          <w:rFonts w:hint="eastAsia"/>
        </w:rPr>
        <w:t>公诉部门受理移送审</w:t>
      </w:r>
      <w:r>
        <w:rPr>
          <w:rFonts w:hint="eastAsia"/>
          <w:lang w:eastAsia="zh-CN"/>
        </w:rPr>
        <w:t>查</w:t>
      </w:r>
      <w:r>
        <w:rPr>
          <w:rFonts w:hint="eastAsia"/>
        </w:rPr>
        <w:t>起诉案件</w:t>
      </w:r>
      <w:r>
        <w:t>120件156人，其中受理公安部门移送审</w:t>
      </w:r>
      <w:r>
        <w:rPr>
          <w:rFonts w:hint="eastAsia"/>
          <w:lang w:eastAsia="zh-CN"/>
        </w:rPr>
        <w:t>查</w:t>
      </w:r>
      <w:r>
        <w:t>起诉案</w:t>
      </w:r>
      <w:r>
        <w:rPr>
          <w:rFonts w:hint="eastAsia"/>
        </w:rPr>
        <w:t>件</w:t>
      </w:r>
      <w:r>
        <w:t>110件138人，受理自侦部门移送审</w:t>
      </w:r>
      <w:r>
        <w:rPr>
          <w:rFonts w:hint="eastAsia"/>
          <w:lang w:eastAsia="zh-CN"/>
        </w:rPr>
        <w:t>查</w:t>
      </w:r>
      <w:r>
        <w:t>起诉案件10件18人，追诉漏犯4件5人，经审</w:t>
      </w:r>
      <w:r>
        <w:rPr>
          <w:rFonts w:hint="eastAsia"/>
          <w:lang w:eastAsia="zh-CN"/>
        </w:rPr>
        <w:t>查</w:t>
      </w:r>
      <w:r>
        <w:t>向法院提</w:t>
      </w:r>
      <w:r>
        <w:rPr>
          <w:rFonts w:hint="eastAsia"/>
        </w:rPr>
        <w:t>起公诉</w:t>
      </w:r>
      <w:r>
        <w:t>101件132人，作出不起诉决定10件11人，</w:t>
      </w:r>
      <w:r>
        <w:rPr>
          <w:rFonts w:hint="eastAsia"/>
        </w:rPr>
        <w:t>作出附条件不起诉</w:t>
      </w:r>
      <w:r>
        <w:t>1件1人，退回补充侦</w:t>
      </w:r>
      <w:r>
        <w:rPr>
          <w:rFonts w:hint="eastAsia"/>
          <w:lang w:eastAsia="zh-CN"/>
        </w:rPr>
        <w:t>查</w:t>
      </w:r>
      <w:r>
        <w:t>24次，</w:t>
      </w:r>
      <w:r>
        <w:rPr>
          <w:rFonts w:hint="eastAsia"/>
        </w:rPr>
        <w:t>移送韶关市人民检察院审</w:t>
      </w:r>
      <w:r>
        <w:rPr>
          <w:rFonts w:hint="eastAsia"/>
          <w:lang w:eastAsia="zh-CN"/>
        </w:rPr>
        <w:t>查</w:t>
      </w:r>
      <w:r>
        <w:rPr>
          <w:rFonts w:hint="eastAsia"/>
        </w:rPr>
        <w:t>起诉</w:t>
      </w:r>
      <w:r>
        <w:t>4件5人，出庭支</w:t>
      </w:r>
      <w:r>
        <w:rPr>
          <w:rFonts w:hint="eastAsia"/>
        </w:rPr>
        <w:t>持公诉</w:t>
      </w:r>
      <w:r>
        <w:t>92件126人，提出量刑建议92件126人，</w:t>
      </w:r>
      <w:r>
        <w:rPr>
          <w:rFonts w:hint="eastAsia"/>
        </w:rPr>
        <w:t>作出判决</w:t>
      </w:r>
      <w:r>
        <w:t>78件107人（均为有罪判决），发出纠正</w:t>
      </w:r>
      <w:r>
        <w:rPr>
          <w:rFonts w:hint="eastAsia"/>
        </w:rPr>
        <w:t>违法通知</w:t>
      </w:r>
      <w:r>
        <w:t>5件15人，提出抗诉1件2人。</w:t>
      </w:r>
    </w:p>
    <w:p w14:paraId="4AEAF0F6">
      <w:pPr>
        <w:pStyle w:val="4"/>
        <w:bidi w:val="0"/>
        <w:rPr>
          <w:rFonts w:hint="eastAsia"/>
        </w:rPr>
      </w:pPr>
      <w:r>
        <w:rPr>
          <w:rFonts w:hint="eastAsia"/>
        </w:rPr>
        <w:t>【预防和</w:t>
      </w:r>
      <w:r>
        <w:rPr>
          <w:rFonts w:hint="eastAsia"/>
          <w:lang w:eastAsia="zh-CN"/>
        </w:rPr>
        <w:t>查</w:t>
      </w:r>
      <w:r>
        <w:rPr>
          <w:rFonts w:hint="eastAsia"/>
        </w:rPr>
        <w:t>处职务犯罪】</w:t>
      </w:r>
    </w:p>
    <w:p w14:paraId="33B74A0D">
      <w:r>
        <w:rPr>
          <w:rFonts w:hint="eastAsia"/>
        </w:rPr>
        <w:t>自侦部门立案</w:t>
      </w:r>
      <w:r>
        <w:rPr>
          <w:rFonts w:hint="eastAsia"/>
          <w:lang w:eastAsia="zh-CN"/>
        </w:rPr>
        <w:t>查</w:t>
      </w:r>
      <w:r>
        <w:rPr>
          <w:rFonts w:hint="eastAsia"/>
        </w:rPr>
        <w:t>处贪污贿赂渎职侵权犯罪案件</w:t>
      </w:r>
      <w:r>
        <w:t>17人，全部为大要案件，</w:t>
      </w:r>
      <w:r>
        <w:rPr>
          <w:rFonts w:hint="eastAsia"/>
          <w:lang w:eastAsia="zh-CN"/>
        </w:rPr>
        <w:t>查</w:t>
      </w:r>
      <w:r>
        <w:rPr>
          <w:rFonts w:hint="eastAsia"/>
        </w:rPr>
        <w:t>处科级干部</w:t>
      </w:r>
      <w:r>
        <w:t>9人，立案数、大要案比例、大要案</w:t>
      </w:r>
      <w:r>
        <w:rPr>
          <w:rFonts w:hint="eastAsia"/>
        </w:rPr>
        <w:t>起诉率和判决率均为历年最高。反贪局受理案件线索</w:t>
      </w:r>
      <w:r>
        <w:t>23件中决定立案12宗12人，均为大要案，全部</w:t>
      </w:r>
      <w:r>
        <w:rPr>
          <w:rFonts w:hint="eastAsia"/>
        </w:rPr>
        <w:t>起诉到法院，已作出判决</w:t>
      </w:r>
      <w:r>
        <w:t>9宗9人，挽回经济损失1000多万元。反渎局受理案件线索6件中立案4宗4人，不立案1件，移送起诉2件。2012年底我院</w:t>
      </w:r>
      <w:r>
        <w:rPr>
          <w:rFonts w:hint="eastAsia"/>
        </w:rPr>
        <w:t>与市纪委共同开辟“南雄市党风廉政建设干部任前法纪教育暨预防职务教育基地”，为韶关市第一个基层院综合教育基地。</w:t>
      </w:r>
      <w:r>
        <w:t>2013年组织74批4222人到</w:t>
      </w:r>
      <w:r>
        <w:rPr>
          <w:rFonts w:hint="eastAsia"/>
        </w:rPr>
        <w:t>基地进行警示教育；职务犯罪预防调</w:t>
      </w:r>
      <w:r>
        <w:rPr>
          <w:rFonts w:hint="eastAsia"/>
          <w:lang w:eastAsia="zh-CN"/>
        </w:rPr>
        <w:t>查</w:t>
      </w:r>
      <w:r>
        <w:t>22次，案</w:t>
      </w:r>
      <w:r>
        <w:rPr>
          <w:rFonts w:hint="eastAsia"/>
        </w:rPr>
        <w:t>件分析</w:t>
      </w:r>
      <w:r>
        <w:t>13次，检察建议22件，预防咨询558次；</w:t>
      </w:r>
      <w:r>
        <w:rPr>
          <w:rFonts w:hint="eastAsia"/>
        </w:rPr>
        <w:t>行贿档案</w:t>
      </w:r>
      <w:r>
        <w:rPr>
          <w:rFonts w:hint="eastAsia"/>
          <w:lang w:eastAsia="zh-CN"/>
        </w:rPr>
        <w:t>查</w:t>
      </w:r>
      <w:r>
        <w:rPr>
          <w:rFonts w:hint="eastAsia"/>
        </w:rPr>
        <w:t>询</w:t>
      </w:r>
      <w:r>
        <w:t>2444次，重点工程专项预防25次。</w:t>
      </w:r>
    </w:p>
    <w:p w14:paraId="570E4783">
      <w:pPr>
        <w:pStyle w:val="4"/>
        <w:bidi w:val="0"/>
        <w:rPr>
          <w:rFonts w:hint="eastAsia"/>
        </w:rPr>
      </w:pPr>
      <w:r>
        <w:rPr>
          <w:rFonts w:hint="eastAsia"/>
        </w:rPr>
        <w:t>【控告申诉检察】</w:t>
      </w:r>
    </w:p>
    <w:p w14:paraId="4C922407">
      <w:r>
        <w:rPr>
          <w:rFonts w:hint="eastAsia"/>
        </w:rPr>
        <w:t>控申部门建立化解信访积案、避免矛盾积累激化机制，切实落实控告申诉首办责任制，畅通控告申诉渠道，加强举报中心建设，提供网上举报，广泛开展文明接待活动，推行上下级检察院联合接访。受理群众来信来访</w:t>
      </w:r>
      <w:r>
        <w:t>41件（次），</w:t>
      </w:r>
      <w:r>
        <w:rPr>
          <w:rFonts w:hint="eastAsia"/>
        </w:rPr>
        <w:t>其中来信</w:t>
      </w:r>
      <w:r>
        <w:t>35件，来访3次，网络控告申诉3件，已</w:t>
      </w:r>
      <w:r>
        <w:rPr>
          <w:rFonts w:hint="eastAsia"/>
        </w:rPr>
        <w:t>全部处理完毕。同时，联系各镇（街）涉检信访联络点和检察信息联络员，保持基层群众信访“绿色通道”畅通。控告申诉部门通过办案依法救助</w:t>
      </w:r>
      <w:r>
        <w:t>2件2人，获得救助金额18000元。</w:t>
      </w:r>
    </w:p>
    <w:p w14:paraId="6E2CEF44">
      <w:pPr>
        <w:pStyle w:val="4"/>
        <w:bidi w:val="0"/>
        <w:rPr>
          <w:rFonts w:hint="eastAsia"/>
        </w:rPr>
      </w:pPr>
      <w:r>
        <w:rPr>
          <w:rFonts w:hint="eastAsia"/>
        </w:rPr>
        <w:t>【民事行政检察】</w:t>
      </w:r>
    </w:p>
    <w:p w14:paraId="4D96B41D">
      <w:r>
        <w:rPr>
          <w:rFonts w:hint="eastAsia"/>
        </w:rPr>
        <w:t>民事行政检察科受理案件线索</w:t>
      </w:r>
      <w:r>
        <w:t>7件（其中申诉类2件，执行监督类4件，督促履</w:t>
      </w:r>
      <w:r>
        <w:rPr>
          <w:rFonts w:hint="eastAsia"/>
        </w:rPr>
        <w:t>职</w:t>
      </w:r>
      <w:r>
        <w:t>1件），立案6件，不立案1件，市院交办6件，</w:t>
      </w:r>
      <w:r>
        <w:rPr>
          <w:rFonts w:hint="eastAsia"/>
        </w:rPr>
        <w:t>审结</w:t>
      </w:r>
      <w:r>
        <w:t>13件（含上年度未结案件1件），未结1件。</w:t>
      </w:r>
      <w:r>
        <w:rPr>
          <w:rFonts w:hint="eastAsia"/>
        </w:rPr>
        <w:t>经审</w:t>
      </w:r>
      <w:r>
        <w:rPr>
          <w:rFonts w:hint="eastAsia"/>
          <w:lang w:eastAsia="zh-CN"/>
        </w:rPr>
        <w:t>查</w:t>
      </w:r>
      <w:r>
        <w:rPr>
          <w:rFonts w:hint="eastAsia"/>
        </w:rPr>
        <w:t>，作息诉处理</w:t>
      </w:r>
      <w:r>
        <w:t>6件，向法院发出再审检察建</w:t>
      </w:r>
      <w:r>
        <w:rPr>
          <w:rFonts w:hint="eastAsia"/>
        </w:rPr>
        <w:t>议</w:t>
      </w:r>
      <w:r>
        <w:t>1件，法院已采纳再审检察建议2件（含上年度</w:t>
      </w:r>
      <w:r>
        <w:rPr>
          <w:rFonts w:hint="eastAsia"/>
        </w:rPr>
        <w:t>提出的</w:t>
      </w:r>
      <w:r>
        <w:t>1件），其中1件作出调解结案，1件改判。</w:t>
      </w:r>
      <w:r>
        <w:rPr>
          <w:rFonts w:hint="eastAsia"/>
        </w:rPr>
        <w:t>通过办案向法院发出检察建议</w:t>
      </w:r>
      <w:r>
        <w:t>4份，法院均有回</w:t>
      </w:r>
      <w:r>
        <w:rPr>
          <w:rFonts w:hint="eastAsia"/>
        </w:rPr>
        <w:t>复。向南雄市粮食局发出督促履职检察建议</w:t>
      </w:r>
      <w:r>
        <w:t>1份，</w:t>
      </w:r>
      <w:r>
        <w:rPr>
          <w:rFonts w:hint="eastAsia"/>
        </w:rPr>
        <w:t>南雄市粮食局已回复并向南雄市人民法院提起诉讼。</w:t>
      </w:r>
      <w:r>
        <w:t>2012年度法院受理的3件督促起诉案，2013</w:t>
      </w:r>
      <w:r>
        <w:rPr>
          <w:rFonts w:hint="eastAsia"/>
        </w:rPr>
        <w:t>年，其中</w:t>
      </w:r>
      <w:r>
        <w:t>1件作调解结案，1件判决。</w:t>
      </w:r>
    </w:p>
    <w:p w14:paraId="77050679">
      <w:pPr>
        <w:pStyle w:val="4"/>
        <w:bidi w:val="0"/>
        <w:rPr>
          <w:rFonts w:hint="eastAsia"/>
        </w:rPr>
      </w:pPr>
      <w:r>
        <w:rPr>
          <w:rFonts w:hint="eastAsia"/>
        </w:rPr>
        <w:t>【监所检察】</w:t>
      </w:r>
    </w:p>
    <w:p w14:paraId="7C558FE4">
      <w:r>
        <w:rPr>
          <w:rFonts w:hint="eastAsia"/>
        </w:rPr>
        <w:t>监所检察科按照《广东省检察机关看守所检察阳光检务实施办法》，根据南雄的实际情况和在押人员的实际情况，开展监所检察阳光检务工作，建立相关公开机制。</w:t>
      </w:r>
      <w:r>
        <w:t>1、通过在监室内墙</w:t>
      </w:r>
      <w:r>
        <w:rPr>
          <w:rFonts w:hint="eastAsia"/>
        </w:rPr>
        <w:t>壁上设立《阳光告知卡》，向在押人员公开驻所检察人员的联系方式，告知在押人员的权利与义务</w:t>
      </w:r>
      <w:r>
        <w:rPr>
          <w:rFonts w:hint="eastAsia"/>
          <w:lang w:eastAsia="zh-CN"/>
        </w:rPr>
        <w:t>；</w:t>
      </w:r>
      <w:r>
        <w:t>2、在监区和看守所家属会见室门口设立监所检察</w:t>
      </w:r>
      <w:r>
        <w:rPr>
          <w:rFonts w:hint="eastAsia"/>
        </w:rPr>
        <w:t>检务公开栏，向在押人员及其近亲属和社会各界公开宣传监所检察的任务、职责和举报电话；</w:t>
      </w:r>
      <w:r>
        <w:t>3、在</w:t>
      </w:r>
      <w:r>
        <w:rPr>
          <w:rFonts w:hint="eastAsia"/>
        </w:rPr>
        <w:t>监区设立了</w:t>
      </w:r>
      <w:r>
        <w:t>6个检察信箱。通过以上举措，方便在</w:t>
      </w:r>
      <w:r>
        <w:rPr>
          <w:rFonts w:hint="eastAsia"/>
        </w:rPr>
        <w:t>押人员及其近亲属表达和实现合法诉求，自觉接受社会各界监督。</w:t>
      </w:r>
      <w:r>
        <w:t>2013年，监所检察科给在押人员上</w:t>
      </w:r>
      <w:r>
        <w:rPr>
          <w:rFonts w:hint="eastAsia"/>
        </w:rPr>
        <w:t>法制课</w:t>
      </w:r>
      <w:r>
        <w:t>4次，受教育342人；与在押人员谈话教育88次</w:t>
      </w:r>
      <w:r>
        <w:rPr>
          <w:rFonts w:hint="eastAsia"/>
          <w:lang w:val="en-US" w:eastAsia="zh-CN"/>
        </w:rPr>
        <w:t>/</w:t>
      </w:r>
      <w:r>
        <w:t>人；接受在押人员约见10人</w:t>
      </w:r>
      <w:r>
        <w:rPr>
          <w:rFonts w:hint="eastAsia"/>
          <w:lang w:val="en-US" w:eastAsia="zh-CN"/>
        </w:rPr>
        <w:t>/</w:t>
      </w:r>
      <w:r>
        <w:t>次；受理在押</w:t>
      </w:r>
      <w:r>
        <w:rPr>
          <w:rFonts w:hint="eastAsia"/>
        </w:rPr>
        <w:t>人员举报、控告、申诉案件</w:t>
      </w:r>
      <w:r>
        <w:t>11件，审</w:t>
      </w:r>
      <w:r>
        <w:rPr>
          <w:rFonts w:hint="eastAsia"/>
          <w:lang w:eastAsia="zh-CN"/>
        </w:rPr>
        <w:t>查</w:t>
      </w:r>
      <w:r>
        <w:t>举报、控</w:t>
      </w:r>
      <w:r>
        <w:rPr>
          <w:rFonts w:hint="eastAsia"/>
        </w:rPr>
        <w:t>告、申诉案件</w:t>
      </w:r>
      <w:r>
        <w:t>11件，移交控申部门2件，移交公</w:t>
      </w:r>
      <w:r>
        <w:rPr>
          <w:rFonts w:hint="eastAsia"/>
        </w:rPr>
        <w:t>诉部门</w:t>
      </w:r>
      <w:r>
        <w:t>4件，移交自侦部门1件。</w:t>
      </w:r>
    </w:p>
    <w:p w14:paraId="535A4C83">
      <w:pPr>
        <w:pStyle w:val="4"/>
        <w:bidi w:val="0"/>
        <w:rPr>
          <w:rFonts w:hint="eastAsia"/>
        </w:rPr>
      </w:pPr>
      <w:r>
        <w:rPr>
          <w:rFonts w:hint="eastAsia"/>
        </w:rPr>
        <w:t>【案管中心】</w:t>
      </w:r>
    </w:p>
    <w:p w14:paraId="3D08008B">
      <w:r>
        <w:rPr>
          <w:rFonts w:hint="eastAsia"/>
        </w:rPr>
        <w:t>案管中心受理案件</w:t>
      </w:r>
      <w:r>
        <w:t>322件390人，</w:t>
      </w:r>
      <w:r>
        <w:rPr>
          <w:rFonts w:hint="eastAsia"/>
        </w:rPr>
        <w:t>其中受理审</w:t>
      </w:r>
      <w:r>
        <w:rPr>
          <w:rFonts w:hint="eastAsia"/>
          <w:lang w:eastAsia="zh-CN"/>
        </w:rPr>
        <w:t>查</w:t>
      </w:r>
      <w:r>
        <w:rPr>
          <w:rFonts w:hint="eastAsia"/>
        </w:rPr>
        <w:t>逮捕案件</w:t>
      </w:r>
      <w:r>
        <w:t>128件151人，立案监督5</w:t>
      </w:r>
      <w:r>
        <w:rPr>
          <w:rFonts w:hint="eastAsia"/>
        </w:rPr>
        <w:t>件</w:t>
      </w:r>
      <w:r>
        <w:t>5人，受理审</w:t>
      </w:r>
      <w:r>
        <w:rPr>
          <w:rFonts w:hint="eastAsia"/>
          <w:lang w:eastAsia="zh-CN"/>
        </w:rPr>
        <w:t>查</w:t>
      </w:r>
      <w:r>
        <w:t>起诉案件154件196人，反贪8</w:t>
      </w:r>
      <w:r>
        <w:rPr>
          <w:rFonts w:hint="eastAsia"/>
        </w:rPr>
        <w:t>件</w:t>
      </w:r>
      <w:r>
        <w:t>11人，反渎4件4人，民行7件7人，控告12</w:t>
      </w:r>
      <w:r>
        <w:rPr>
          <w:rFonts w:hint="eastAsia"/>
        </w:rPr>
        <w:t>件</w:t>
      </w:r>
      <w:r>
        <w:t>12人，申诉4件4人；网上办结案件319件390</w:t>
      </w:r>
      <w:r>
        <w:rPr>
          <w:rFonts w:hint="eastAsia"/>
        </w:rPr>
        <w:t>人。其中审</w:t>
      </w:r>
      <w:r>
        <w:rPr>
          <w:rFonts w:hint="eastAsia"/>
          <w:lang w:eastAsia="zh-CN"/>
        </w:rPr>
        <w:t>查</w:t>
      </w:r>
      <w:r>
        <w:rPr>
          <w:rFonts w:hint="eastAsia"/>
        </w:rPr>
        <w:t>逮捕案件结案</w:t>
      </w:r>
      <w:r>
        <w:t>130件153人，立案监</w:t>
      </w:r>
      <w:r>
        <w:rPr>
          <w:rFonts w:hint="eastAsia"/>
        </w:rPr>
        <w:t>督结案</w:t>
      </w:r>
      <w:r>
        <w:t>5件5人，公诉案件结案148件193人，反</w:t>
      </w:r>
      <w:r>
        <w:rPr>
          <w:rFonts w:hint="eastAsia"/>
        </w:rPr>
        <w:t>贪案件结案</w:t>
      </w:r>
      <w:r>
        <w:t>9件12人，反渎案件结案4件4人，民</w:t>
      </w:r>
      <w:r>
        <w:rPr>
          <w:rFonts w:hint="eastAsia"/>
        </w:rPr>
        <w:t>行案件结案</w:t>
      </w:r>
      <w:r>
        <w:t>7件7人，控告案件结案12件12人，</w:t>
      </w:r>
      <w:r>
        <w:rPr>
          <w:rFonts w:hint="eastAsia"/>
        </w:rPr>
        <w:t>申诉案件结案</w:t>
      </w:r>
      <w:r>
        <w:t>4件4人。开具备案法律文书282份，</w:t>
      </w:r>
      <w:r>
        <w:rPr>
          <w:rFonts w:hint="eastAsia"/>
        </w:rPr>
        <w:t>导</w:t>
      </w:r>
      <w:r>
        <w:rPr>
          <w:rFonts w:hint="eastAsia"/>
          <w:lang w:val="en-US" w:eastAsia="zh-CN"/>
        </w:rPr>
        <w:t>入</w:t>
      </w:r>
      <w:r>
        <w:rPr>
          <w:rFonts w:hint="eastAsia"/>
        </w:rPr>
        <w:t>案件信息到案件</w:t>
      </w:r>
      <w:r>
        <w:rPr>
          <w:rFonts w:hint="eastAsia"/>
          <w:lang w:eastAsia="zh-CN"/>
        </w:rPr>
        <w:t>查</w:t>
      </w:r>
      <w:r>
        <w:rPr>
          <w:rFonts w:hint="eastAsia"/>
        </w:rPr>
        <w:t>询系统</w:t>
      </w:r>
      <w:r>
        <w:t>347人，口头提示文</w:t>
      </w:r>
      <w:r>
        <w:rPr>
          <w:rFonts w:hint="eastAsia"/>
        </w:rPr>
        <w:t>书使用不当或错漏</w:t>
      </w:r>
      <w:r>
        <w:t>11次，接待律师来访、阅卷22</w:t>
      </w:r>
      <w:r>
        <w:rPr>
          <w:rFonts w:hint="eastAsia"/>
        </w:rPr>
        <w:t>次，接待当事人</w:t>
      </w:r>
      <w:r>
        <w:rPr>
          <w:rFonts w:hint="eastAsia"/>
          <w:lang w:eastAsia="zh-CN"/>
        </w:rPr>
        <w:t>查</w:t>
      </w:r>
      <w:r>
        <w:rPr>
          <w:rFonts w:hint="eastAsia"/>
        </w:rPr>
        <w:t>询案件</w:t>
      </w:r>
      <w:r>
        <w:t>137次。撰写案管工作信</w:t>
      </w:r>
      <w:r>
        <w:rPr>
          <w:rFonts w:hint="eastAsia"/>
        </w:rPr>
        <w:t>息</w:t>
      </w:r>
      <w:r>
        <w:t>7篇，被市院</w:t>
      </w:r>
      <w:r>
        <w:rPr>
          <w:rFonts w:hint="eastAsia"/>
          <w:lang w:val="en-US" w:eastAsia="zh-CN"/>
        </w:rPr>
        <w:t>采</w:t>
      </w:r>
      <w:r>
        <w:t>用3篇；编发《案件管理工作简</w:t>
      </w:r>
      <w:r>
        <w:rPr>
          <w:rFonts w:hint="eastAsia"/>
        </w:rPr>
        <w:t>报》</w:t>
      </w:r>
      <w:r>
        <w:t>3期，撰写业务考评综合分析材料3篇。</w:t>
      </w:r>
    </w:p>
    <w:p w14:paraId="75798264">
      <w:pPr>
        <w:pStyle w:val="4"/>
        <w:bidi w:val="0"/>
        <w:rPr>
          <w:rFonts w:hint="eastAsia"/>
        </w:rPr>
      </w:pPr>
      <w:r>
        <w:rPr>
          <w:rFonts w:hint="eastAsia"/>
        </w:rPr>
        <w:t>【驻湖口检察室】</w:t>
      </w:r>
    </w:p>
    <w:p w14:paraId="01D369B2">
      <w:pPr>
        <w:rPr>
          <w:rFonts w:hint="eastAsia"/>
          <w:lang w:eastAsia="zh-CN"/>
        </w:rPr>
      </w:pPr>
      <w:r>
        <w:rPr>
          <w:rFonts w:hint="eastAsia"/>
        </w:rPr>
        <w:t>湖口检察室开展法制宣传，发放资料</w:t>
      </w:r>
      <w:r>
        <w:t>5000份，参与社会矛盾化解和调节工作</w:t>
      </w:r>
      <w:r>
        <w:rPr>
          <w:rFonts w:hint="eastAsia"/>
          <w:lang w:eastAsia="zh-CN"/>
        </w:rPr>
        <w:t>；</w:t>
      </w:r>
      <w:r>
        <w:rPr>
          <w:rFonts w:hint="eastAsia"/>
        </w:rPr>
        <w:t>参与社区矫正工作检</w:t>
      </w:r>
      <w:r>
        <w:rPr>
          <w:rFonts w:hint="eastAsia"/>
          <w:lang w:eastAsia="zh-CN"/>
        </w:rPr>
        <w:t>查</w:t>
      </w:r>
      <w:r>
        <w:rPr>
          <w:rFonts w:hint="eastAsia"/>
        </w:rPr>
        <w:t>和督导，</w:t>
      </w:r>
      <w:r>
        <w:t>2013年接收17宗17人社区矫正人员，其中珠玑镇7人，江头镇1</w:t>
      </w:r>
      <w:r>
        <w:rPr>
          <w:rFonts w:hint="eastAsia"/>
        </w:rPr>
        <w:t>人，湖口镇</w:t>
      </w:r>
      <w:r>
        <w:t>2人，南亩镇1人，水口镇5人。每月</w:t>
      </w:r>
      <w:r>
        <w:rPr>
          <w:rFonts w:hint="eastAsia"/>
        </w:rPr>
        <w:t>定期开展一次“检察开放日”活动。</w:t>
      </w:r>
      <w:r>
        <w:t>2013年检察</w:t>
      </w:r>
      <w:r>
        <w:rPr>
          <w:rFonts w:hint="eastAsia"/>
        </w:rPr>
        <w:t>室开展</w:t>
      </w:r>
      <w:r>
        <w:t>10次接访活动，其中湖口镇3次、珠玑镇2</w:t>
      </w:r>
      <w:r>
        <w:rPr>
          <w:rFonts w:hint="eastAsia"/>
        </w:rPr>
        <w:t>次，南亩镇、江头镇各</w:t>
      </w:r>
      <w:r>
        <w:t>2次、水口镇1次，此外，</w:t>
      </w:r>
      <w:r>
        <w:rPr>
          <w:rFonts w:hint="eastAsia"/>
        </w:rPr>
        <w:t>还在湖口开展</w:t>
      </w:r>
      <w:r>
        <w:t>3次座谈会</w:t>
      </w:r>
      <w:r>
        <w:rPr>
          <w:rFonts w:hint="eastAsia"/>
          <w:lang w:eastAsia="zh-CN"/>
        </w:rPr>
        <w:t>。</w:t>
      </w:r>
    </w:p>
    <w:p w14:paraId="1AE2A7A6">
      <w:pPr>
        <w:pStyle w:val="4"/>
        <w:bidi w:val="0"/>
        <w:rPr>
          <w:rFonts w:hint="eastAsia"/>
        </w:rPr>
      </w:pPr>
      <w:r>
        <w:rPr>
          <w:rFonts w:hint="eastAsia"/>
        </w:rPr>
        <w:t>【中心工作】</w:t>
      </w:r>
    </w:p>
    <w:p w14:paraId="211A0E26">
      <w:pPr>
        <w:rPr>
          <w:rFonts w:hint="eastAsia"/>
        </w:rPr>
      </w:pPr>
      <w:r>
        <w:rPr>
          <w:rFonts w:hint="eastAsia"/>
        </w:rPr>
        <w:t>运用检察职能服务经济社会发展大局，</w:t>
      </w:r>
      <w:r>
        <w:t>2013年重点开展打击农村土地非法流转、食品</w:t>
      </w:r>
      <w:r>
        <w:rPr>
          <w:rFonts w:hint="eastAsia"/>
        </w:rPr>
        <w:t>药品假冒伪劣以及商业贿赂等阻碍经济发展大局的犯罪行为。</w:t>
      </w:r>
      <w:r>
        <w:rPr>
          <w:rFonts w:hint="eastAsia"/>
          <w:lang w:eastAsia="zh-CN"/>
        </w:rPr>
        <w:t>查</w:t>
      </w:r>
      <w:r>
        <w:rPr>
          <w:rFonts w:hint="eastAsia"/>
        </w:rPr>
        <w:t>办发生在土地征收征用补偿过程中黄历生、黄志亮、黄云坚的系列腐败窝案串案；</w:t>
      </w:r>
      <w:r>
        <w:rPr>
          <w:rFonts w:hint="eastAsia"/>
          <w:lang w:eastAsia="zh-CN"/>
        </w:rPr>
        <w:t>查</w:t>
      </w:r>
      <w:r>
        <w:rPr>
          <w:rFonts w:hint="eastAsia"/>
        </w:rPr>
        <w:t>办水利工程项目建设中破坏市场秩序的何启林、阳良芯职务犯罪案件。在以抓办大案促进经济发展的同时，抽调干警</w:t>
      </w:r>
      <w:r>
        <w:t>25人次参加南雄“平安建设”活动</w:t>
      </w:r>
      <w:r>
        <w:rPr>
          <w:rFonts w:hint="eastAsia"/>
        </w:rPr>
        <w:t>以及“扶贫双到”、“两违整治”活动中心工作。</w:t>
      </w:r>
    </w:p>
    <w:p w14:paraId="55C4451C">
      <w:pPr>
        <w:pStyle w:val="4"/>
        <w:bidi w:val="0"/>
        <w:rPr>
          <w:rFonts w:hint="eastAsia"/>
        </w:rPr>
      </w:pPr>
      <w:r>
        <w:rPr>
          <w:rFonts w:hint="eastAsia"/>
        </w:rPr>
        <w:t>【队伍建设】</w:t>
      </w:r>
    </w:p>
    <w:p w14:paraId="5379DAD2">
      <w:pPr>
        <w:rPr>
          <w:rFonts w:hint="eastAsia"/>
        </w:rPr>
      </w:pPr>
      <w:r>
        <w:rPr>
          <w:rFonts w:hint="eastAsia"/>
        </w:rPr>
        <w:t>以政法干警核心价值观教育活动为契机，加大领导班子和队伍建设力度，调整部分党组成员分工；以公开招录公务员、调入专业人才等方式，增加</w:t>
      </w:r>
      <w:r>
        <w:t>5名青年干警，使队伍老龄化问题得到</w:t>
      </w:r>
      <w:r>
        <w:rPr>
          <w:rFonts w:hint="eastAsia"/>
        </w:rPr>
        <w:t>改善。将符合条件的</w:t>
      </w:r>
      <w:r>
        <w:t>2名年轻干警提升为助理检察</w:t>
      </w:r>
      <w:r>
        <w:rPr>
          <w:rFonts w:hint="eastAsia"/>
        </w:rPr>
        <w:t>员，增加</w:t>
      </w:r>
      <w:r>
        <w:t>4名年轻的副科长（正股级，其中3名为</w:t>
      </w:r>
      <w:r>
        <w:rPr>
          <w:rFonts w:hint="eastAsia"/>
        </w:rPr>
        <w:t>八五后年青人）充实到工作量大的业务科室，成为检察业务的年轻骨干。</w:t>
      </w:r>
    </w:p>
    <w:p w14:paraId="4DF45C7C">
      <w:pPr>
        <w:pStyle w:val="4"/>
        <w:bidi w:val="0"/>
        <w:rPr>
          <w:rFonts w:hint="eastAsia"/>
        </w:rPr>
      </w:pPr>
      <w:r>
        <w:rPr>
          <w:rFonts w:hint="eastAsia"/>
        </w:rPr>
        <w:t>【典型案例】</w:t>
      </w:r>
    </w:p>
    <w:p w14:paraId="420B093D">
      <w:pPr>
        <w:rPr>
          <w:rFonts w:hint="eastAsia"/>
        </w:rPr>
      </w:pPr>
      <w:r>
        <w:rPr>
          <w:rFonts w:hint="eastAsia"/>
        </w:rPr>
        <w:t>反贪部门</w:t>
      </w:r>
      <w:r>
        <w:rPr>
          <w:rFonts w:hint="eastAsia"/>
          <w:lang w:eastAsia="zh-CN"/>
        </w:rPr>
        <w:t>查</w:t>
      </w:r>
      <w:r>
        <w:rPr>
          <w:rFonts w:hint="eastAsia"/>
        </w:rPr>
        <w:t>处的黄历生、黄志亮、黄云坚贪污案，是南雄市近年来国家建设土地征用补偿重点领域中的一个典型案例。三犯利用在乡镇、村委会干部的职务便利，在向农民征地发放补偿工作中进行贪污多达</w:t>
      </w:r>
      <w:r>
        <w:t>1118168元，已经严重损害</w:t>
      </w:r>
      <w:r>
        <w:rPr>
          <w:rFonts w:hint="eastAsia"/>
        </w:rPr>
        <w:t>国家利益和人民群众对政府的信任感。在办理该案的同时，注重案件宣传剖析，充分发挥案件的警示作用，发放《检察建议书》到案发单位以案促建，以案促改，帮助案发单位整改自</w:t>
      </w:r>
      <w:r>
        <w:rPr>
          <w:rFonts w:hint="eastAsia"/>
          <w:lang w:eastAsia="zh-CN"/>
        </w:rPr>
        <w:t>查</w:t>
      </w:r>
      <w:r>
        <w:rPr>
          <w:rFonts w:hint="eastAsia"/>
        </w:rPr>
        <w:t>，</w:t>
      </w:r>
      <w:r>
        <w:rPr>
          <w:rFonts w:hint="eastAsia"/>
          <w:lang w:eastAsia="zh-CN"/>
        </w:rPr>
        <w:t>查</w:t>
      </w:r>
      <w:r>
        <w:rPr>
          <w:rFonts w:hint="eastAsia"/>
        </w:rPr>
        <w:t>找制度漏洞，取得良好的社会效果和法律效果。</w:t>
      </w:r>
    </w:p>
    <w:p w14:paraId="35FC1814">
      <w:pPr>
        <w:jc w:val="right"/>
        <w:rPr>
          <w:rFonts w:hint="eastAsia"/>
          <w:b/>
          <w:bCs/>
        </w:rPr>
      </w:pPr>
      <w:r>
        <w:rPr>
          <w:rFonts w:hint="eastAsia"/>
          <w:b/>
          <w:bCs/>
        </w:rPr>
        <w:t>（胡飞龙）</w:t>
      </w:r>
    </w:p>
    <w:p w14:paraId="634C909A">
      <w:pPr>
        <w:pStyle w:val="10"/>
        <w:bidi w:val="0"/>
        <w:rPr>
          <w:b/>
          <w:bCs/>
        </w:rPr>
      </w:pPr>
      <w:r>
        <w:rPr>
          <w:rFonts w:hint="eastAsia"/>
          <w:b/>
          <w:bCs/>
        </w:rPr>
        <w:t>附：</w:t>
      </w:r>
      <w:r>
        <w:rPr>
          <w:b/>
          <w:bCs/>
        </w:rPr>
        <w:t>2013年市检察院领导班子成员名单</w:t>
      </w:r>
    </w:p>
    <w:p w14:paraId="17A4FE33">
      <w:pPr>
        <w:pStyle w:val="10"/>
        <w:bidi w:val="0"/>
        <w:rPr>
          <w:rFonts w:hint="eastAsia"/>
        </w:rPr>
      </w:pPr>
      <w:r>
        <w:rPr>
          <w:rFonts w:hint="eastAsia"/>
          <w:b/>
          <w:bCs/>
        </w:rPr>
        <w:t>党组书记、检察长：</w:t>
      </w:r>
      <w:r>
        <w:rPr>
          <w:rFonts w:hint="eastAsia"/>
        </w:rPr>
        <w:t>赖正志</w:t>
      </w:r>
    </w:p>
    <w:p w14:paraId="3D40B311">
      <w:pPr>
        <w:pStyle w:val="10"/>
        <w:bidi w:val="0"/>
        <w:rPr>
          <w:rFonts w:hint="eastAsia"/>
        </w:rPr>
      </w:pPr>
      <w:r>
        <w:rPr>
          <w:rFonts w:hint="eastAsia"/>
          <w:b/>
          <w:bCs/>
        </w:rPr>
        <w:t>党组副书记、副检察长：</w:t>
      </w:r>
      <w:r>
        <w:rPr>
          <w:rFonts w:hint="eastAsia"/>
        </w:rPr>
        <w:t>刘辉林</w:t>
      </w:r>
    </w:p>
    <w:p w14:paraId="7FBD766E">
      <w:pPr>
        <w:pStyle w:val="10"/>
        <w:bidi w:val="0"/>
        <w:rPr>
          <w:rFonts w:hint="eastAsia"/>
        </w:rPr>
      </w:pPr>
      <w:r>
        <w:rPr>
          <w:rFonts w:hint="eastAsia"/>
          <w:b/>
          <w:bCs/>
        </w:rPr>
        <w:t>党组成员、副检察长：</w:t>
      </w:r>
      <w:r>
        <w:rPr>
          <w:rFonts w:hint="eastAsia"/>
        </w:rPr>
        <w:t>利保登</w:t>
      </w:r>
    </w:p>
    <w:p w14:paraId="542FA249">
      <w:pPr>
        <w:pStyle w:val="10"/>
        <w:bidi w:val="0"/>
        <w:rPr>
          <w:rFonts w:hint="eastAsia"/>
        </w:rPr>
      </w:pPr>
      <w:r>
        <w:rPr>
          <w:rFonts w:hint="eastAsia"/>
          <w:b/>
          <w:bCs/>
        </w:rPr>
        <w:t>党组成员、副检察长、反贪局长：</w:t>
      </w:r>
      <w:r>
        <w:rPr>
          <w:rFonts w:hint="eastAsia"/>
        </w:rPr>
        <w:t>王晓云</w:t>
      </w:r>
    </w:p>
    <w:p w14:paraId="74FF5FEE">
      <w:pPr>
        <w:pStyle w:val="10"/>
        <w:bidi w:val="0"/>
        <w:rPr>
          <w:rFonts w:hint="eastAsia"/>
        </w:rPr>
      </w:pPr>
      <w:r>
        <w:rPr>
          <w:rFonts w:hint="eastAsia"/>
          <w:b/>
          <w:bCs/>
        </w:rPr>
        <w:t>党组成员、纪检组长：</w:t>
      </w:r>
      <w:r>
        <w:rPr>
          <w:rFonts w:hint="eastAsia"/>
        </w:rPr>
        <w:t>李</w:t>
      </w:r>
      <w:r>
        <w:rPr>
          <w:rFonts w:hint="eastAsia"/>
          <w:lang w:val="en-US" w:eastAsia="zh-CN"/>
        </w:rPr>
        <w:t xml:space="preserve">  </w:t>
      </w:r>
      <w:r>
        <w:rPr>
          <w:rFonts w:hint="eastAsia"/>
        </w:rPr>
        <w:t>兵</w:t>
      </w:r>
    </w:p>
    <w:p w14:paraId="6AA4843F">
      <w:pPr>
        <w:pStyle w:val="10"/>
        <w:bidi w:val="0"/>
        <w:rPr>
          <w:rFonts w:hint="eastAsia"/>
        </w:rPr>
      </w:pPr>
      <w:r>
        <w:rPr>
          <w:rFonts w:hint="eastAsia"/>
          <w:b/>
          <w:bCs/>
        </w:rPr>
        <w:t>党组成员、政工科长：</w:t>
      </w:r>
      <w:r>
        <w:rPr>
          <w:rFonts w:hint="eastAsia"/>
        </w:rPr>
        <w:t>刘</w:t>
      </w:r>
      <w:r>
        <w:rPr>
          <w:rFonts w:hint="eastAsia"/>
          <w:lang w:val="en-US" w:eastAsia="zh-CN"/>
        </w:rPr>
        <w:t xml:space="preserve">  </w:t>
      </w:r>
      <w:r>
        <w:rPr>
          <w:rFonts w:hint="eastAsia"/>
        </w:rPr>
        <w:t>军</w:t>
      </w:r>
    </w:p>
    <w:p w14:paraId="7F9F3BA7">
      <w:pPr>
        <w:pStyle w:val="3"/>
        <w:bidi w:val="0"/>
        <w:rPr>
          <w:rFonts w:hint="eastAsia"/>
          <w:lang w:val="en-US" w:eastAsia="zh-CN"/>
        </w:rPr>
      </w:pPr>
      <w:r>
        <w:rPr>
          <w:rFonts w:hint="eastAsia"/>
          <w:lang w:val="en-US" w:eastAsia="zh-CN"/>
        </w:rPr>
        <w:t>审判</w:t>
      </w:r>
    </w:p>
    <w:p w14:paraId="478D5205">
      <w:pPr>
        <w:pStyle w:val="4"/>
        <w:bidi w:val="0"/>
        <w:rPr>
          <w:rFonts w:hint="eastAsia"/>
        </w:rPr>
      </w:pPr>
      <w:r>
        <w:rPr>
          <w:rFonts w:hint="eastAsia"/>
        </w:rPr>
        <w:t>【概况】</w:t>
      </w:r>
    </w:p>
    <w:p w14:paraId="10D97842">
      <w:pPr>
        <w:rPr>
          <w:rFonts w:hint="eastAsia"/>
        </w:rPr>
      </w:pPr>
      <w:r>
        <w:rPr>
          <w:rFonts w:hint="eastAsia"/>
        </w:rPr>
        <w:t>南雄市人民法院（以下简称市法院）位南雄市雄州街道新城林荫西路</w:t>
      </w:r>
      <w:r>
        <w:t>11号，现有干警83</w:t>
      </w:r>
      <w:r>
        <w:rPr>
          <w:rFonts w:hint="eastAsia"/>
        </w:rPr>
        <w:t>人，内设机构</w:t>
      </w:r>
      <w:r>
        <w:t>13个：政工科、办公室、监察（纪</w:t>
      </w:r>
      <w:r>
        <w:rPr>
          <w:rFonts w:hint="eastAsia"/>
        </w:rPr>
        <w:t>检）室、研究室、审判管理办公室、书记员管理办公室、立案庭、民事审判第</w:t>
      </w:r>
      <w:r>
        <w:rPr>
          <w:rFonts w:hint="eastAsia"/>
          <w:lang w:val="en-US" w:eastAsia="zh-CN"/>
        </w:rPr>
        <w:t>一、二、</w:t>
      </w:r>
      <w:r>
        <w:rPr>
          <w:rFonts w:hint="eastAsia"/>
        </w:rPr>
        <w:t>三庭、刑事审判庭、行政审判庭、执行局。直属机构</w:t>
      </w:r>
      <w:r>
        <w:t>1个：法警</w:t>
      </w:r>
      <w:r>
        <w:rPr>
          <w:rFonts w:hint="eastAsia"/>
        </w:rPr>
        <w:t>大队。派出机构</w:t>
      </w:r>
      <w:r>
        <w:t>3个：乌迳法庭、湖口法庭、全安</w:t>
      </w:r>
      <w:r>
        <w:rPr>
          <w:rFonts w:hint="eastAsia"/>
        </w:rPr>
        <w:t>法庭。</w:t>
      </w:r>
    </w:p>
    <w:p w14:paraId="04828A6D">
      <w:pPr>
        <w:rPr>
          <w:rFonts w:hint="eastAsia"/>
          <w:lang w:eastAsia="zh-CN"/>
        </w:rPr>
      </w:pPr>
      <w:r>
        <w:t>2013年，市法院受理各类案件1732宗，审</w:t>
      </w:r>
      <w:r>
        <w:rPr>
          <w:rFonts w:hint="eastAsia"/>
          <w:lang w:eastAsia="zh-CN"/>
        </w:rPr>
        <w:t>、</w:t>
      </w:r>
      <w:r>
        <w:rPr>
          <w:rFonts w:hint="eastAsia"/>
        </w:rPr>
        <w:t>执结案件</w:t>
      </w:r>
      <w:r>
        <w:t>1689宗，结案率为97</w:t>
      </w:r>
      <w:r>
        <w:rPr>
          <w:rFonts w:hint="eastAsia"/>
          <w:lang w:val="en-US" w:eastAsia="zh-CN"/>
        </w:rPr>
        <w:t>.</w:t>
      </w:r>
      <w:r>
        <w:t>5%</w:t>
      </w:r>
      <w:r>
        <w:rPr>
          <w:rFonts w:hint="eastAsia"/>
          <w:lang w:eastAsia="zh-CN"/>
        </w:rPr>
        <w:t>。</w:t>
      </w:r>
    </w:p>
    <w:p w14:paraId="4DBFC237">
      <w:pPr>
        <w:pStyle w:val="4"/>
        <w:bidi w:val="0"/>
        <w:rPr>
          <w:rFonts w:hint="eastAsia"/>
        </w:rPr>
      </w:pPr>
      <w:r>
        <w:rPr>
          <w:rFonts w:hint="eastAsia"/>
        </w:rPr>
        <w:t>【刑事审判】</w:t>
      </w:r>
    </w:p>
    <w:p w14:paraId="510A5AED">
      <w:pPr>
        <w:rPr>
          <w:rFonts w:hint="eastAsia"/>
        </w:rPr>
      </w:pPr>
      <w:r>
        <w:rPr>
          <w:rFonts w:hint="eastAsia"/>
          <w:lang w:val="en-US" w:eastAsia="zh-CN"/>
        </w:rPr>
        <w:t>2</w:t>
      </w:r>
      <w:r>
        <w:t>013年受理各类刑事案件117宗160人，已经全部审结。按照“宽严相济”的形势</w:t>
      </w:r>
      <w:r>
        <w:rPr>
          <w:rFonts w:hint="eastAsia"/>
        </w:rPr>
        <w:t>政策，依法严惩一批社会危害性大及影响南雄市经济建设的犯罪；按照“教育为主、惩罚为辅”的原则，在审理未成年人犯罪案件时，树立有利于未成年人成长的量刑观念，实行圆桌审判，不适用公开开庭、不适用戴戒具，判决书不适用剥夺政治权利，在庭审中进行法制宣传和教育。审理的</w:t>
      </w:r>
      <w:r>
        <w:t>6宗6</w:t>
      </w:r>
      <w:r>
        <w:rPr>
          <w:rFonts w:hint="eastAsia"/>
        </w:rPr>
        <w:t>人未成年人犯罪案件均从轻处罚。所审结的未成年人犯罪案件中，重新犯罪率为零。</w:t>
      </w:r>
    </w:p>
    <w:p w14:paraId="64184A37">
      <w:pPr>
        <w:pStyle w:val="4"/>
        <w:bidi w:val="0"/>
        <w:rPr>
          <w:rFonts w:hint="eastAsia"/>
        </w:rPr>
      </w:pPr>
      <w:r>
        <w:rPr>
          <w:rFonts w:hint="eastAsia"/>
        </w:rPr>
        <w:t>【民商事审判】</w:t>
      </w:r>
    </w:p>
    <w:p w14:paraId="2F356531">
      <w:pPr>
        <w:rPr>
          <w:rFonts w:hint="eastAsia"/>
          <w:lang w:eastAsia="zh-CN"/>
        </w:rPr>
      </w:pPr>
      <w:r>
        <w:t>2013年受理民商事案件1167宗</w:t>
      </w:r>
      <w:r>
        <w:rPr>
          <w:rFonts w:hint="eastAsia"/>
        </w:rPr>
        <w:t>（含旧存</w:t>
      </w:r>
      <w:r>
        <w:t>21宗），结案1150宗，结案率为98.50%，</w:t>
      </w:r>
      <w:r>
        <w:rPr>
          <w:rFonts w:hint="eastAsia"/>
        </w:rPr>
        <w:t>解决标的金额</w:t>
      </w:r>
      <w:r>
        <w:t>5614.90万元。其中，判决389宗</w:t>
      </w:r>
      <w:r>
        <w:rPr>
          <w:rFonts w:hint="eastAsia"/>
          <w:lang w:eastAsia="zh-CN"/>
        </w:rPr>
        <w:t>，</w:t>
      </w:r>
      <w:r>
        <w:rPr>
          <w:rFonts w:hint="eastAsia"/>
        </w:rPr>
        <w:t>调解、撤诉</w:t>
      </w:r>
      <w:r>
        <w:t>692宗，调撤率为60.17%。新修订的</w:t>
      </w:r>
      <w:r>
        <w:rPr>
          <w:rFonts w:hint="eastAsia"/>
        </w:rPr>
        <w:t>《中华人民共和国民事诉讼法》实施后，市法院加强学习培训的力度，每周五下午组织法官集中学习，较快地领会相关法律精神。针对民诉法关于小额诉讼制度和确认调解协议的新规定，及时进行掌握和运用。符合小额诉讼的案件（占比</w:t>
      </w:r>
      <w:r>
        <w:t>30%以</w:t>
      </w:r>
      <w:r>
        <w:rPr>
          <w:rFonts w:hint="eastAsia"/>
        </w:rPr>
        <w:t>上），全部在</w:t>
      </w:r>
      <w:r>
        <w:t>1个月内审结，审判效率明显提高；</w:t>
      </w:r>
      <w:r>
        <w:rPr>
          <w:rFonts w:hint="eastAsia"/>
        </w:rPr>
        <w:t>符合确认调解协议的</w:t>
      </w:r>
      <w:r>
        <w:t>166宗“诉前联调”案件（包</w:t>
      </w:r>
      <w:r>
        <w:rPr>
          <w:rFonts w:hint="eastAsia"/>
        </w:rPr>
        <w:t>括交通事故巡回法庭确认案件），全部进行审</w:t>
      </w:r>
      <w:r>
        <w:rPr>
          <w:rFonts w:hint="eastAsia"/>
          <w:lang w:eastAsia="zh-CN"/>
        </w:rPr>
        <w:t>查</w:t>
      </w:r>
      <w:r>
        <w:rPr>
          <w:rFonts w:hint="eastAsia"/>
        </w:rPr>
        <w:t>和确认。规范诉讼代理，法院制定《诉讼代理人告知书》，制止“黑律师”的非法代理行为，扭转以往代理服务市场混乱的局面，维护当事人的合法权益</w:t>
      </w:r>
      <w:r>
        <w:rPr>
          <w:rFonts w:hint="eastAsia"/>
          <w:lang w:eastAsia="zh-CN"/>
        </w:rPr>
        <w:t>。</w:t>
      </w:r>
    </w:p>
    <w:p w14:paraId="622E11F7">
      <w:pPr>
        <w:pStyle w:val="4"/>
        <w:bidi w:val="0"/>
        <w:rPr>
          <w:rFonts w:hint="eastAsia"/>
          <w:lang w:eastAsia="zh-CN"/>
        </w:rPr>
      </w:pPr>
      <w:r>
        <w:rPr>
          <w:rFonts w:hint="eastAsia"/>
        </w:rPr>
        <w:t>【行政审判</w:t>
      </w:r>
      <w:r>
        <w:rPr>
          <w:rFonts w:hint="eastAsia"/>
          <w:lang w:eastAsia="zh-CN"/>
        </w:rPr>
        <w:t>】</w:t>
      </w:r>
    </w:p>
    <w:p w14:paraId="7C167DEE">
      <w:r>
        <w:t>2013年受理行政案件15宗，结案14宗，其中撤诉7宗，判决7宗，是近年来撤诉案</w:t>
      </w:r>
      <w:r>
        <w:rPr>
          <w:rFonts w:hint="eastAsia"/>
        </w:rPr>
        <w:t>件最多的一年。依法审</w:t>
      </w:r>
      <w:r>
        <w:rPr>
          <w:rFonts w:hint="eastAsia"/>
          <w:lang w:eastAsia="zh-CN"/>
        </w:rPr>
        <w:t>查</w:t>
      </w:r>
      <w:r>
        <w:t>115宗行政非诉案件，达</w:t>
      </w:r>
      <w:r>
        <w:rPr>
          <w:rFonts w:hint="eastAsia"/>
        </w:rPr>
        <w:t>标率</w:t>
      </w:r>
      <w:r>
        <w:t>100%。</w:t>
      </w:r>
    </w:p>
    <w:p w14:paraId="031A60D7">
      <w:pPr>
        <w:pStyle w:val="4"/>
        <w:bidi w:val="0"/>
        <w:rPr>
          <w:rFonts w:hint="eastAsia"/>
        </w:rPr>
      </w:pPr>
      <w:r>
        <w:rPr>
          <w:rFonts w:hint="eastAsia"/>
        </w:rPr>
        <w:t>【执行工作】</w:t>
      </w:r>
    </w:p>
    <w:p w14:paraId="40E935A0">
      <w:r>
        <w:t>2013年受理各类执行案件406宗</w:t>
      </w:r>
      <w:r>
        <w:rPr>
          <w:rFonts w:hint="eastAsia"/>
        </w:rPr>
        <w:t>（含旧存</w:t>
      </w:r>
      <w:r>
        <w:t>5宗），执结404宗，执结率为99.50%。</w:t>
      </w:r>
      <w:r>
        <w:rPr>
          <w:rFonts w:hint="eastAsia"/>
        </w:rPr>
        <w:t>申请执行标的</w:t>
      </w:r>
      <w:r>
        <w:t>3108.06万元，执结标的2507.82万</w:t>
      </w:r>
      <w:r>
        <w:rPr>
          <w:rFonts w:hint="eastAsia"/>
        </w:rPr>
        <w:t>元，执行标的到位率为</w:t>
      </w:r>
      <w:r>
        <w:t>75.54%。在执行工作中，</w:t>
      </w:r>
      <w:r>
        <w:rPr>
          <w:rFonts w:hint="eastAsia"/>
        </w:rPr>
        <w:t>引入新的理念和方法，加大力度。对涉及财产执行的案件，全面实行被执行人财产报告制度和“四</w:t>
      </w:r>
      <w:r>
        <w:rPr>
          <w:rFonts w:hint="eastAsia"/>
          <w:lang w:eastAsia="zh-CN"/>
        </w:rPr>
        <w:t>查</w:t>
      </w:r>
      <w:r>
        <w:rPr>
          <w:rFonts w:hint="eastAsia"/>
        </w:rPr>
        <w:t>”措施；对执行异议案件，实行听证制度；对经济确实困难申请人，采取救济措施，救济金额达</w:t>
      </w:r>
      <w:r>
        <w:t>16</w:t>
      </w:r>
      <w:r>
        <w:rPr>
          <w:rFonts w:hint="eastAsia"/>
        </w:rPr>
        <w:t>万元。对影响南雄铁路施工等经济建设案件，组织</w:t>
      </w:r>
      <w:r>
        <w:t>3次规模较大执行活动，取得明显效果。</w:t>
      </w:r>
    </w:p>
    <w:p w14:paraId="60803828">
      <w:pPr>
        <w:rPr>
          <w:rFonts w:hint="eastAsia"/>
        </w:rPr>
      </w:pPr>
      <w:r>
        <w:rPr>
          <w:rFonts w:hint="eastAsia"/>
        </w:rPr>
        <w:t>为方便当事人</w:t>
      </w:r>
      <w:r>
        <w:rPr>
          <w:rFonts w:hint="eastAsia"/>
          <w:lang w:eastAsia="zh-CN"/>
        </w:rPr>
        <w:t>查</w:t>
      </w:r>
      <w:r>
        <w:rPr>
          <w:rFonts w:hint="eastAsia"/>
        </w:rPr>
        <w:t>询，市法院利用全国法院执行案件信息管理系统，已录入</w:t>
      </w:r>
      <w:r>
        <w:t>532宗案件的被执行人</w:t>
      </w:r>
      <w:r>
        <w:rPr>
          <w:rFonts w:hint="eastAsia"/>
        </w:rPr>
        <w:t>信息。被执行人名称、标的、期限、当前状况、可供执行的财产及承办法官等信息全部录入系统；通过最高人民法院网站公布两批失信被执行人名单，并向相关部门通报。失信被执行人在政府采购、招标投标、行政审批、政府扶持、融资信贷、市场准入、资质认定方面，将受到信用惩戒。社会公众可登录最高人民法院网站</w:t>
      </w:r>
      <w:r>
        <w:rPr>
          <w:rFonts w:hint="eastAsia"/>
          <w:lang w:eastAsia="zh-CN"/>
        </w:rPr>
        <w:t>查</w:t>
      </w:r>
      <w:r>
        <w:rPr>
          <w:rFonts w:hint="eastAsia"/>
        </w:rPr>
        <w:t>询。</w:t>
      </w:r>
    </w:p>
    <w:p w14:paraId="36933124">
      <w:r>
        <w:t>2013年接待执行来访205人次，来信15件次，</w:t>
      </w:r>
      <w:r>
        <w:rPr>
          <w:rFonts w:hint="eastAsia"/>
        </w:rPr>
        <w:t>处理中院督办</w:t>
      </w:r>
      <w:r>
        <w:t>2件次；恢复已中止的执行案件113宗。</w:t>
      </w:r>
    </w:p>
    <w:p w14:paraId="1F5ECD8D">
      <w:pPr>
        <w:pStyle w:val="4"/>
        <w:bidi w:val="0"/>
        <w:rPr>
          <w:rFonts w:hint="eastAsia"/>
        </w:rPr>
      </w:pPr>
      <w:r>
        <w:rPr>
          <w:rFonts w:hint="eastAsia"/>
        </w:rPr>
        <w:t>【审判管理】</w:t>
      </w:r>
    </w:p>
    <w:p w14:paraId="0E6126F8">
      <w:pPr>
        <w:rPr>
          <w:rFonts w:hint="eastAsia"/>
        </w:rPr>
      </w:pPr>
      <w:r>
        <w:rPr>
          <w:rFonts w:hint="eastAsia"/>
        </w:rPr>
        <w:t>为加强质量监督，市法院专门成立“案件质量评</w:t>
      </w:r>
      <w:r>
        <w:rPr>
          <w:rFonts w:hint="eastAsia"/>
          <w:lang w:eastAsia="zh-CN"/>
        </w:rPr>
        <w:t>查</w:t>
      </w:r>
      <w:r>
        <w:rPr>
          <w:rFonts w:hint="eastAsia"/>
        </w:rPr>
        <w:t>活动领导小组”，制定《</w:t>
      </w:r>
      <w:r>
        <w:t>2013年度</w:t>
      </w:r>
      <w:r>
        <w:rPr>
          <w:rFonts w:hint="eastAsia"/>
        </w:rPr>
        <w:t>案件质量评</w:t>
      </w:r>
      <w:r>
        <w:rPr>
          <w:rFonts w:hint="eastAsia"/>
          <w:lang w:eastAsia="zh-CN"/>
        </w:rPr>
        <w:t>查</w:t>
      </w:r>
      <w:r>
        <w:rPr>
          <w:rFonts w:hint="eastAsia"/>
        </w:rPr>
        <w:t>方案》。开展包括常规评</w:t>
      </w:r>
      <w:r>
        <w:rPr>
          <w:rFonts w:hint="eastAsia"/>
          <w:lang w:eastAsia="zh-CN"/>
        </w:rPr>
        <w:t>查</w:t>
      </w:r>
      <w:r>
        <w:rPr>
          <w:rFonts w:hint="eastAsia"/>
        </w:rPr>
        <w:t>、重点评</w:t>
      </w:r>
      <w:r>
        <w:rPr>
          <w:rFonts w:hint="eastAsia"/>
          <w:lang w:eastAsia="zh-CN"/>
        </w:rPr>
        <w:t>查</w:t>
      </w:r>
      <w:r>
        <w:rPr>
          <w:rFonts w:hint="eastAsia"/>
        </w:rPr>
        <w:t>、专项评</w:t>
      </w:r>
      <w:r>
        <w:rPr>
          <w:rFonts w:hint="eastAsia"/>
          <w:lang w:eastAsia="zh-CN"/>
        </w:rPr>
        <w:t>查</w:t>
      </w:r>
      <w:r>
        <w:rPr>
          <w:rFonts w:hint="eastAsia"/>
        </w:rPr>
        <w:t>、专项检</w:t>
      </w:r>
      <w:r>
        <w:rPr>
          <w:rFonts w:hint="eastAsia"/>
          <w:lang w:eastAsia="zh-CN"/>
        </w:rPr>
        <w:t>查</w:t>
      </w:r>
      <w:r>
        <w:rPr>
          <w:rFonts w:hint="eastAsia"/>
        </w:rPr>
        <w:t>在内的各项评</w:t>
      </w:r>
      <w:r>
        <w:rPr>
          <w:rFonts w:hint="eastAsia"/>
          <w:lang w:eastAsia="zh-CN"/>
        </w:rPr>
        <w:t>查</w:t>
      </w:r>
      <w:r>
        <w:rPr>
          <w:rFonts w:hint="eastAsia"/>
        </w:rPr>
        <w:t>工作。</w:t>
      </w:r>
      <w:r>
        <w:t>2013年上诉发改的27宗案件已全部核</w:t>
      </w:r>
      <w:r>
        <w:rPr>
          <w:rFonts w:hint="eastAsia"/>
          <w:lang w:eastAsia="zh-CN"/>
        </w:rPr>
        <w:t>查</w:t>
      </w:r>
      <w:r>
        <w:t>完毕，其</w:t>
      </w:r>
      <w:r>
        <w:rPr>
          <w:rFonts w:hint="eastAsia"/>
        </w:rPr>
        <w:t>中改判</w:t>
      </w:r>
      <w:r>
        <w:t>23宗、指令审理和发回重审各2宗。与去</w:t>
      </w:r>
      <w:r>
        <w:rPr>
          <w:rFonts w:hint="eastAsia"/>
        </w:rPr>
        <w:t>年同期的</w:t>
      </w:r>
      <w:r>
        <w:t>39宗、33宗、6宗相比，分别下降69.23%、69.70%和33.3</w:t>
      </w:r>
      <w:r>
        <w:rPr>
          <w:rFonts w:hint="eastAsia"/>
          <w:lang w:val="en-US" w:eastAsia="zh-CN"/>
        </w:rPr>
        <w:t>3</w:t>
      </w:r>
      <w:r>
        <w:t>%。按照市中院要求，</w:t>
      </w:r>
      <w:r>
        <w:rPr>
          <w:rFonts w:hint="eastAsia"/>
        </w:rPr>
        <w:t>市法院按</w:t>
      </w:r>
      <w:r>
        <w:t>20%的比例抽</w:t>
      </w:r>
      <w:r>
        <w:rPr>
          <w:rFonts w:hint="eastAsia"/>
          <w:lang w:eastAsia="zh-CN"/>
        </w:rPr>
        <w:t>查</w:t>
      </w:r>
      <w:r>
        <w:t>各类案件262件，评</w:t>
      </w:r>
      <w:r>
        <w:rPr>
          <w:rFonts w:hint="eastAsia"/>
          <w:lang w:eastAsia="zh-CN"/>
        </w:rPr>
        <w:t>查</w:t>
      </w:r>
      <w:r>
        <w:t>结</w:t>
      </w:r>
      <w:r>
        <w:rPr>
          <w:rFonts w:hint="eastAsia"/>
        </w:rPr>
        <w:t>果为：优秀</w:t>
      </w:r>
      <w:r>
        <w:t>152件，良好</w:t>
      </w:r>
      <w:r>
        <w:rPr>
          <w:rFonts w:hint="eastAsia"/>
          <w:lang w:val="en-US" w:eastAsia="zh-CN"/>
        </w:rPr>
        <w:t>71</w:t>
      </w:r>
      <w:r>
        <w:t>件，合格39件，占比</w:t>
      </w:r>
      <w:r>
        <w:rPr>
          <w:rFonts w:hint="eastAsia"/>
        </w:rPr>
        <w:t>分别为</w:t>
      </w:r>
      <w:r>
        <w:t>58.00%、27.10%和14.90%，没有发现不</w:t>
      </w:r>
      <w:r>
        <w:rPr>
          <w:rFonts w:hint="eastAsia"/>
        </w:rPr>
        <w:t>合格案件。案件质量和上一年度比较，已有较大提高。</w:t>
      </w:r>
    </w:p>
    <w:p w14:paraId="7FE93B19">
      <w:r>
        <w:rPr>
          <w:rFonts w:hint="eastAsia"/>
        </w:rPr>
        <w:t>加强再审案件的审</w:t>
      </w:r>
      <w:r>
        <w:rPr>
          <w:rFonts w:hint="eastAsia"/>
          <w:lang w:eastAsia="zh-CN"/>
        </w:rPr>
        <w:t>查</w:t>
      </w:r>
      <w:r>
        <w:rPr>
          <w:rFonts w:hint="eastAsia"/>
        </w:rPr>
        <w:t>、审理工作。</w:t>
      </w:r>
      <w:r>
        <w:t>2013年立案</w:t>
      </w:r>
      <w:r>
        <w:rPr>
          <w:rFonts w:hint="eastAsia"/>
        </w:rPr>
        <w:t>受理的</w:t>
      </w:r>
      <w:r>
        <w:t>5宗再审案件，已经审结4宗，其中调解3</w:t>
      </w:r>
      <w:r>
        <w:rPr>
          <w:rFonts w:hint="eastAsia"/>
        </w:rPr>
        <w:t>宗，判决</w:t>
      </w:r>
      <w:r>
        <w:t>1宗。</w:t>
      </w:r>
    </w:p>
    <w:p w14:paraId="646F1090">
      <w:pPr>
        <w:pStyle w:val="4"/>
        <w:bidi w:val="0"/>
        <w:rPr>
          <w:rFonts w:hint="eastAsia"/>
        </w:rPr>
      </w:pPr>
      <w:r>
        <w:rPr>
          <w:rFonts w:hint="eastAsia"/>
        </w:rPr>
        <w:t>【立案信访】</w:t>
      </w:r>
    </w:p>
    <w:p w14:paraId="3E904240">
      <w:r>
        <w:t>2013年审</w:t>
      </w:r>
      <w:r>
        <w:rPr>
          <w:rFonts w:hint="eastAsia"/>
          <w:lang w:eastAsia="zh-CN"/>
        </w:rPr>
        <w:t>查</w:t>
      </w:r>
      <w:r>
        <w:t>立案1412宗。按照分工</w:t>
      </w:r>
      <w:r>
        <w:rPr>
          <w:rFonts w:hint="eastAsia"/>
        </w:rPr>
        <w:t>明确、责任到人、领导把关、规范程序，疑难案件集体讨论的原则，严把立案关，立案及时率、准确率达到</w:t>
      </w:r>
      <w:r>
        <w:t>100%。对经济确有困难的当事人办理缓交</w:t>
      </w:r>
      <w:r>
        <w:rPr>
          <w:rFonts w:hint="eastAsia"/>
        </w:rPr>
        <w:t>诉讼费手续</w:t>
      </w:r>
      <w:r>
        <w:t>24宗，计4.83万元。处理、接待涉诉</w:t>
      </w:r>
      <w:r>
        <w:rPr>
          <w:rFonts w:hint="eastAsia"/>
        </w:rPr>
        <w:t>群众来信、来访</w:t>
      </w:r>
      <w:r>
        <w:t>58件次（其中来信44件，院长接</w:t>
      </w:r>
      <w:r>
        <w:rPr>
          <w:rFonts w:hint="eastAsia"/>
        </w:rPr>
        <w:t>访</w:t>
      </w:r>
      <w:r>
        <w:t>26人次）。涉及信访执行的7宗案件，已执结5</w:t>
      </w:r>
      <w:r>
        <w:rPr>
          <w:rFonts w:hint="eastAsia"/>
        </w:rPr>
        <w:t>宗，化解</w:t>
      </w:r>
      <w:r>
        <w:t>5宗。</w:t>
      </w:r>
    </w:p>
    <w:p w14:paraId="483853ED">
      <w:r>
        <w:rPr>
          <w:rFonts w:hint="eastAsia"/>
        </w:rPr>
        <w:t>由于加强矛盾的排</w:t>
      </w:r>
      <w:r>
        <w:rPr>
          <w:rFonts w:hint="eastAsia"/>
          <w:lang w:eastAsia="zh-CN"/>
        </w:rPr>
        <w:t>查</w:t>
      </w:r>
      <w:r>
        <w:rPr>
          <w:rFonts w:hint="eastAsia"/>
        </w:rPr>
        <w:t>、预防、化解工作，法院信访总量已经呈现连续</w:t>
      </w:r>
      <w:r>
        <w:t>5年下降的良好态势。</w:t>
      </w:r>
    </w:p>
    <w:p w14:paraId="5971F220">
      <w:pPr>
        <w:pStyle w:val="4"/>
        <w:bidi w:val="0"/>
        <w:rPr>
          <w:rFonts w:hint="eastAsia"/>
        </w:rPr>
      </w:pPr>
      <w:r>
        <w:rPr>
          <w:rFonts w:hint="eastAsia"/>
        </w:rPr>
        <w:t>【队伍建设和反腐倡麋工作】</w:t>
      </w:r>
    </w:p>
    <w:p w14:paraId="3D6F0990">
      <w:pPr>
        <w:rPr>
          <w:rFonts w:hint="eastAsia"/>
        </w:rPr>
      </w:pPr>
      <w:r>
        <w:rPr>
          <w:rFonts w:hint="eastAsia"/>
        </w:rPr>
        <w:t>按照“一手抓案件审判，一手抓队伍建设”的工作思路，法院认真落实</w:t>
      </w:r>
      <w:r>
        <w:rPr>
          <w:rFonts w:hint="eastAsia"/>
          <w:lang w:val="en-US" w:eastAsia="zh-CN"/>
        </w:rPr>
        <w:t>中央</w:t>
      </w:r>
      <w:r>
        <w:rPr>
          <w:rFonts w:hint="eastAsia"/>
        </w:rPr>
        <w:t>八项规定，坚持党的群众路线，加强班子和队伍建设。法院干警的工作作风、思想作风明显好转。</w:t>
      </w:r>
    </w:p>
    <w:p w14:paraId="36B35FA1">
      <w:pPr>
        <w:rPr>
          <w:rFonts w:hint="eastAsia"/>
        </w:rPr>
      </w:pPr>
      <w:r>
        <w:t>1.强化队伍的思想政治建设。市法院坚持以社</w:t>
      </w:r>
      <w:r>
        <w:rPr>
          <w:rFonts w:hint="eastAsia"/>
        </w:rPr>
        <w:t>会主义法制理念教育和以“人民法官为人民”主题实践活动为载体，加强政治思想、职业道德和廉洁执法教育，牢固树立全心全意为人民服务的宗旨观念，队伍的政治觉悟不断提</w:t>
      </w:r>
      <w:r>
        <w:rPr>
          <w:rFonts w:hint="eastAsia"/>
          <w:lang w:val="en-US" w:eastAsia="zh-CN"/>
        </w:rPr>
        <w:t>高</w:t>
      </w:r>
      <w:r>
        <w:rPr>
          <w:rFonts w:hint="eastAsia"/>
        </w:rPr>
        <w:t>，作风明显改善。按照上级法院的统一安排，市法院先后开展司法廉洁教育活动和“两个年”活动。根据市纪委的工作部署，还先后开展“面向基层、整顿作风、服务群众”活动和“严纪律、正作风、促廉洁”为主题的教育实践活动。</w:t>
      </w:r>
    </w:p>
    <w:p w14:paraId="4B135264">
      <w:pPr>
        <w:rPr>
          <w:rFonts w:hint="eastAsia"/>
        </w:rPr>
      </w:pPr>
      <w:r>
        <w:t>2.加强廉政制度建设和监督工作。针对审判工</w:t>
      </w:r>
      <w:r>
        <w:rPr>
          <w:rFonts w:hint="eastAsia"/>
        </w:rPr>
        <w:t>作中容易诱发廉政问题的重点环节，市法院制定</w:t>
      </w:r>
      <w:r>
        <w:rPr>
          <w:rFonts w:hint="eastAsia"/>
          <w:lang w:eastAsia="zh-CN"/>
        </w:rPr>
        <w:t>《</w:t>
      </w:r>
      <w:r>
        <w:t>2013年反腐倡廉建设工作要点》及《任务分解</w:t>
      </w:r>
      <w:r>
        <w:rPr>
          <w:rFonts w:hint="eastAsia"/>
        </w:rPr>
        <w:t>表》，从班子成员到每位干警全部签订《反腐倡廉承诺书》。制订《廉政和作风监督卡》，公布监督举报方式，确保当事人的意见建议及时反馈到法院纪检监察部门。</w:t>
      </w:r>
    </w:p>
    <w:p w14:paraId="1A8FF5F7">
      <w:pPr>
        <w:rPr>
          <w:rFonts w:hint="eastAsia"/>
        </w:rPr>
      </w:pPr>
      <w:r>
        <w:t>3.加强对人事权、财物管理权、审判权和执行</w:t>
      </w:r>
      <w:r>
        <w:rPr>
          <w:rFonts w:hint="eastAsia"/>
        </w:rPr>
        <w:t>权的监督。规范和完善干部综合考评制度，加强对新提拔干部的教育管理和监督。对公款接待、公务用车、工程建设、物资采购、委托评估、拍卖工作的主要环节进行规范和监督。加强对案件质量和量刑规范化等制度的监督检</w:t>
      </w:r>
      <w:r>
        <w:rPr>
          <w:rFonts w:hint="eastAsia"/>
          <w:lang w:eastAsia="zh-CN"/>
        </w:rPr>
        <w:t>查</w:t>
      </w:r>
      <w:r>
        <w:rPr>
          <w:rFonts w:hint="eastAsia"/>
        </w:rPr>
        <w:t>。纪检监察部门受理各类信访投诉</w:t>
      </w:r>
      <w:r>
        <w:t>5件次，接待群众来访6人次，开展15</w:t>
      </w:r>
      <w:r>
        <w:rPr>
          <w:rFonts w:hint="eastAsia"/>
        </w:rPr>
        <w:t>次审务督察活动，通过监督卡收回当事人反馈意见</w:t>
      </w:r>
      <w:r>
        <w:t>295份；对3名法官进行诫勉谈话，对2名法官进</w:t>
      </w:r>
      <w:r>
        <w:rPr>
          <w:rFonts w:hint="eastAsia"/>
        </w:rPr>
        <w:t>行纪律处分。</w:t>
      </w:r>
    </w:p>
    <w:p w14:paraId="58B619E6">
      <w:pPr>
        <w:rPr>
          <w:rFonts w:hint="eastAsia"/>
        </w:rPr>
      </w:pPr>
      <w:r>
        <w:t>4.加强法官的职业化培训。市法院组织干警参</w:t>
      </w:r>
      <w:r>
        <w:rPr>
          <w:rFonts w:hint="eastAsia"/>
        </w:rPr>
        <w:t>加省高院组织的刑事、民商事视频培训</w:t>
      </w:r>
      <w:r>
        <w:t>11场300</w:t>
      </w:r>
      <w:r>
        <w:rPr>
          <w:rFonts w:hint="eastAsia"/>
        </w:rPr>
        <w:t>多人次，选派干警到最高院和省高院参加培训</w:t>
      </w:r>
      <w:r>
        <w:t>5批26人次，组织民商事法官参加中院组织的“法官</w:t>
      </w:r>
      <w:r>
        <w:rPr>
          <w:rFonts w:hint="eastAsia"/>
        </w:rPr>
        <w:t>讲堂”培训</w:t>
      </w:r>
      <w:r>
        <w:t>3场120多人次。根据市人大常委会2013年工作要点及全员培训工作实施方案的安排，</w:t>
      </w:r>
      <w:r>
        <w:rPr>
          <w:rFonts w:hint="eastAsia"/>
        </w:rPr>
        <w:t>市法院今年</w:t>
      </w:r>
      <w:r>
        <w:t>8月对80名干警进行以《法官法》</w:t>
      </w:r>
      <w:r>
        <w:rPr>
          <w:rFonts w:hint="eastAsia"/>
          <w:lang w:eastAsia="zh-CN"/>
        </w:rPr>
        <w:t>、</w:t>
      </w:r>
      <w:r>
        <w:rPr>
          <w:rFonts w:hint="eastAsia"/>
        </w:rPr>
        <w:t>《法官职业道德基本准则》和《法官行为规范》为主要内容的培训，对干警进行考核。通过多形式的培训，初步达到“切实提高我院干警的业务素质、法官职业道德和执法规范化水平”的目的。</w:t>
      </w:r>
    </w:p>
    <w:p w14:paraId="66F27858">
      <w:pPr>
        <w:rPr>
          <w:rFonts w:hint="eastAsia"/>
        </w:rPr>
      </w:pPr>
      <w:r>
        <w:t>5.加强人民陪审员的管理工作。2013年人民</w:t>
      </w:r>
      <w:r>
        <w:rPr>
          <w:rFonts w:hint="eastAsia"/>
        </w:rPr>
        <w:t>陪审员参加庭审</w:t>
      </w:r>
      <w:r>
        <w:t>240多人次，参与审理案件180多</w:t>
      </w:r>
      <w:r>
        <w:rPr>
          <w:rFonts w:hint="eastAsia"/>
        </w:rPr>
        <w:t>宗。法院落实人民陪审员制度，正在逐步落实陪审员倍增计划。经过人大审</w:t>
      </w:r>
      <w:r>
        <w:rPr>
          <w:rFonts w:hint="eastAsia"/>
          <w:lang w:eastAsia="zh-CN"/>
        </w:rPr>
        <w:t>查</w:t>
      </w:r>
      <w:r>
        <w:rPr>
          <w:rFonts w:hint="eastAsia"/>
        </w:rPr>
        <w:t>、任命的陪审员达</w:t>
      </w:r>
      <w:r>
        <w:t>30</w:t>
      </w:r>
      <w:r>
        <w:rPr>
          <w:rFonts w:hint="eastAsia"/>
        </w:rPr>
        <w:t>人，人员涵盖教师、公务员、社会人士等群体，知识水平和办案能力不断得到提高。预计到</w:t>
      </w:r>
      <w:r>
        <w:t>2014年</w:t>
      </w:r>
      <w:r>
        <w:rPr>
          <w:rFonts w:hint="eastAsia"/>
        </w:rPr>
        <w:t>下半年，人民陪审员将从</w:t>
      </w:r>
      <w:r>
        <w:t>2013年21人增加到40人</w:t>
      </w:r>
      <w:r>
        <w:rPr>
          <w:rFonts w:hint="eastAsia"/>
        </w:rPr>
        <w:t>以上。</w:t>
      </w:r>
    </w:p>
    <w:p w14:paraId="68BBD699">
      <w:pPr>
        <w:pStyle w:val="4"/>
        <w:bidi w:val="0"/>
        <w:rPr>
          <w:rFonts w:hint="eastAsia"/>
        </w:rPr>
      </w:pPr>
      <w:r>
        <w:rPr>
          <w:rFonts w:hint="eastAsia"/>
        </w:rPr>
        <w:t>【司法公开工作】</w:t>
      </w:r>
    </w:p>
    <w:p w14:paraId="47CA78D3">
      <w:pPr>
        <w:rPr>
          <w:rFonts w:hint="eastAsia"/>
        </w:rPr>
      </w:pPr>
      <w:r>
        <w:rPr>
          <w:rFonts w:hint="eastAsia"/>
        </w:rPr>
        <w:t>在“两个年”活动中，市法院稳步推进司法公开的各项工作。按照依法公开、及时公开、全面公开、规范公开的原则，完善庭审公开、听证公开、审限公开、执行公开的制度和合议庭、审判委员会工作公开的机制。深化审判流程和质量管理，增强法律文书的说理性、科学性，细化管理、考评和错案追究制。在创新司法公开形式、加强司法公开请求权的保障机制建设方面取得较大进展。通过实行院务公开、“阳光作业”及完善机关支部和基层法庭支部的建设，各项工作已逐步迈入科学化、制度化的道路。各项活动的开展，确保市法院在“当好科学发展排头兵”活动中的综合指标达标率明显提升，法官队伍的司法能力明显提升，人大代表和群众对法院工作的认可度明显提升。</w:t>
      </w:r>
    </w:p>
    <w:p w14:paraId="0349BBBA">
      <w:pPr>
        <w:pStyle w:val="4"/>
        <w:bidi w:val="0"/>
        <w:rPr>
          <w:rFonts w:hint="eastAsia"/>
        </w:rPr>
      </w:pPr>
      <w:r>
        <w:rPr>
          <w:rFonts w:hint="eastAsia"/>
          <w:lang w:eastAsia="zh-CN"/>
        </w:rPr>
        <w:t>【</w:t>
      </w:r>
      <w:r>
        <w:rPr>
          <w:rFonts w:hint="eastAsia"/>
        </w:rPr>
        <w:t>履行司法建议、加强文化建设】</w:t>
      </w:r>
    </w:p>
    <w:p w14:paraId="35D15B1F">
      <w:pPr>
        <w:rPr>
          <w:rFonts w:hint="eastAsia"/>
        </w:rPr>
      </w:pPr>
      <w:r>
        <w:rPr>
          <w:rFonts w:hint="eastAsia"/>
        </w:rPr>
        <w:t>市法院在狠抓执法办案第一要务的同时，依法履行司法建议职责，积极促进有关单位科学决策、完善管理、消除隐患、改进工作、规范行为，不断提高科学管理水平，预防和减少社会矛盾纠纷。</w:t>
      </w:r>
      <w:r>
        <w:t>2013年向各有关单</w:t>
      </w:r>
      <w:r>
        <w:rPr>
          <w:rFonts w:hint="eastAsia"/>
        </w:rPr>
        <w:t>位发出</w:t>
      </w:r>
      <w:r>
        <w:t>31份司法建议，回复率达67%。其中，向</w:t>
      </w:r>
      <w:r>
        <w:rPr>
          <w:rFonts w:hint="eastAsia"/>
        </w:rPr>
        <w:t>教育局提出的关于人民教师谨慎担保的建议，得到积极回应，教育局专门向各中小学下发通知，要求加强教师在担保方面的法律知识教育，以避免教师因担保不谨慎导致对家庭和工作的不良影响。市法院还加强文化方面的建设。制定《南雄市人民法院文化建设规划》，专门设立院史室、荣誉室、图书室等硬件设施，营造文化氛围。</w:t>
      </w:r>
    </w:p>
    <w:p w14:paraId="64FBD123">
      <w:pPr>
        <w:pStyle w:val="4"/>
        <w:bidi w:val="0"/>
        <w:rPr>
          <w:rFonts w:hint="eastAsia"/>
        </w:rPr>
      </w:pPr>
      <w:r>
        <w:rPr>
          <w:rFonts w:hint="eastAsia"/>
        </w:rPr>
        <w:t>【建立人大代表联络制度】</w:t>
      </w:r>
    </w:p>
    <w:p w14:paraId="655A7C5C">
      <w:pPr>
        <w:rPr>
          <w:rFonts w:hint="eastAsia"/>
        </w:rPr>
      </w:pPr>
      <w:r>
        <w:rPr>
          <w:rFonts w:hint="eastAsia"/>
        </w:rPr>
        <w:t>制定重大事项向人大报告制度。坚持将审判工作、法院改革、队伍建设等重点工作、重要部署和重大事项及时向人大常委会进行专题报告，认真听取人大的意见和建议。主动把各项工作置于人大的监督之下。建立人大代表联络制度，成立联络办公室，指定专人负责。</w:t>
      </w:r>
      <w:r>
        <w:t>2013</w:t>
      </w:r>
      <w:r>
        <w:rPr>
          <w:rFonts w:hint="eastAsia"/>
        </w:rPr>
        <w:t>年邀请人大代表、政协委员和阳光使者</w:t>
      </w:r>
      <w:r>
        <w:t>60多人次</w:t>
      </w:r>
      <w:r>
        <w:rPr>
          <w:rFonts w:hint="eastAsia"/>
        </w:rPr>
        <w:t>见证审判和执行工作。全面落实法官法。按照市人大常委会</w:t>
      </w:r>
      <w:r>
        <w:t>2013年工作部署，市法院就法官法的落</w:t>
      </w:r>
      <w:r>
        <w:rPr>
          <w:rFonts w:hint="eastAsia"/>
        </w:rPr>
        <w:t>实、评定、培训和职业化建设等方面，向人大作专题报告。</w:t>
      </w:r>
    </w:p>
    <w:p w14:paraId="2B50A40D">
      <w:pPr>
        <w:pStyle w:val="4"/>
        <w:bidi w:val="0"/>
        <w:rPr>
          <w:rFonts w:hint="eastAsia"/>
        </w:rPr>
      </w:pPr>
      <w:r>
        <w:rPr>
          <w:rFonts w:hint="eastAsia"/>
        </w:rPr>
        <w:t>【拓展服务职能】</w:t>
      </w:r>
    </w:p>
    <w:p w14:paraId="22E5BBE4">
      <w:pPr>
        <w:rPr>
          <w:rFonts w:hint="eastAsia"/>
        </w:rPr>
      </w:pPr>
      <w:r>
        <w:rPr>
          <w:rFonts w:hint="eastAsia"/>
        </w:rPr>
        <w:t>市法院</w:t>
      </w:r>
      <w:r>
        <w:t>2013年扶持鸟迳镇孔塘</w:t>
      </w:r>
      <w:r>
        <w:rPr>
          <w:rFonts w:hint="eastAsia"/>
        </w:rPr>
        <w:t>村，筹集资金扶持贫困户</w:t>
      </w:r>
      <w:r>
        <w:t>29户105人，通过帮扶</w:t>
      </w:r>
      <w:r>
        <w:rPr>
          <w:rFonts w:hint="eastAsia"/>
        </w:rPr>
        <w:t>生产，贫困户人均纯收入同比增长</w:t>
      </w:r>
      <w:r>
        <w:t>16%。挂点联系</w:t>
      </w:r>
      <w:r>
        <w:rPr>
          <w:rFonts w:hint="eastAsia"/>
        </w:rPr>
        <w:t>的两家企业经营状况良好，各项工作进展较快。派出</w:t>
      </w:r>
      <w:r>
        <w:t>60多人次参与全市信访维稳、违章建筑、违法</w:t>
      </w:r>
      <w:r>
        <w:rPr>
          <w:rFonts w:hint="eastAsia"/>
        </w:rPr>
        <w:t>用地清理和社会抚养费的征收工作。</w:t>
      </w:r>
    </w:p>
    <w:p w14:paraId="6994C355">
      <w:pPr>
        <w:jc w:val="right"/>
        <w:rPr>
          <w:rFonts w:hint="eastAsia"/>
          <w:b/>
          <w:bCs/>
        </w:rPr>
      </w:pPr>
      <w:r>
        <w:rPr>
          <w:rFonts w:hint="eastAsia"/>
          <w:b/>
          <w:bCs/>
          <w:lang w:eastAsia="zh-CN"/>
        </w:rPr>
        <w:t>（</w:t>
      </w:r>
      <w:r>
        <w:rPr>
          <w:rFonts w:hint="eastAsia"/>
          <w:b/>
          <w:bCs/>
        </w:rPr>
        <w:t>叶贤斌）</w:t>
      </w:r>
    </w:p>
    <w:p w14:paraId="266264A5">
      <w:pPr>
        <w:pStyle w:val="10"/>
        <w:bidi w:val="0"/>
        <w:rPr>
          <w:b/>
          <w:bCs/>
        </w:rPr>
      </w:pPr>
      <w:r>
        <w:rPr>
          <w:rFonts w:hint="eastAsia"/>
          <w:b/>
          <w:bCs/>
        </w:rPr>
        <w:t>附：</w:t>
      </w:r>
      <w:r>
        <w:rPr>
          <w:b/>
          <w:bCs/>
        </w:rPr>
        <w:t>2013年市人民法院领导班子成员名单</w:t>
      </w:r>
    </w:p>
    <w:p w14:paraId="19D81510">
      <w:pPr>
        <w:pStyle w:val="10"/>
        <w:bidi w:val="0"/>
        <w:rPr>
          <w:rFonts w:hint="eastAsia"/>
        </w:rPr>
      </w:pPr>
      <w:r>
        <w:rPr>
          <w:rFonts w:hint="eastAsia"/>
          <w:b/>
          <w:bCs/>
        </w:rPr>
        <w:t>党组书记、院长：</w:t>
      </w:r>
      <w:r>
        <w:rPr>
          <w:rFonts w:hint="eastAsia"/>
        </w:rPr>
        <w:t>肖裕忠</w:t>
      </w:r>
    </w:p>
    <w:p w14:paraId="0E37942A">
      <w:pPr>
        <w:pStyle w:val="10"/>
        <w:bidi w:val="0"/>
        <w:rPr>
          <w:rFonts w:hint="eastAsia"/>
        </w:rPr>
      </w:pPr>
      <w:r>
        <w:rPr>
          <w:rFonts w:hint="eastAsia"/>
          <w:b/>
          <w:bCs/>
        </w:rPr>
        <w:t>副</w:t>
      </w:r>
      <w:r>
        <w:rPr>
          <w:rFonts w:hint="eastAsia"/>
          <w:b/>
          <w:bCs/>
          <w:lang w:val="en-US" w:eastAsia="zh-CN"/>
        </w:rPr>
        <w:t xml:space="preserve"> </w:t>
      </w:r>
      <w:r>
        <w:rPr>
          <w:rFonts w:hint="eastAsia"/>
          <w:b/>
          <w:bCs/>
        </w:rPr>
        <w:t>院</w:t>
      </w:r>
      <w:r>
        <w:rPr>
          <w:rFonts w:hint="eastAsia"/>
          <w:b/>
          <w:bCs/>
          <w:lang w:val="en-US" w:eastAsia="zh-CN"/>
        </w:rPr>
        <w:t xml:space="preserve"> </w:t>
      </w:r>
      <w:r>
        <w:rPr>
          <w:rFonts w:hint="eastAsia"/>
          <w:b/>
          <w:bCs/>
        </w:rPr>
        <w:t>长：</w:t>
      </w:r>
      <w:r>
        <w:rPr>
          <w:rFonts w:hint="eastAsia"/>
        </w:rPr>
        <w:t>何文涛</w:t>
      </w:r>
      <w:r>
        <w:rPr>
          <w:rFonts w:hint="eastAsia"/>
          <w:lang w:val="en-US" w:eastAsia="zh-CN"/>
        </w:rPr>
        <w:t xml:space="preserve">   </w:t>
      </w:r>
      <w:r>
        <w:rPr>
          <w:rFonts w:hint="eastAsia"/>
        </w:rPr>
        <w:t>王文森</w:t>
      </w:r>
      <w:r>
        <w:rPr>
          <w:rFonts w:hint="eastAsia"/>
          <w:lang w:val="en-US" w:eastAsia="zh-CN"/>
        </w:rPr>
        <w:t xml:space="preserve">   </w:t>
      </w:r>
      <w:r>
        <w:rPr>
          <w:rFonts w:hint="eastAsia"/>
        </w:rPr>
        <w:t>彭小梅</w:t>
      </w:r>
    </w:p>
    <w:p w14:paraId="51EDE15D">
      <w:pPr>
        <w:pStyle w:val="10"/>
        <w:bidi w:val="0"/>
        <w:rPr>
          <w:rFonts w:hint="eastAsia"/>
        </w:rPr>
      </w:pPr>
      <w:r>
        <w:rPr>
          <w:rFonts w:hint="eastAsia"/>
          <w:b/>
          <w:bCs/>
        </w:rPr>
        <w:t>党组成员：</w:t>
      </w:r>
      <w:r>
        <w:rPr>
          <w:rFonts w:hint="eastAsia"/>
        </w:rPr>
        <w:t>郑章新</w:t>
      </w:r>
      <w:r>
        <w:rPr>
          <w:rFonts w:hint="eastAsia"/>
          <w:lang w:val="en-US" w:eastAsia="zh-CN"/>
        </w:rPr>
        <w:t xml:space="preserve">   </w:t>
      </w:r>
      <w:r>
        <w:rPr>
          <w:rFonts w:hint="eastAsia"/>
        </w:rPr>
        <w:t>阳</w:t>
      </w:r>
      <w:r>
        <w:rPr>
          <w:rFonts w:hint="eastAsia"/>
          <w:lang w:val="en-US" w:eastAsia="zh-CN"/>
        </w:rPr>
        <w:t xml:space="preserve">  </w:t>
      </w:r>
      <w:r>
        <w:rPr>
          <w:rFonts w:hint="eastAsia"/>
        </w:rPr>
        <w:t>华</w:t>
      </w:r>
      <w:r>
        <w:rPr>
          <w:rFonts w:hint="eastAsia"/>
          <w:lang w:val="en-US" w:eastAsia="zh-CN"/>
        </w:rPr>
        <w:t xml:space="preserve">   </w:t>
      </w:r>
      <w:r>
        <w:rPr>
          <w:rFonts w:hint="eastAsia"/>
        </w:rPr>
        <w:t>陈建麟</w:t>
      </w:r>
    </w:p>
    <w:p w14:paraId="6FE9149F">
      <w:pPr>
        <w:pStyle w:val="3"/>
        <w:bidi w:val="0"/>
        <w:rPr>
          <w:rFonts w:hint="default"/>
          <w:lang w:val="en-US" w:eastAsia="zh-CN"/>
        </w:rPr>
      </w:pPr>
      <w:r>
        <w:rPr>
          <w:rFonts w:hint="eastAsia"/>
          <w:lang w:val="en-US" w:eastAsia="zh-CN"/>
        </w:rPr>
        <w:t>司法行政</w:t>
      </w:r>
    </w:p>
    <w:p w14:paraId="02467512">
      <w:pPr>
        <w:pStyle w:val="4"/>
        <w:bidi w:val="0"/>
        <w:rPr>
          <w:rFonts w:hint="eastAsia"/>
        </w:rPr>
      </w:pPr>
      <w:r>
        <w:rPr>
          <w:rFonts w:hint="eastAsia"/>
          <w:lang w:eastAsia="zh-CN"/>
        </w:rPr>
        <w:t>【</w:t>
      </w:r>
      <w:r>
        <w:rPr>
          <w:rFonts w:hint="eastAsia"/>
        </w:rPr>
        <w:t>概况】</w:t>
      </w:r>
    </w:p>
    <w:p w14:paraId="7D0F57F2">
      <w:r>
        <w:t>1981年2月成立南雄县司法局，内设</w:t>
      </w:r>
      <w:r>
        <w:rPr>
          <w:rFonts w:hint="eastAsia"/>
          <w:lang w:eastAsia="zh-CN"/>
        </w:rPr>
        <w:t>：</w:t>
      </w:r>
      <w:r>
        <w:rPr>
          <w:rFonts w:hint="eastAsia"/>
        </w:rPr>
        <w:t>政工科（副科级）、办公室、宣教股、基层股、社区矫正</w:t>
      </w:r>
      <w:r>
        <w:rPr>
          <w:rFonts w:hint="eastAsia"/>
          <w:lang w:val="en-US" w:eastAsia="zh-CN"/>
        </w:rPr>
        <w:t>股</w:t>
      </w:r>
      <w:r>
        <w:rPr>
          <w:rFonts w:hint="eastAsia"/>
        </w:rPr>
        <w:t>、公律股、南雄市公证处、南雄市法律援助处、公职律师事务所。南雄市</w:t>
      </w:r>
      <w:r>
        <w:t>18个乡镇（街道）</w:t>
      </w:r>
      <w:r>
        <w:rPr>
          <w:rFonts w:hint="eastAsia"/>
        </w:rPr>
        <w:t>设司法所。</w:t>
      </w:r>
      <w:r>
        <w:t>2013年，局机关人员编制数19人，在</w:t>
      </w:r>
      <w:r>
        <w:rPr>
          <w:rFonts w:hint="eastAsia"/>
        </w:rPr>
        <w:t>编人员</w:t>
      </w:r>
      <w:r>
        <w:t>15人；南雄市公职律师事务所人员编制数5</w:t>
      </w:r>
      <w:r>
        <w:rPr>
          <w:rFonts w:hint="eastAsia"/>
        </w:rPr>
        <w:t>人，在编人员</w:t>
      </w:r>
      <w:r>
        <w:t>1人；南雄市公证处人员编制数3</w:t>
      </w:r>
      <w:r>
        <w:rPr>
          <w:rFonts w:hint="eastAsia"/>
        </w:rPr>
        <w:t>人，在编人员</w:t>
      </w:r>
      <w:r>
        <w:t>0人；南雄市法律援助处人员编制数5人，有在编人员3人。乡镇（街道）司法所人员</w:t>
      </w:r>
      <w:r>
        <w:rPr>
          <w:rFonts w:hint="eastAsia"/>
        </w:rPr>
        <w:t>编制数</w:t>
      </w:r>
      <w:r>
        <w:t>38人，在编人员28人。</w:t>
      </w:r>
    </w:p>
    <w:p w14:paraId="2A7BB0D8">
      <w:pPr>
        <w:pStyle w:val="4"/>
        <w:bidi w:val="0"/>
        <w:rPr>
          <w:rFonts w:hint="eastAsia"/>
        </w:rPr>
      </w:pPr>
      <w:r>
        <w:rPr>
          <w:rFonts w:hint="eastAsia"/>
        </w:rPr>
        <w:t>【普法和法学教育】</w:t>
      </w:r>
    </w:p>
    <w:p w14:paraId="2105E1CA">
      <w:pPr>
        <w:rPr>
          <w:rFonts w:hint="eastAsia"/>
        </w:rPr>
      </w:pPr>
      <w:r>
        <w:rPr>
          <w:rFonts w:hint="eastAsia"/>
        </w:rPr>
        <w:t>市普法办结合南雄实际，探索新形势下开展普法活动的有效形式和途径，不断推进南雄法制宣传教育工作。一是开展形式多样的法制宣传活动。以“三·八”国际妇女节、</w:t>
      </w:r>
      <w:r>
        <w:t>3·15</w:t>
      </w:r>
      <w:r>
        <w:rPr>
          <w:rFonts w:hint="eastAsia"/>
        </w:rPr>
        <w:t>消费者权益日、国际禁毒日、“</w:t>
      </w:r>
      <w:r>
        <w:t>12·4”法制宣传日</w:t>
      </w:r>
      <w:r>
        <w:rPr>
          <w:rFonts w:hint="eastAsia"/>
        </w:rPr>
        <w:t>为契机，组织参与各类大型普法宣传活动</w:t>
      </w:r>
      <w:r>
        <w:t>10多场</w:t>
      </w:r>
      <w:r>
        <w:rPr>
          <w:rFonts w:hint="eastAsia"/>
        </w:rPr>
        <w:t>次。二是在南雄各镇（街道）、市直各单位、各学校、各有关企业全面推广应用无纸化学法用法及考试系统，确实使普法教育工作由软变硬，普法考试由虚变实，增强大家依法行政和依法治市的自觉性和主动性，对南雄形成崇尚法律、遵守法律、维护法律的良好风尚起到重要的推动作用。三是加强基层法制宣传工作。根据不同人群的特点和法律需求，突出重点，分类指导，不断增强法制宣传教育的针对性和实效性；同时，结合企业人民调解委员会建设工作，推进规模以上企业法制宣传五有（有普法机构、有普法骨干、有普法制度、有普法活动、有普法场地）建设。四是深入开展“法律六进（机关、单位、企业、社区、学校、乡村）”活动，进一步增加人民群众的法治理念，提高社会法治化管理水平。</w:t>
      </w:r>
    </w:p>
    <w:p w14:paraId="66C8EBD2">
      <w:pPr>
        <w:pStyle w:val="4"/>
        <w:bidi w:val="0"/>
        <w:rPr>
          <w:rFonts w:hint="eastAsia"/>
        </w:rPr>
      </w:pPr>
      <w:r>
        <w:rPr>
          <w:rFonts w:hint="eastAsia"/>
        </w:rPr>
        <w:t>【公证工作】</w:t>
      </w:r>
    </w:p>
    <w:p w14:paraId="7A1EB6E7">
      <w:pPr>
        <w:rPr>
          <w:rFonts w:hint="eastAsia"/>
        </w:rPr>
      </w:pPr>
      <w:r>
        <w:t>2013年，南雄市公证处办结各类公</w:t>
      </w:r>
      <w:r>
        <w:rPr>
          <w:rFonts w:hint="eastAsia"/>
        </w:rPr>
        <w:t>证</w:t>
      </w:r>
      <w:r>
        <w:t>526件，为机关和个人、企事业单位提供优质的</w:t>
      </w:r>
      <w:r>
        <w:rPr>
          <w:rFonts w:hint="eastAsia"/>
        </w:rPr>
        <w:t>公证服务，有效地防止纠纷案件的发生，收到良好的社会效果。</w:t>
      </w:r>
    </w:p>
    <w:p w14:paraId="31CD105E">
      <w:pPr>
        <w:pStyle w:val="4"/>
        <w:bidi w:val="0"/>
        <w:rPr>
          <w:rFonts w:hint="eastAsia"/>
        </w:rPr>
      </w:pPr>
      <w:r>
        <w:rPr>
          <w:rFonts w:hint="eastAsia"/>
        </w:rPr>
        <w:t>【律师工作】</w:t>
      </w:r>
    </w:p>
    <w:p w14:paraId="16BF2951">
      <w:r>
        <w:t>2013年，永顺律师事务所律师担任</w:t>
      </w:r>
      <w:r>
        <w:rPr>
          <w:rFonts w:hint="eastAsia"/>
        </w:rPr>
        <w:t>常年法律顾问</w:t>
      </w:r>
      <w:r>
        <w:t>5家，办理各类案件35宗。</w:t>
      </w:r>
    </w:p>
    <w:p w14:paraId="73C88E0B">
      <w:pPr>
        <w:pStyle w:val="4"/>
        <w:bidi w:val="0"/>
        <w:rPr>
          <w:rFonts w:hint="eastAsia"/>
        </w:rPr>
      </w:pPr>
      <w:r>
        <w:rPr>
          <w:rFonts w:hint="eastAsia"/>
          <w:lang w:eastAsia="zh-CN"/>
        </w:rPr>
        <w:t>【</w:t>
      </w:r>
      <w:r>
        <w:rPr>
          <w:rFonts w:hint="eastAsia"/>
        </w:rPr>
        <w:t>法律援助】</w:t>
      </w:r>
    </w:p>
    <w:p w14:paraId="214A367E">
      <w:pPr>
        <w:rPr>
          <w:rFonts w:hint="eastAsia"/>
        </w:rPr>
      </w:pPr>
      <w:r>
        <w:t>2013年，南雄市法律援助处受理援</w:t>
      </w:r>
      <w:r>
        <w:rPr>
          <w:rFonts w:hint="eastAsia"/>
        </w:rPr>
        <w:t>助案件</w:t>
      </w:r>
      <w:r>
        <w:t>126件，其中刑事</w:t>
      </w:r>
      <w:r>
        <w:rPr>
          <w:rFonts w:hint="eastAsia"/>
          <w:lang w:val="en-US" w:eastAsia="zh-CN"/>
        </w:rPr>
        <w:t>辩</w:t>
      </w:r>
      <w:r>
        <w:t>护案件64件，民事代</w:t>
      </w:r>
      <w:r>
        <w:rPr>
          <w:rFonts w:hint="eastAsia"/>
        </w:rPr>
        <w:t>理案件</w:t>
      </w:r>
      <w:r>
        <w:t>62件，解答法律咨询458人次，做到应援</w:t>
      </w:r>
      <w:r>
        <w:rPr>
          <w:rFonts w:hint="eastAsia"/>
        </w:rPr>
        <w:t>尽援，切实做好党和政府这项“民心</w:t>
      </w:r>
      <w:r>
        <w:rPr>
          <w:rFonts w:hint="eastAsia"/>
          <w:lang w:val="en-US" w:eastAsia="zh-CN"/>
        </w:rPr>
        <w:t>工</w:t>
      </w:r>
      <w:r>
        <w:rPr>
          <w:rFonts w:hint="eastAsia"/>
        </w:rPr>
        <w:t>程”。</w:t>
      </w:r>
    </w:p>
    <w:p w14:paraId="24967C80">
      <w:pPr>
        <w:pStyle w:val="4"/>
        <w:bidi w:val="0"/>
        <w:rPr>
          <w:rFonts w:hint="eastAsia"/>
        </w:rPr>
      </w:pPr>
      <w:r>
        <w:rPr>
          <w:rFonts w:hint="eastAsia"/>
        </w:rPr>
        <w:t>【基层法律服务】</w:t>
      </w:r>
    </w:p>
    <w:p w14:paraId="1BBD7266">
      <w:pPr>
        <w:rPr>
          <w:rFonts w:hint="eastAsia"/>
        </w:rPr>
      </w:pPr>
      <w:r>
        <w:rPr>
          <w:rFonts w:hint="eastAsia"/>
        </w:rPr>
        <w:t>基层法律服务所通过强化内部管理、加强业务培训有力措施，不断提高法律服务水平，切实为农村社会和群众提供全方位的法律服务；基层法律服务工作者积极参与矛盾纠纷调解工作，充分发挥法律知识扎实、办案经验丰富等优势，引导群众理性合法表达诉求，切实维护社会秩序稳定。</w:t>
      </w:r>
    </w:p>
    <w:p w14:paraId="6C699752">
      <w:pPr>
        <w:pStyle w:val="4"/>
        <w:bidi w:val="0"/>
        <w:rPr>
          <w:rFonts w:hint="eastAsia"/>
        </w:rPr>
      </w:pPr>
      <w:r>
        <w:rPr>
          <w:rFonts w:hint="eastAsia"/>
        </w:rPr>
        <w:t>【人民调解】</w:t>
      </w:r>
    </w:p>
    <w:p w14:paraId="7AD5746A">
      <w:pPr>
        <w:rPr>
          <w:rFonts w:hint="eastAsia"/>
        </w:rPr>
      </w:pPr>
      <w:r>
        <w:t>2013年，南雄市各级调解组织和调</w:t>
      </w:r>
      <w:r>
        <w:rPr>
          <w:rFonts w:hint="eastAsia"/>
        </w:rPr>
        <w:t>解员调解矛盾纠纷</w:t>
      </w:r>
      <w:r>
        <w:t>1274件，调解成功1273件，成</w:t>
      </w:r>
      <w:r>
        <w:rPr>
          <w:rFonts w:hint="eastAsia"/>
        </w:rPr>
        <w:t>功率</w:t>
      </w:r>
      <w:r>
        <w:t>99.92%，防止“民转刑”案件5件，涉及13</w:t>
      </w:r>
      <w:r>
        <w:rPr>
          <w:rFonts w:hint="eastAsia"/>
        </w:rPr>
        <w:t>人，司法所参与调解疑难复杂纠纷</w:t>
      </w:r>
      <w:r>
        <w:t>232件，协助当</w:t>
      </w:r>
      <w:r>
        <w:rPr>
          <w:rFonts w:hint="eastAsia"/>
        </w:rPr>
        <w:t>地政府处理社会矛盾纠纷</w:t>
      </w:r>
      <w:r>
        <w:t>134件，制止群体性械斗4件涉及49人，防止群体性上访13件涉及118人。</w:t>
      </w:r>
      <w:r>
        <w:rPr>
          <w:rFonts w:hint="eastAsia"/>
        </w:rPr>
        <w:t>为促进当地的经济社会健康较快作出贡献。</w:t>
      </w:r>
    </w:p>
    <w:p w14:paraId="32382FC4">
      <w:pPr>
        <w:pStyle w:val="4"/>
        <w:bidi w:val="0"/>
        <w:rPr>
          <w:rFonts w:hint="eastAsia"/>
        </w:rPr>
      </w:pPr>
      <w:r>
        <w:rPr>
          <w:rFonts w:hint="eastAsia"/>
        </w:rPr>
        <w:t>【安置帮教工作】</w:t>
      </w:r>
    </w:p>
    <w:p w14:paraId="6D6D6CD4">
      <w:r>
        <w:rPr>
          <w:rFonts w:hint="eastAsia"/>
        </w:rPr>
        <w:t>司法局不断加强刑释解教人员安置帮教工作力度，努力推进社会管理创新。</w:t>
      </w:r>
      <w:r>
        <w:t>2013</w:t>
      </w:r>
      <w:r>
        <w:rPr>
          <w:rFonts w:hint="eastAsia"/>
        </w:rPr>
        <w:t>年，南雄市接受到刑释解教</w:t>
      </w:r>
      <w:r>
        <w:t>84人的通知书，其中</w:t>
      </w:r>
      <w:r>
        <w:rPr>
          <w:rFonts w:hint="eastAsia"/>
        </w:rPr>
        <w:t>刑释人员</w:t>
      </w:r>
      <w:r>
        <w:t>81人，解教人员3人。</w:t>
      </w:r>
    </w:p>
    <w:p w14:paraId="6B279F54">
      <w:pPr>
        <w:pStyle w:val="4"/>
        <w:bidi w:val="0"/>
        <w:rPr>
          <w:rFonts w:hint="eastAsia"/>
        </w:rPr>
      </w:pPr>
      <w:r>
        <w:rPr>
          <w:rFonts w:hint="eastAsia"/>
        </w:rPr>
        <w:t>【社区矫正工作】</w:t>
      </w:r>
    </w:p>
    <w:p w14:paraId="14BC8F4C">
      <w:pPr>
        <w:rPr>
          <w:rFonts w:hint="eastAsia"/>
        </w:rPr>
      </w:pPr>
      <w:r>
        <w:rPr>
          <w:rFonts w:hint="eastAsia"/>
        </w:rPr>
        <w:t>南雄市各级社区矫正组织按照</w:t>
      </w:r>
      <w:r>
        <w:rPr>
          <w:rFonts w:hint="eastAsia"/>
          <w:lang w:eastAsia="zh-CN"/>
        </w:rPr>
        <w:t>“</w:t>
      </w:r>
      <w:r>
        <w:t>衔接好、监管好、引导好”的工作思路，扎实有</w:t>
      </w:r>
      <w:r>
        <w:rPr>
          <w:rFonts w:hint="eastAsia"/>
        </w:rPr>
        <w:t>效地开展社区矫正工作。</w:t>
      </w:r>
      <w:r>
        <w:t>2013年，南雄市接受社区</w:t>
      </w:r>
      <w:r>
        <w:rPr>
          <w:rFonts w:hint="eastAsia"/>
        </w:rPr>
        <w:t>矫正人员</w:t>
      </w:r>
      <w:r>
        <w:t>142人，解除67人，在册人员75人，其</w:t>
      </w:r>
      <w:r>
        <w:rPr>
          <w:rFonts w:hint="eastAsia"/>
        </w:rPr>
        <w:t>中缓刑</w:t>
      </w:r>
      <w:r>
        <w:t>60人，假释12人，暂予监外执行2人，管</w:t>
      </w:r>
      <w:r>
        <w:rPr>
          <w:rFonts w:hint="eastAsia"/>
        </w:rPr>
        <w:t>制</w:t>
      </w:r>
      <w:r>
        <w:t>1人，没有出现再犯罪人员，没有出现脱管、漏</w:t>
      </w:r>
      <w:r>
        <w:rPr>
          <w:rFonts w:hint="eastAsia"/>
        </w:rPr>
        <w:t>管现象。</w:t>
      </w:r>
    </w:p>
    <w:p w14:paraId="092F02FE">
      <w:pPr>
        <w:pStyle w:val="4"/>
        <w:bidi w:val="0"/>
        <w:rPr>
          <w:rFonts w:hint="eastAsia"/>
        </w:rPr>
      </w:pPr>
      <w:r>
        <w:rPr>
          <w:rFonts w:hint="eastAsia"/>
        </w:rPr>
        <w:t>【队伍建设】</w:t>
      </w:r>
    </w:p>
    <w:p w14:paraId="4D087AE1">
      <w:pPr>
        <w:rPr>
          <w:rFonts w:hint="eastAsia"/>
        </w:rPr>
      </w:pPr>
      <w:r>
        <w:rPr>
          <w:rFonts w:hint="eastAsia"/>
        </w:rPr>
        <w:t>加强队伍建设，深入开展党风廉政教育，建设一支政治立场坚定、思想作风优良、纪律严明、业务过硬、执行有力的高素质司法行政队伍。</w:t>
      </w:r>
    </w:p>
    <w:p w14:paraId="4EE8366B">
      <w:pPr>
        <w:jc w:val="right"/>
        <w:rPr>
          <w:rFonts w:hint="eastAsia"/>
          <w:b/>
          <w:bCs/>
        </w:rPr>
      </w:pPr>
      <w:r>
        <w:rPr>
          <w:rFonts w:hint="eastAsia"/>
          <w:b/>
          <w:bCs/>
        </w:rPr>
        <w:t>（罗</w:t>
      </w:r>
      <w:r>
        <w:rPr>
          <w:rFonts w:hint="eastAsia"/>
          <w:b/>
          <w:bCs/>
          <w:lang w:val="en-US" w:eastAsia="zh-CN"/>
        </w:rPr>
        <w:t xml:space="preserve">  </w:t>
      </w:r>
      <w:r>
        <w:rPr>
          <w:rFonts w:hint="eastAsia"/>
          <w:b/>
          <w:bCs/>
        </w:rPr>
        <w:t>芳）</w:t>
      </w:r>
    </w:p>
    <w:p w14:paraId="5D937D62">
      <w:pPr>
        <w:pStyle w:val="10"/>
        <w:bidi w:val="0"/>
        <w:rPr>
          <w:b/>
          <w:bCs/>
        </w:rPr>
      </w:pPr>
      <w:r>
        <w:rPr>
          <w:rFonts w:hint="eastAsia"/>
          <w:b/>
          <w:bCs/>
        </w:rPr>
        <w:t>附：</w:t>
      </w:r>
      <w:r>
        <w:rPr>
          <w:b/>
          <w:bCs/>
        </w:rPr>
        <w:t>2013年市司法局领导班子成员名单</w:t>
      </w:r>
    </w:p>
    <w:p w14:paraId="787B4258">
      <w:pPr>
        <w:pStyle w:val="10"/>
        <w:bidi w:val="0"/>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陈志雄</w:t>
      </w:r>
    </w:p>
    <w:p w14:paraId="25ECB6B2">
      <w:pPr>
        <w:pStyle w:val="10"/>
        <w:bidi w:val="0"/>
        <w:rPr>
          <w:rFonts w:hint="eastAsia"/>
        </w:rPr>
      </w:pPr>
      <w:r>
        <w:rPr>
          <w:rFonts w:hint="eastAsia"/>
          <w:b/>
          <w:bCs/>
        </w:rPr>
        <w:t>副</w:t>
      </w:r>
      <w:r>
        <w:rPr>
          <w:rFonts w:hint="eastAsia"/>
          <w:b/>
          <w:bCs/>
          <w:lang w:val="en-US" w:eastAsia="zh-CN"/>
        </w:rPr>
        <w:t xml:space="preserve"> </w:t>
      </w:r>
      <w:r>
        <w:rPr>
          <w:rFonts w:hint="eastAsia"/>
          <w:b/>
          <w:bCs/>
        </w:rPr>
        <w:t>局</w:t>
      </w:r>
      <w:r>
        <w:rPr>
          <w:rFonts w:hint="eastAsia"/>
          <w:b/>
          <w:bCs/>
          <w:lang w:val="en-US" w:eastAsia="zh-CN"/>
        </w:rPr>
        <w:t xml:space="preserve"> </w:t>
      </w:r>
      <w:r>
        <w:rPr>
          <w:rFonts w:hint="eastAsia"/>
          <w:b/>
          <w:bCs/>
        </w:rPr>
        <w:t>长：</w:t>
      </w:r>
      <w:r>
        <w:rPr>
          <w:rFonts w:hint="eastAsia"/>
        </w:rPr>
        <w:t>李集光</w:t>
      </w:r>
      <w:r>
        <w:rPr>
          <w:rFonts w:hint="eastAsia"/>
          <w:lang w:val="en-US" w:eastAsia="zh-CN"/>
        </w:rPr>
        <w:t xml:space="preserve">   </w:t>
      </w:r>
      <w:r>
        <w:rPr>
          <w:rFonts w:hint="eastAsia"/>
        </w:rPr>
        <w:t>成</w:t>
      </w:r>
      <w:r>
        <w:rPr>
          <w:rFonts w:hint="eastAsia"/>
          <w:lang w:val="en-US" w:eastAsia="zh-CN"/>
        </w:rPr>
        <w:t xml:space="preserve">  </w:t>
      </w:r>
      <w:r>
        <w:rPr>
          <w:rFonts w:hint="eastAsia"/>
        </w:rPr>
        <w:t>铭</w:t>
      </w:r>
    </w:p>
    <w:p w14:paraId="2673ECF3">
      <w:pPr>
        <w:pStyle w:val="10"/>
        <w:bidi w:val="0"/>
        <w:rPr>
          <w:rFonts w:hint="eastAsia"/>
        </w:rPr>
      </w:pPr>
      <w:r>
        <w:rPr>
          <w:rFonts w:hint="eastAsia"/>
          <w:b/>
          <w:bCs/>
        </w:rPr>
        <w:t>纪检组长：</w:t>
      </w:r>
      <w:r>
        <w:rPr>
          <w:rFonts w:hint="eastAsia"/>
        </w:rPr>
        <w:t>邓彩军</w:t>
      </w:r>
    </w:p>
    <w:p w14:paraId="22822782">
      <w:pPr>
        <w:pStyle w:val="10"/>
        <w:bidi w:val="0"/>
        <w:rPr>
          <w:rFonts w:hint="eastAsia"/>
        </w:rPr>
      </w:pPr>
      <w:r>
        <w:rPr>
          <w:rFonts w:hint="eastAsia"/>
          <w:b/>
          <w:bCs/>
        </w:rPr>
        <w:t>政工科科长：</w:t>
      </w:r>
      <w:r>
        <w:rPr>
          <w:rFonts w:hint="eastAsia"/>
        </w:rPr>
        <w:t>王国安</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405E9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C7C545D">
            <w:pPr>
              <w:ind w:left="0" w:leftChars="0" w:firstLine="0" w:firstLineChars="0"/>
              <w:jc w:val="center"/>
              <w:rPr>
                <w:rFonts w:hint="eastAsia" w:eastAsia="宋体"/>
                <w:sz w:val="22"/>
                <w:szCs w:val="24"/>
                <w:vertAlign w:val="baseline"/>
                <w:lang w:eastAsia="zh-CN"/>
              </w:rPr>
            </w:pPr>
            <w:r>
              <w:rPr>
                <w:rFonts w:hint="eastAsia" w:eastAsia="宋体"/>
                <w:sz w:val="22"/>
                <w:szCs w:val="24"/>
                <w:vertAlign w:val="baseline"/>
                <w:lang w:eastAsia="zh-CN"/>
              </w:rPr>
              <w:drawing>
                <wp:inline distT="0" distB="0" distL="114300" distR="114300">
                  <wp:extent cx="6181090" cy="3411855"/>
                  <wp:effectExtent l="0" t="0" r="10160" b="17145"/>
                  <wp:docPr id="52" name="图片 52" descr="南雄年鉴2014-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南雄年鉴2014-052"/>
                          <pic:cNvPicPr>
                            <a:picLocks noChangeAspect="1"/>
                          </pic:cNvPicPr>
                        </pic:nvPicPr>
                        <pic:blipFill>
                          <a:blip r:embed="rId122"/>
                          <a:stretch>
                            <a:fillRect/>
                          </a:stretch>
                        </pic:blipFill>
                        <pic:spPr>
                          <a:xfrm>
                            <a:off x="0" y="0"/>
                            <a:ext cx="6181090" cy="3411855"/>
                          </a:xfrm>
                          <a:prstGeom prst="rect">
                            <a:avLst/>
                          </a:prstGeom>
                        </pic:spPr>
                      </pic:pic>
                    </a:graphicData>
                  </a:graphic>
                </wp:inline>
              </w:drawing>
            </w:r>
          </w:p>
        </w:tc>
      </w:tr>
    </w:tbl>
    <w:p w14:paraId="1C51B99A">
      <w:pPr>
        <w:pStyle w:val="2"/>
        <w:bidi w:val="0"/>
        <w:rPr>
          <w:rFonts w:hint="eastAsia"/>
        </w:rPr>
      </w:pPr>
      <w:r>
        <w:rPr>
          <w:rFonts w:hint="eastAsia"/>
        </w:rPr>
        <w:t>军事</w:t>
      </w:r>
    </w:p>
    <w:p w14:paraId="6184E469">
      <w:pPr>
        <w:pStyle w:val="3"/>
        <w:bidi w:val="0"/>
        <w:rPr>
          <w:rFonts w:hint="default"/>
          <w:lang w:val="en-US" w:eastAsia="zh-CN"/>
        </w:rPr>
      </w:pPr>
      <w:r>
        <w:rPr>
          <w:rFonts w:hint="eastAsia"/>
          <w:lang w:val="en-US" w:eastAsia="zh-CN"/>
        </w:rPr>
        <w:t>人民武装</w:t>
      </w:r>
    </w:p>
    <w:p w14:paraId="2B3D82F3">
      <w:pPr>
        <w:pStyle w:val="4"/>
        <w:bidi w:val="0"/>
        <w:rPr>
          <w:rFonts w:hint="eastAsia"/>
        </w:rPr>
      </w:pPr>
      <w:r>
        <w:rPr>
          <w:rFonts w:hint="eastAsia"/>
        </w:rPr>
        <w:t>【概况】</w:t>
      </w:r>
    </w:p>
    <w:p w14:paraId="2F36F11A">
      <w:pPr>
        <w:rPr>
          <w:rFonts w:hint="eastAsia"/>
        </w:rPr>
      </w:pPr>
      <w:r>
        <w:t>2013年，南雄市人武部紧紧围绕迎接、</w:t>
      </w:r>
      <w:r>
        <w:rPr>
          <w:rFonts w:hint="eastAsia"/>
        </w:rPr>
        <w:t>学习、宣传十八大这条红线，准确把握稳中求进</w:t>
      </w:r>
      <w:r>
        <w:rPr>
          <w:rFonts w:hint="eastAsia"/>
          <w:lang w:val="en-US" w:eastAsia="zh-CN"/>
        </w:rPr>
        <w:t>工作</w:t>
      </w:r>
      <w:r>
        <w:rPr>
          <w:rFonts w:hint="eastAsia"/>
        </w:rPr>
        <w:t>总基调，抓根本、抓中心、抓稳定、求发展，始终把中国特色社会主义理论体系武装作为首要任务，认真落实党委、干部理论学习制度，有效促进班子成员和干部队伍理论素养提高，部队和民兵预备役建设呈现稳步发展的良好态势，特别是党的创新理论学习，“两项重大教育活动”，训练演习，正规化管理，双拥共建，后勤和仓库建设都取得明显成绩，各项任务圆满完成，部队保持高度稳定，多项工作受到上级肯定。</w:t>
      </w:r>
      <w:r>
        <w:t>2013年，按照两级军区和军分区党</w:t>
      </w:r>
      <w:r>
        <w:rPr>
          <w:rFonts w:hint="eastAsia"/>
        </w:rPr>
        <w:t>委全会精神，着眼人武部担负的使命任务，不断深化军事斗争准备，加强人武部全面建设。参加韶关市民兵比武，取得</w:t>
      </w:r>
      <w:r>
        <w:t>3个单项第一，1个团体第三的</w:t>
      </w:r>
      <w:r>
        <w:rPr>
          <w:rFonts w:hint="eastAsia"/>
        </w:rPr>
        <w:t>好成绩。年底被军分区评为先进武装部。</w:t>
      </w:r>
    </w:p>
    <w:p w14:paraId="7772557B">
      <w:pPr>
        <w:pStyle w:val="4"/>
        <w:bidi w:val="0"/>
        <w:rPr>
          <w:rFonts w:hint="eastAsia"/>
        </w:rPr>
      </w:pPr>
      <w:r>
        <w:rPr>
          <w:rFonts w:hint="eastAsia"/>
        </w:rPr>
        <w:t>【思想政治建设】</w:t>
      </w:r>
    </w:p>
    <w:p w14:paraId="63D49581">
      <w:pPr>
        <w:rPr>
          <w:rFonts w:hint="eastAsia"/>
          <w:lang w:eastAsia="zh-CN"/>
        </w:rPr>
      </w:pPr>
      <w:r>
        <w:t>2013年人武部思想政治建设，</w:t>
      </w:r>
      <w:r>
        <w:rPr>
          <w:rFonts w:hint="eastAsia"/>
        </w:rPr>
        <w:t>按照军分区关于开展“大力弘扬艰苦奋斗精神，从</w:t>
      </w:r>
      <w:r>
        <w:rPr>
          <w:rFonts w:hint="eastAsia"/>
          <w:lang w:val="en-US" w:eastAsia="zh-CN"/>
        </w:rPr>
        <w:t>严</w:t>
      </w:r>
      <w:r>
        <w:rPr>
          <w:rFonts w:hint="eastAsia"/>
        </w:rPr>
        <w:t>整治六个方面问题”专题教育活动的要求，人武部对照分区下发的群众性大讨论题目开展个人讨论活动，分别以党委班子、党小组会、支部党员大会和党委会的形式，结合自身实际进行对照发言，形成书面发言稿。全体党员着眼纠正对于“票子、车子、房子和房地产租赁”</w:t>
      </w:r>
      <w:r>
        <w:t>6个方面的认识偏差，采</w:t>
      </w:r>
      <w:r>
        <w:rPr>
          <w:rFonts w:hint="eastAsia"/>
        </w:rPr>
        <w:t>取理论学习、讨论交流、领导带头、逐级表态等形式方法，重点就感恩意识不强、政治意识不强、奉献意识不强、号令意识不强</w:t>
      </w:r>
      <w:r>
        <w:t>4个方面的问题进行表</w:t>
      </w:r>
      <w:r>
        <w:rPr>
          <w:rFonts w:hint="eastAsia"/>
        </w:rPr>
        <w:t>态和发言，使全体干部职工充分认清发扬艰苦奋斗精神的重要性，树立过紧日子、苦日子，甘于奉献、勇于奉献，恪尽职守、永葆本色的思想追求和精神风尚</w:t>
      </w:r>
      <w:r>
        <w:rPr>
          <w:rFonts w:hint="eastAsia"/>
          <w:lang w:eastAsia="zh-CN"/>
        </w:rPr>
        <w:t>。</w:t>
      </w:r>
    </w:p>
    <w:p w14:paraId="7FC4ADC8">
      <w:pPr>
        <w:pStyle w:val="4"/>
        <w:bidi w:val="0"/>
        <w:rPr>
          <w:rFonts w:hint="eastAsia"/>
        </w:rPr>
      </w:pPr>
      <w:r>
        <w:rPr>
          <w:rFonts w:hint="eastAsia"/>
        </w:rPr>
        <w:t>【战备训练】</w:t>
      </w:r>
    </w:p>
    <w:p w14:paraId="25BCF78D">
      <w:pPr>
        <w:rPr>
          <w:rFonts w:hint="eastAsia"/>
        </w:rPr>
      </w:pPr>
      <w:r>
        <w:t>2013年是全面深入贯彻十八大精神</w:t>
      </w:r>
      <w:r>
        <w:rPr>
          <w:rFonts w:hint="eastAsia"/>
        </w:rPr>
        <w:t>的开局之年，是“十二五”建设承前启后的关键</w:t>
      </w:r>
      <w:r>
        <w:rPr>
          <w:rFonts w:hint="eastAsia"/>
          <w:lang w:val="en-US" w:eastAsia="zh-CN"/>
        </w:rPr>
        <w:t>一</w:t>
      </w:r>
      <w:r>
        <w:rPr>
          <w:rFonts w:hint="eastAsia"/>
        </w:rPr>
        <w:t>年，南雄市人武部坚决贯彻习</w:t>
      </w:r>
      <w:r>
        <w:rPr>
          <w:rFonts w:hint="eastAsia"/>
          <w:lang w:val="en-US" w:eastAsia="zh-CN"/>
        </w:rPr>
        <w:t>近平</w:t>
      </w:r>
      <w:r>
        <w:rPr>
          <w:rFonts w:hint="eastAsia"/>
        </w:rPr>
        <w:t>主席一系列决策指示，落实党关于新形势下国防和军队建设思想，紧紧围绕“能打仗、打胜仗”的目标，加紧作战准备，强化军事训练，狠抓从严治军，推进改革，圆满完成上级赋予的各项任务。一是坚持把作战问题研究作为基础性工程、常态化任务紧抓不放。深化“精兵夺岛”背景下地面防卫作战问题研究。二是进一步细化战备方案和应对突发事件总体预案，制定好抢险救灾、反恐维稳、处置群体性事件专项计划，搞好针对性训练，完善战备设施，搞好与军分区方案的对接。三是大力开展</w:t>
      </w:r>
      <w:r>
        <w:rPr>
          <w:rFonts w:hint="eastAsia"/>
          <w:lang w:val="en-US" w:eastAsia="zh-CN"/>
        </w:rPr>
        <w:t>岗</w:t>
      </w:r>
      <w:r>
        <w:rPr>
          <w:rFonts w:hint="eastAsia"/>
        </w:rPr>
        <w:t>位练兵活动。重点抓好干部军事理论学习和技能体能训练，积极开展</w:t>
      </w:r>
      <w:r>
        <w:rPr>
          <w:rFonts w:hint="eastAsia"/>
          <w:lang w:eastAsia="zh-CN"/>
        </w:rPr>
        <w:t>“</w:t>
      </w:r>
      <w:r>
        <w:t>三手”、“四会”活动。四是按照上级首长提出的</w:t>
      </w:r>
      <w:r>
        <w:rPr>
          <w:rFonts w:hint="eastAsia"/>
        </w:rPr>
        <w:t>“正规化建设、军事化管理、经常化教育、多样化使用”的思路，加强民兵预备役建设，全面提高国防动员的综合保障能力。</w:t>
      </w:r>
      <w:r>
        <w:t>7月3日至12日，为提高</w:t>
      </w:r>
      <w:r>
        <w:rPr>
          <w:rFonts w:hint="eastAsia"/>
        </w:rPr>
        <w:t>全体专武干部和民兵营长的综合素质，组织南雄市</w:t>
      </w:r>
      <w:r>
        <w:t>26名专武干部和208名民兵营长，进行为期10天</w:t>
      </w:r>
      <w:r>
        <w:rPr>
          <w:rFonts w:hint="eastAsia"/>
        </w:rPr>
        <w:t>的集训，主要就“四个基本”建设标准、队列、射击、战术基础科目进行了统一和规范，通过集训，全面提高专武干部、民兵营长的综合素质，为他们今后更好的履职尽能打下坚实的基础。</w:t>
      </w:r>
      <w:r>
        <w:t>10月份，参</w:t>
      </w:r>
      <w:r>
        <w:rPr>
          <w:rFonts w:hint="eastAsia"/>
        </w:rPr>
        <w:t>加韶关市民兵比武，取得</w:t>
      </w:r>
      <w:r>
        <w:t>3个单项第一，1个团体</w:t>
      </w:r>
      <w:r>
        <w:rPr>
          <w:rFonts w:hint="eastAsia"/>
        </w:rPr>
        <w:t>第三的好成绩。</w:t>
      </w:r>
    </w:p>
    <w:p w14:paraId="7BA245EB">
      <w:pPr>
        <w:pStyle w:val="4"/>
        <w:bidi w:val="0"/>
        <w:rPr>
          <w:rFonts w:hint="eastAsia"/>
        </w:rPr>
      </w:pPr>
      <w:r>
        <w:rPr>
          <w:rFonts w:hint="eastAsia"/>
        </w:rPr>
        <w:t>【国防动员】</w:t>
      </w:r>
    </w:p>
    <w:p w14:paraId="098994C6">
      <w:pPr>
        <w:rPr>
          <w:rFonts w:hint="eastAsia"/>
        </w:rPr>
      </w:pPr>
      <w:r>
        <w:t>2013年，人武部严格按照上级有关</w:t>
      </w:r>
      <w:r>
        <w:rPr>
          <w:rFonts w:hint="eastAsia"/>
        </w:rPr>
        <w:t>文件和规定，完善国防动员各类方案，拟制本区域内的战时动员计划，会同地方政府有关部门在平时做好战时动员准备的基础上，协同市民兵应急分队做好军政训练、兵员管理、训练经费统筹和动员集结工作，着眼提高民兵平时应急、战时应战能力建设的需要，按照“方案完善、把握重点、归口管理”的要求，协调人防、交战部门，统一规划，统一建设，统一管理，全面对市国防动员潜力进行普</w:t>
      </w:r>
      <w:r>
        <w:rPr>
          <w:rFonts w:hint="eastAsia"/>
          <w:lang w:eastAsia="zh-CN"/>
        </w:rPr>
        <w:t>查</w:t>
      </w:r>
      <w:r>
        <w:rPr>
          <w:rFonts w:hint="eastAsia"/>
        </w:rPr>
        <w:t>，协调配合市国防动员办开展国防动员组织建设。</w:t>
      </w:r>
    </w:p>
    <w:p w14:paraId="009A8F48">
      <w:pPr>
        <w:pStyle w:val="4"/>
        <w:bidi w:val="0"/>
        <w:rPr>
          <w:rFonts w:hint="eastAsia"/>
        </w:rPr>
      </w:pPr>
      <w:r>
        <w:rPr>
          <w:rFonts w:hint="eastAsia"/>
        </w:rPr>
        <w:t>【双拥共建工作】</w:t>
      </w:r>
    </w:p>
    <w:p w14:paraId="766064FD">
      <w:pPr>
        <w:rPr>
          <w:rFonts w:hint="eastAsia"/>
        </w:rPr>
      </w:pPr>
      <w:r>
        <w:rPr>
          <w:rFonts w:hint="eastAsia"/>
        </w:rPr>
        <w:t>南雄市的各级领导和政府历来对双拥工作十分重视，对在伍人员、复退军人和驻军非常关心，特别是对武装工作关爱有加。一是做到经费上倾斜。年初，市政府将武装部年度经费</w:t>
      </w:r>
      <w:r>
        <w:t>120万元纳</w:t>
      </w:r>
      <w:r>
        <w:rPr>
          <w:rFonts w:hint="eastAsia"/>
          <w:lang w:val="en-US" w:eastAsia="zh-CN"/>
        </w:rPr>
        <w:t>入</w:t>
      </w:r>
      <w:r>
        <w:t>财政预算，改变以住一事一报的繁琐</w:t>
      </w:r>
      <w:r>
        <w:rPr>
          <w:rFonts w:hint="eastAsia"/>
        </w:rPr>
        <w:t>程序。另外在</w:t>
      </w:r>
      <w:r>
        <w:t>2012年的军警民联合演练中又投入20万余元，确保演练任务的圆满完成。二是做到家</w:t>
      </w:r>
      <w:r>
        <w:rPr>
          <w:rFonts w:hint="eastAsia"/>
        </w:rPr>
        <w:t>属安置上优先。</w:t>
      </w:r>
      <w:r>
        <w:t>12份，市委、政府在编制紧张的情</w:t>
      </w:r>
      <w:r>
        <w:rPr>
          <w:rFonts w:hint="eastAsia"/>
        </w:rPr>
        <w:t>况下，一次性安排该部</w:t>
      </w:r>
      <w:r>
        <w:t>2名随军家属，其中一名安</w:t>
      </w:r>
      <w:r>
        <w:rPr>
          <w:rFonts w:hint="eastAsia"/>
        </w:rPr>
        <w:t>排进学校、一名进统计局，解决干部们多年来的后顾之忧。三是做到大项任务给力。近年来，无论是“四个基本”建设、仓库达标建设、武装部的基本建设，还是每年的军民联合演练等，都得到市里的大力支持，使各项任务都能顺利完成。</w:t>
      </w:r>
    </w:p>
    <w:p w14:paraId="70A1847D">
      <w:pPr>
        <w:pStyle w:val="4"/>
        <w:bidi w:val="0"/>
        <w:rPr>
          <w:rFonts w:hint="eastAsia"/>
        </w:rPr>
      </w:pPr>
      <w:r>
        <w:rPr>
          <w:rFonts w:hint="eastAsia"/>
        </w:rPr>
        <w:t>【正规化管理】</w:t>
      </w:r>
    </w:p>
    <w:p w14:paraId="24713C8C">
      <w:pPr>
        <w:rPr>
          <w:rFonts w:hint="eastAsia"/>
        </w:rPr>
      </w:pPr>
      <w:r>
        <w:t>2013年南雄市人武部正规化建</w:t>
      </w:r>
      <w:r>
        <w:rPr>
          <w:rFonts w:hint="eastAsia"/>
        </w:rPr>
        <w:t>设，按照省军区和军分区计划，</w:t>
      </w:r>
      <w:r>
        <w:t>5月10日至17日</w:t>
      </w:r>
      <w:r>
        <w:rPr>
          <w:rFonts w:hint="eastAsia"/>
        </w:rPr>
        <w:t>集中组织一次作风纪律教育整顿，对照车辆使用管理、武器弹药和危险品保管、办公保密安全秩序</w:t>
      </w:r>
      <w:r>
        <w:rPr>
          <w:rFonts w:hint="eastAsia"/>
          <w:lang w:eastAsia="zh-CN"/>
        </w:rPr>
        <w:t>、</w:t>
      </w:r>
      <w:r>
        <w:rPr>
          <w:rFonts w:hint="eastAsia"/>
        </w:rPr>
        <w:t>重要岗位人员政治考核、干部事业心责任感五个方面进行检</w:t>
      </w:r>
      <w:r>
        <w:rPr>
          <w:rFonts w:hint="eastAsia"/>
          <w:lang w:eastAsia="zh-CN"/>
        </w:rPr>
        <w:t>查</w:t>
      </w:r>
      <w:r>
        <w:rPr>
          <w:rFonts w:hint="eastAsia"/>
        </w:rPr>
        <w:t>反思，重点解决号令意识不强、干部管理不到位、枪弹管理不规范、车辆管理不严格四个方面的问题。特别是对照省军区黄政委提出的清人、清车、清密、清枪弹、清房产、清财务“六清”等要求，部长亲自带队，认真组织保管人员对民兵武器装备仓库的所有枪支弹药，逐品种、逐批次进行一次全面彻底的清</w:t>
      </w:r>
      <w:r>
        <w:rPr>
          <w:rFonts w:hint="eastAsia"/>
          <w:lang w:eastAsia="zh-CN"/>
        </w:rPr>
        <w:t>查</w:t>
      </w:r>
      <w:r>
        <w:rPr>
          <w:rFonts w:hint="eastAsia"/>
        </w:rPr>
        <w:t>，在省军区和军分区组织的检</w:t>
      </w:r>
      <w:r>
        <w:rPr>
          <w:rFonts w:hint="eastAsia"/>
          <w:lang w:eastAsia="zh-CN"/>
        </w:rPr>
        <w:t>查</w:t>
      </w:r>
      <w:r>
        <w:rPr>
          <w:rFonts w:hint="eastAsia"/>
        </w:rPr>
        <w:t>中，与市人武部清</w:t>
      </w:r>
      <w:r>
        <w:rPr>
          <w:rFonts w:hint="eastAsia"/>
          <w:lang w:eastAsia="zh-CN"/>
        </w:rPr>
        <w:t>查</w:t>
      </w:r>
      <w:r>
        <w:rPr>
          <w:rFonts w:hint="eastAsia"/>
        </w:rPr>
        <w:t>情况完全吻合。真正做到数量清、品种清、质量清、配套清、批次清</w:t>
      </w:r>
      <w:r>
        <w:rPr>
          <w:rFonts w:hint="eastAsia"/>
          <w:lang w:eastAsia="zh-CN"/>
        </w:rPr>
        <w:t>、</w:t>
      </w:r>
      <w:r>
        <w:rPr>
          <w:rFonts w:hint="eastAsia"/>
        </w:rPr>
        <w:t>文件手续清的“六清”要求。政委则组织政工科和后勤科，对车辆管理、保密秩序、出租房产以及使用情况，逐项逐科目进行清</w:t>
      </w:r>
      <w:r>
        <w:rPr>
          <w:rFonts w:hint="eastAsia"/>
          <w:lang w:eastAsia="zh-CN"/>
        </w:rPr>
        <w:t>查</w:t>
      </w:r>
      <w:r>
        <w:rPr>
          <w:rFonts w:hint="eastAsia"/>
        </w:rPr>
        <w:t>。</w:t>
      </w:r>
    </w:p>
    <w:p w14:paraId="15DDF07F">
      <w:pPr>
        <w:pStyle w:val="4"/>
        <w:bidi w:val="0"/>
        <w:rPr>
          <w:rFonts w:hint="eastAsia"/>
        </w:rPr>
      </w:pPr>
      <w:r>
        <w:rPr>
          <w:rFonts w:hint="eastAsia"/>
        </w:rPr>
        <w:t>【后备力量组织整</w:t>
      </w:r>
      <w:r>
        <w:rPr>
          <w:rFonts w:hint="eastAsia"/>
          <w:lang w:val="en-US" w:eastAsia="zh-CN"/>
        </w:rPr>
        <w:t>顿</w:t>
      </w:r>
      <w:r>
        <w:rPr>
          <w:rFonts w:hint="eastAsia"/>
        </w:rPr>
        <w:t>】</w:t>
      </w:r>
    </w:p>
    <w:p w14:paraId="17D5CC9D">
      <w:pPr>
        <w:rPr>
          <w:rFonts w:hint="eastAsia"/>
        </w:rPr>
      </w:pPr>
      <w:r>
        <w:t>2013年初，利用民兵出入</w:t>
      </w:r>
      <w:r>
        <w:rPr>
          <w:rFonts w:hint="eastAsia"/>
        </w:rPr>
        <w:t>队整组时机，着力强化民兵组织，对市</w:t>
      </w:r>
      <w:r>
        <w:t>18个镇</w:t>
      </w:r>
      <w:r>
        <w:rPr>
          <w:rFonts w:hint="eastAsia"/>
        </w:rPr>
        <w:t>（街道）、两个厂（矿）进行民兵整组，基干民兵组织规模由</w:t>
      </w:r>
      <w:r>
        <w:t>3500人缩减至2200人，特别是应急分</w:t>
      </w:r>
      <w:r>
        <w:rPr>
          <w:rFonts w:hint="eastAsia"/>
        </w:rPr>
        <w:t>队和基干民兵，重点将退伍军人，年纪轻、思想好、学历高、热爱武装工作的青年吸纳进队。</w:t>
      </w:r>
      <w:r>
        <w:t>2012</w:t>
      </w:r>
      <w:r>
        <w:rPr>
          <w:rFonts w:hint="eastAsia"/>
        </w:rPr>
        <w:t>年市退伍军人</w:t>
      </w:r>
      <w:r>
        <w:t>155人，充实到基干民兵队伍56人，</w:t>
      </w:r>
      <w:r>
        <w:rPr>
          <w:rFonts w:hint="eastAsia"/>
        </w:rPr>
        <w:t>应急分队</w:t>
      </w:r>
      <w:r>
        <w:t>21人，对市民兵基干应急分队的战斗力</w:t>
      </w:r>
      <w:r>
        <w:rPr>
          <w:rFonts w:hint="eastAsia"/>
        </w:rPr>
        <w:t>生成作用明显。为真正做到组织健全、训练有素</w:t>
      </w:r>
      <w:r>
        <w:rPr>
          <w:rFonts w:hint="eastAsia"/>
          <w:lang w:eastAsia="zh-CN"/>
        </w:rPr>
        <w:t>、</w:t>
      </w:r>
      <w:r>
        <w:rPr>
          <w:rFonts w:hint="eastAsia"/>
        </w:rPr>
        <w:t>布局合理、反应快速，提高整体遂行任务能力。贴近实际，科学建连，合理编班，尽量将有专业技能、文化程度高的公民编入运输连、通信连专业技术连队。重点抓专业技术分队、地方和军事对口专业分队建设，立足各镇、公司成立森林防火应急分队、抗洪抢险应急分队、汽车运输和维修保障分队、通信保障分队等。</w:t>
      </w:r>
    </w:p>
    <w:p w14:paraId="2DB5DCE7">
      <w:pPr>
        <w:pStyle w:val="4"/>
        <w:bidi w:val="0"/>
        <w:rPr>
          <w:rFonts w:hint="eastAsia"/>
        </w:rPr>
      </w:pPr>
      <w:r>
        <w:rPr>
          <w:rFonts w:hint="eastAsia"/>
        </w:rPr>
        <w:t>【开展年度兵役登记工作】</w:t>
      </w:r>
    </w:p>
    <w:p w14:paraId="4053771A">
      <w:r>
        <w:t>2103年的兵役登记工</w:t>
      </w:r>
      <w:r>
        <w:rPr>
          <w:rFonts w:hint="eastAsia"/>
        </w:rPr>
        <w:t>作，在总结</w:t>
      </w:r>
      <w:r>
        <w:t>2012年的基础上，针对2013年的特点，</w:t>
      </w:r>
      <w:r>
        <w:rPr>
          <w:rFonts w:hint="eastAsia"/>
        </w:rPr>
        <w:t>按照“早期部署普</w:t>
      </w:r>
      <w:r>
        <w:rPr>
          <w:rFonts w:hint="eastAsia"/>
          <w:lang w:eastAsia="zh-CN"/>
        </w:rPr>
        <w:t>查</w:t>
      </w:r>
      <w:r>
        <w:rPr>
          <w:rFonts w:hint="eastAsia"/>
        </w:rPr>
        <w:t>、中期宣传跟踪、统筹登记防漏”的原则展开，年初，成立各级兵役登记领导小组</w:t>
      </w:r>
      <w:r>
        <w:t>22个，成员达160人。通过布告、标语、横幅</w:t>
      </w:r>
      <w:r>
        <w:rPr>
          <w:rFonts w:hint="eastAsia"/>
        </w:rPr>
        <w:t>传统工具进行宣传报告的同时，利用媒体、网络新兴工具全面展开，联系移动、联通公司，利用短信进行宣传，发送兵役登记宣传短信</w:t>
      </w:r>
      <w:r>
        <w:t>40余万条，号</w:t>
      </w:r>
      <w:r>
        <w:rPr>
          <w:rFonts w:hint="eastAsia"/>
        </w:rPr>
        <w:t>召所有适龄应征青年积极报名参军，至征兵工作开始前，南雄市有</w:t>
      </w:r>
      <w:r>
        <w:t>1253名青年报名应征，上市体检</w:t>
      </w:r>
      <w:r>
        <w:rPr>
          <w:rFonts w:hint="eastAsia"/>
        </w:rPr>
        <w:t>站体检人数达</w:t>
      </w:r>
      <w:r>
        <w:t>785人。</w:t>
      </w:r>
    </w:p>
    <w:p w14:paraId="50480054">
      <w:pPr>
        <w:pStyle w:val="4"/>
        <w:bidi w:val="0"/>
        <w:rPr>
          <w:rFonts w:hint="eastAsia"/>
        </w:rPr>
      </w:pPr>
      <w:r>
        <w:rPr>
          <w:rFonts w:hint="eastAsia"/>
        </w:rPr>
        <w:t>【征兵工作】</w:t>
      </w:r>
    </w:p>
    <w:p w14:paraId="5AA83E90">
      <w:r>
        <w:t>2013年征兵工作，根据总部安排，</w:t>
      </w:r>
      <w:r>
        <w:rPr>
          <w:rFonts w:hint="eastAsia"/>
        </w:rPr>
        <w:t>统一由冬季征兵改革为夏秋季征兵。</w:t>
      </w:r>
      <w:r>
        <w:t>5月份，武装</w:t>
      </w:r>
      <w:r>
        <w:rPr>
          <w:rFonts w:hint="eastAsia"/>
        </w:rPr>
        <w:t>部按照廉洁征兵的要求，本着向部队输送合格兵员的目的，严格标准，不绚私情，坚持原则，把好政审、家访和定兵关，真正做到征、接双方满意，截至</w:t>
      </w:r>
      <w:r>
        <w:t>9月17日，圆满完成上级赋予市的141名男兵的</w:t>
      </w:r>
      <w:r>
        <w:rPr>
          <w:rFonts w:hint="eastAsia"/>
        </w:rPr>
        <w:t>征兵任务，另外还向部队输送</w:t>
      </w:r>
      <w:r>
        <w:t>6名优秀的女兵。</w:t>
      </w:r>
    </w:p>
    <w:p w14:paraId="41DA023F">
      <w:pPr>
        <w:pStyle w:val="4"/>
        <w:bidi w:val="0"/>
        <w:rPr>
          <w:rFonts w:hint="eastAsia"/>
        </w:rPr>
      </w:pPr>
      <w:r>
        <w:rPr>
          <w:rFonts w:hint="eastAsia"/>
        </w:rPr>
        <w:t>【党委班子和干部队伍建设】</w:t>
      </w:r>
    </w:p>
    <w:p w14:paraId="0C0AF69F">
      <w:pPr>
        <w:rPr>
          <w:rFonts w:hint="eastAsia"/>
        </w:rPr>
      </w:pPr>
      <w:r>
        <w:t>2013年，人武部根</w:t>
      </w:r>
      <w:r>
        <w:rPr>
          <w:rFonts w:hint="eastAsia"/>
        </w:rPr>
        <w:t>据两级军区和军分区的要求，广泛开展“坚定信念，铸牢军魂”主题教育活动，围绕贯彻落实</w:t>
      </w:r>
      <w:r>
        <w:rPr>
          <w:rFonts w:hint="eastAsia"/>
          <w:lang w:val="en-US" w:eastAsia="zh-CN"/>
        </w:rPr>
        <w:t>党的</w:t>
      </w:r>
      <w:r>
        <w:rPr>
          <w:rFonts w:hint="eastAsia"/>
        </w:rPr>
        <w:t>十八大精神，开展“强化党章意识，加强党性修养”</w:t>
      </w:r>
      <w:r>
        <w:rPr>
          <w:rFonts w:hint="eastAsia"/>
          <w:lang w:eastAsia="zh-CN"/>
        </w:rPr>
        <w:t>、</w:t>
      </w:r>
      <w:r>
        <w:rPr>
          <w:rFonts w:hint="eastAsia"/>
        </w:rPr>
        <w:t>“严守纪律，严防自由主义”教育活动，党委班子成员思想不断巩固，班子建设全面发展。干部队伍在参加军区、省军区和军分区组织的授课辅导的同时，开展课后讨论交流，每个同志都进行对照检</w:t>
      </w:r>
      <w:r>
        <w:rPr>
          <w:rFonts w:hint="eastAsia"/>
          <w:lang w:eastAsia="zh-CN"/>
        </w:rPr>
        <w:t>查</w:t>
      </w:r>
      <w:r>
        <w:rPr>
          <w:rFonts w:hint="eastAsia"/>
        </w:rPr>
        <w:t>，制定清理整治方案，通过学习，强化党性修养，明确使命责任，提高干部队伍的能力素质。</w:t>
      </w:r>
      <w:r>
        <w:t>2013年投入经费5000余元给干部职工购买学习资</w:t>
      </w:r>
      <w:r>
        <w:rPr>
          <w:rFonts w:hint="eastAsia"/>
        </w:rPr>
        <w:t>料，干部职工理论素养和学习风气都得到较大的提高，听党指挥的军魂意识不断得到加强。</w:t>
      </w:r>
    </w:p>
    <w:p w14:paraId="2187A419">
      <w:pPr>
        <w:pStyle w:val="4"/>
        <w:bidi w:val="0"/>
        <w:rPr>
          <w:rFonts w:hint="eastAsia"/>
        </w:rPr>
      </w:pPr>
      <w:r>
        <w:rPr>
          <w:rFonts w:hint="eastAsia"/>
        </w:rPr>
        <w:t>【安全管理】</w:t>
      </w:r>
    </w:p>
    <w:p w14:paraId="09EEE8CA">
      <w:pPr>
        <w:rPr>
          <w:rFonts w:hint="eastAsia"/>
        </w:rPr>
      </w:pPr>
      <w:r>
        <w:t>2013年，人武部党委始终把安全工</w:t>
      </w:r>
      <w:r>
        <w:rPr>
          <w:rFonts w:hint="eastAsia"/>
        </w:rPr>
        <w:t>作作为各项工作的重中之重，每月召开</w:t>
      </w:r>
      <w:r>
        <w:t>1次安全形</w:t>
      </w:r>
      <w:r>
        <w:rPr>
          <w:rFonts w:hint="eastAsia"/>
        </w:rPr>
        <w:t>势分析会，对重要目标、关键部位、重点人员进行细致的排</w:t>
      </w:r>
      <w:r>
        <w:rPr>
          <w:rFonts w:hint="eastAsia"/>
          <w:lang w:eastAsia="zh-CN"/>
        </w:rPr>
        <w:t>查</w:t>
      </w:r>
      <w:r>
        <w:rPr>
          <w:rFonts w:hint="eastAsia"/>
        </w:rPr>
        <w:t>；上半年认真学习《安全工作条例》、《党委工作条例》，深入开展“严格管束外出军人军车、严厉打击假冒军车”专项行动和贯彻落实《关于进一步做好当前部队安全稳定工作的通知》精神，巩固“条令月”活动成果，通过抓司机队伍整训、抓隐患排</w:t>
      </w:r>
      <w:r>
        <w:rPr>
          <w:rFonts w:hint="eastAsia"/>
          <w:lang w:eastAsia="zh-CN"/>
        </w:rPr>
        <w:t>查</w:t>
      </w:r>
      <w:r>
        <w:rPr>
          <w:rFonts w:hint="eastAsia"/>
        </w:rPr>
        <w:t>活动，对干部职工进行政治考核，认真按照上级提出的“五个从严，三个不发生”要求，加强“两外”、“三圈”监管，确保人员、车辆、武器装备、信息和营院的安全稳定。</w:t>
      </w:r>
    </w:p>
    <w:p w14:paraId="4C6A67A2">
      <w:pPr>
        <w:pStyle w:val="4"/>
        <w:bidi w:val="0"/>
        <w:rPr>
          <w:rFonts w:hint="eastAsia"/>
        </w:rPr>
      </w:pPr>
      <w:r>
        <w:rPr>
          <w:rFonts w:hint="eastAsia"/>
        </w:rPr>
        <w:t>【后勤保障】</w:t>
      </w:r>
    </w:p>
    <w:p w14:paraId="6973AAA1">
      <w:pPr>
        <w:rPr>
          <w:rFonts w:hint="eastAsia"/>
        </w:rPr>
      </w:pPr>
      <w:r>
        <w:t>2013年，人武部结合自身实际和民</w:t>
      </w:r>
      <w:r>
        <w:rPr>
          <w:rFonts w:hint="eastAsia"/>
        </w:rPr>
        <w:t>兵武器仓库达标，与地方党委、政府协调，增加训</w:t>
      </w:r>
      <w:r>
        <w:rPr>
          <w:rFonts w:hint="eastAsia"/>
          <w:lang w:val="en-US" w:eastAsia="zh-CN"/>
        </w:rPr>
        <w:t>练</w:t>
      </w:r>
      <w:r>
        <w:rPr>
          <w:rFonts w:hint="eastAsia"/>
        </w:rPr>
        <w:t>保障经费投</w:t>
      </w:r>
      <w:r>
        <w:rPr>
          <w:rFonts w:hint="eastAsia"/>
          <w:lang w:val="en-US" w:eastAsia="zh-CN"/>
        </w:rPr>
        <w:t>入</w:t>
      </w:r>
      <w:r>
        <w:rPr>
          <w:rFonts w:hint="eastAsia"/>
        </w:rPr>
        <w:t>，完善训练基础设施，添置训练所需物资，器材、教材，不断提高训练保障能力。进</w:t>
      </w:r>
      <w:r>
        <w:rPr>
          <w:rFonts w:hint="eastAsia"/>
          <w:lang w:val="en-US" w:eastAsia="zh-CN"/>
        </w:rPr>
        <w:t>一</w:t>
      </w:r>
      <w:r>
        <w:rPr>
          <w:rFonts w:hint="eastAsia"/>
        </w:rPr>
        <w:t>步加大训练投入力度，推进信息化训练条件建设协调发展。落实训练经费、弹药、油料和物资器材保障，形成围绕中心、服务中心、保障中心的良好局面。</w:t>
      </w:r>
    </w:p>
    <w:p w14:paraId="38543916">
      <w:pPr>
        <w:jc w:val="right"/>
        <w:rPr>
          <w:rFonts w:hint="eastAsia"/>
          <w:b/>
          <w:bCs/>
        </w:rPr>
      </w:pPr>
      <w:r>
        <w:rPr>
          <w:rFonts w:hint="eastAsia"/>
          <w:b/>
          <w:bCs/>
        </w:rPr>
        <w:t>（高峰雨）</w:t>
      </w:r>
    </w:p>
    <w:p w14:paraId="434FAD60">
      <w:pPr>
        <w:pStyle w:val="10"/>
        <w:bidi w:val="0"/>
        <w:rPr>
          <w:b/>
          <w:bCs/>
        </w:rPr>
      </w:pPr>
      <w:r>
        <w:rPr>
          <w:rFonts w:hint="eastAsia"/>
          <w:b/>
          <w:bCs/>
        </w:rPr>
        <w:t>附：</w:t>
      </w:r>
      <w:r>
        <w:rPr>
          <w:b/>
          <w:bCs/>
        </w:rPr>
        <w:t>2013年市武装部领导班子成员名单</w:t>
      </w:r>
    </w:p>
    <w:p w14:paraId="5EFCB7FD">
      <w:pPr>
        <w:pStyle w:val="10"/>
        <w:bidi w:val="0"/>
        <w:rPr>
          <w:rFonts w:hint="eastAsia"/>
        </w:rPr>
      </w:pPr>
      <w:r>
        <w:rPr>
          <w:rFonts w:hint="eastAsia"/>
          <w:b/>
          <w:bCs/>
        </w:rPr>
        <w:t>武装部长：</w:t>
      </w:r>
      <w:r>
        <w:rPr>
          <w:rFonts w:hint="eastAsia"/>
        </w:rPr>
        <w:t>郭英伦</w:t>
      </w:r>
    </w:p>
    <w:p w14:paraId="45EBB140">
      <w:pPr>
        <w:pStyle w:val="10"/>
        <w:bidi w:val="0"/>
        <w:rPr>
          <w:rFonts w:hint="eastAsia"/>
        </w:rPr>
      </w:pPr>
      <w:r>
        <w:rPr>
          <w:rFonts w:hint="eastAsia"/>
          <w:b/>
          <w:bCs/>
        </w:rPr>
        <w:t>政</w:t>
      </w:r>
      <w:r>
        <w:rPr>
          <w:rFonts w:hint="eastAsia"/>
          <w:b/>
          <w:bCs/>
          <w:lang w:val="en-US" w:eastAsia="zh-CN"/>
        </w:rPr>
        <w:t xml:space="preserve">    </w:t>
      </w:r>
      <w:r>
        <w:rPr>
          <w:rFonts w:hint="eastAsia"/>
          <w:b/>
          <w:bCs/>
        </w:rPr>
        <w:t>委：</w:t>
      </w:r>
      <w:r>
        <w:rPr>
          <w:rFonts w:hint="eastAsia"/>
        </w:rPr>
        <w:t>毛利群（兼）</w:t>
      </w:r>
    </w:p>
    <w:p w14:paraId="63FD6670">
      <w:pPr>
        <w:pStyle w:val="10"/>
        <w:bidi w:val="0"/>
        <w:rPr>
          <w:rFonts w:hint="eastAsia"/>
        </w:rPr>
      </w:pPr>
      <w:r>
        <w:rPr>
          <w:rFonts w:hint="eastAsia"/>
          <w:b/>
          <w:bCs/>
        </w:rPr>
        <w:t>副</w:t>
      </w:r>
      <w:r>
        <w:rPr>
          <w:rFonts w:hint="eastAsia"/>
          <w:b/>
          <w:bCs/>
          <w:lang w:val="en-US" w:eastAsia="zh-CN"/>
        </w:rPr>
        <w:t xml:space="preserve"> </w:t>
      </w:r>
      <w:r>
        <w:rPr>
          <w:rFonts w:hint="eastAsia"/>
          <w:b/>
          <w:bCs/>
        </w:rPr>
        <w:t>部</w:t>
      </w:r>
      <w:r>
        <w:rPr>
          <w:rFonts w:hint="eastAsia"/>
          <w:b/>
          <w:bCs/>
          <w:lang w:val="en-US" w:eastAsia="zh-CN"/>
        </w:rPr>
        <w:t xml:space="preserve"> </w:t>
      </w:r>
      <w:r>
        <w:rPr>
          <w:rFonts w:hint="eastAsia"/>
          <w:b/>
          <w:bCs/>
        </w:rPr>
        <w:t>长：</w:t>
      </w:r>
      <w:r>
        <w:rPr>
          <w:rFonts w:hint="eastAsia"/>
        </w:rPr>
        <w:t>陈小峰</w:t>
      </w:r>
    </w:p>
    <w:p w14:paraId="5C1AE8B2">
      <w:pPr>
        <w:pStyle w:val="10"/>
        <w:bidi w:val="0"/>
        <w:rPr>
          <w:rFonts w:hint="eastAsia"/>
        </w:rPr>
      </w:pPr>
      <w:r>
        <w:rPr>
          <w:rFonts w:hint="eastAsia"/>
          <w:b/>
          <w:bCs/>
        </w:rPr>
        <w:t>政工科长：</w:t>
      </w:r>
      <w:r>
        <w:rPr>
          <w:rFonts w:hint="eastAsia"/>
        </w:rPr>
        <w:t>张建军</w:t>
      </w:r>
    </w:p>
    <w:p w14:paraId="46893CD2">
      <w:pPr>
        <w:pStyle w:val="10"/>
        <w:bidi w:val="0"/>
        <w:rPr>
          <w:rFonts w:hint="eastAsia"/>
        </w:rPr>
      </w:pPr>
      <w:r>
        <w:rPr>
          <w:rFonts w:hint="eastAsia"/>
          <w:b/>
          <w:bCs/>
        </w:rPr>
        <w:t>后勤科长：</w:t>
      </w:r>
      <w:r>
        <w:rPr>
          <w:rFonts w:hint="eastAsia"/>
        </w:rPr>
        <w:t>乔向阳</w:t>
      </w:r>
    </w:p>
    <w:p w14:paraId="7B705065">
      <w:pPr>
        <w:pStyle w:val="3"/>
        <w:bidi w:val="0"/>
        <w:rPr>
          <w:rFonts w:hint="eastAsia"/>
          <w:lang w:val="en-US" w:eastAsia="zh-CN"/>
        </w:rPr>
      </w:pPr>
      <w:r>
        <w:rPr>
          <w:rFonts w:hint="eastAsia"/>
          <w:lang w:val="en-US" w:eastAsia="zh-CN"/>
        </w:rPr>
        <w:t>武警</w:t>
      </w:r>
    </w:p>
    <w:p w14:paraId="23E052A5">
      <w:pPr>
        <w:pStyle w:val="4"/>
        <w:bidi w:val="0"/>
        <w:rPr>
          <w:rFonts w:hint="eastAsia"/>
        </w:rPr>
      </w:pPr>
      <w:r>
        <w:rPr>
          <w:rFonts w:hint="eastAsia"/>
        </w:rPr>
        <w:t>【概况】</w:t>
      </w:r>
    </w:p>
    <w:p w14:paraId="06B98FE7">
      <w:pPr>
        <w:rPr>
          <w:rFonts w:hint="eastAsia"/>
        </w:rPr>
      </w:pPr>
      <w:r>
        <w:rPr>
          <w:rFonts w:hint="eastAsia"/>
        </w:rPr>
        <w:t>中国人民武装警察部队韶关支队南雄中队位于南雄市雄洲镇陵园路</w:t>
      </w:r>
      <w:r>
        <w:t>1号，1983年组建，主</w:t>
      </w:r>
      <w:r>
        <w:rPr>
          <w:rFonts w:hint="eastAsia"/>
        </w:rPr>
        <w:t>要担负南雄市看守所的武装看守、南雄地区的“处突”、“反恐”，城市武装巡逻、重大临时勤务维稳任务。</w:t>
      </w:r>
    </w:p>
    <w:p w14:paraId="15710A56">
      <w:pPr>
        <w:pStyle w:val="4"/>
        <w:bidi w:val="0"/>
        <w:rPr>
          <w:rFonts w:hint="eastAsia"/>
        </w:rPr>
      </w:pPr>
      <w:r>
        <w:rPr>
          <w:rFonts w:hint="eastAsia"/>
        </w:rPr>
        <w:t>【党支部班子建设】</w:t>
      </w:r>
    </w:p>
    <w:p w14:paraId="14B2AA93">
      <w:pPr>
        <w:rPr>
          <w:rFonts w:hint="eastAsia"/>
        </w:rPr>
      </w:pPr>
      <w:r>
        <w:t>2013年在支队、大队党委的</w:t>
      </w:r>
      <w:r>
        <w:rPr>
          <w:rFonts w:hint="eastAsia"/>
        </w:rPr>
        <w:t>正确领导下，中队党支部以十八大精神关于加强党的建设的一些列重要论述和全面贯彻落实科学发展观为指针，学习贯彻上级党委扩大会议精神，紧紧</w:t>
      </w:r>
      <w:r>
        <w:rPr>
          <w:rFonts w:hint="eastAsia"/>
          <w:lang w:val="en-US" w:eastAsia="zh-CN"/>
        </w:rPr>
        <w:t>围</w:t>
      </w:r>
      <w:r>
        <w:rPr>
          <w:rFonts w:hint="eastAsia"/>
        </w:rPr>
        <w:t>绕中队“提升中队建设质量，努力再创先进中队”目标，大力加强党组织的建设，始终用党的性质宗旨引领部队。以《纲要》中党支部建设的标准为依据，以学习党的基本路线、方针、政策、党的基础知识和基本理论为主要内容，以增强党性观念为主要目的，进一步提高党员素质，坚定理想信念，增强党组织的凝聚力和战斗力。严格管理教育，严格按要求组织生活，充分发挥党员先锋模范作用；注重加强思想政治领导，确保中队建设的正确方向，充分发挥集体领导作用，不断强化部队凝聚力战斗力，真正使党支部成为坚不可摧的战斗堡垒。</w:t>
      </w:r>
    </w:p>
    <w:p w14:paraId="02581CC5">
      <w:pPr>
        <w:pStyle w:val="4"/>
        <w:bidi w:val="0"/>
        <w:rPr>
          <w:rFonts w:hint="eastAsia"/>
        </w:rPr>
      </w:pPr>
      <w:r>
        <w:rPr>
          <w:rFonts w:hint="eastAsia"/>
        </w:rPr>
        <w:t>【思想政治工作】</w:t>
      </w:r>
    </w:p>
    <w:p w14:paraId="4EE54F3F">
      <w:pPr>
        <w:rPr>
          <w:rFonts w:hint="eastAsia"/>
        </w:rPr>
      </w:pPr>
      <w:r>
        <w:rPr>
          <w:rFonts w:hint="eastAsia"/>
        </w:rPr>
        <w:t>中队始终把思想政治建设摆在首位，着眼驻地环境的特点，探索思想政治工作的新路子、新特点、新方法、打牢官兵的政</w:t>
      </w:r>
      <w:r>
        <w:rPr>
          <w:rFonts w:hint="eastAsia"/>
          <w:lang w:eastAsia="zh-CN"/>
        </w:rPr>
        <w:t>治</w:t>
      </w:r>
      <w:r>
        <w:rPr>
          <w:rFonts w:hint="eastAsia"/>
        </w:rPr>
        <w:t>思想基础，狠抓以“永远做党和人民忠诚卫士”为主题的政治教育，抓实基本环节，丰富形式载体，切实用真理的力量、情感的力量、文化的力量、人格的力量，引导官兵坚定政治信仰、强化警魂意识，纯洁思想道德、激发战斗精神，打牢高举旗帜，听党指挥、履行使命的思想政治基础，以我军历史使命教育，理想信念教育，战斗精神教育，社会主义荣辱观教育为牵引，筑牢忠诚于党、热爱人民、报效国家、献身使命，崇尚荣誉的核心价值观，使广大官兵始终保持政治上的坚定和思想道德的纯洁，向党和人民交出合格的答卷。</w:t>
      </w:r>
    </w:p>
    <w:p w14:paraId="16405794">
      <w:pPr>
        <w:pStyle w:val="4"/>
        <w:bidi w:val="0"/>
        <w:rPr>
          <w:rFonts w:hint="eastAsia"/>
        </w:rPr>
      </w:pPr>
      <w:r>
        <w:rPr>
          <w:rFonts w:hint="eastAsia"/>
        </w:rPr>
        <w:t>【军事训练】</w:t>
      </w:r>
    </w:p>
    <w:p w14:paraId="35573207">
      <w:pPr>
        <w:rPr>
          <w:rFonts w:hint="eastAsia"/>
        </w:rPr>
      </w:pPr>
      <w:r>
        <w:rPr>
          <w:rFonts w:hint="eastAsia"/>
        </w:rPr>
        <w:t>中队在训练中坚持以任务为牵引，以战斗力为核心，从难、从严要求，以深入贯彻军事大纲为主线，以面临的形势，所负的任务为牵引，以全面增强中队执勤、处突的能力，确保中心任务的圆满完成为目标，本着提高能力保中心、打牢基础促稳定的出发点，健全和完善良好的训练工作激励机制，不断提升遂行多样化任务能力，为圆满完成执勤、处突、反恐任务提供坚强的素质支撑。目前体能、擒敌、搏击、战术、战斗队形科目中队全员基本达标，并且结合现实需要，中队开展反恐怖特种作战战术科目的训练，分别对侦</w:t>
      </w:r>
      <w:r>
        <w:rPr>
          <w:rFonts w:hint="eastAsia"/>
          <w:lang w:eastAsia="zh-CN"/>
        </w:rPr>
        <w:t>查</w:t>
      </w:r>
      <w:r>
        <w:rPr>
          <w:rFonts w:hint="eastAsia"/>
        </w:rPr>
        <w:t>、突击、狙击科目训练，大大加强中队反恐应急能力</w:t>
      </w:r>
      <w:r>
        <w:rPr>
          <w:rFonts w:hint="eastAsia"/>
          <w:lang w:eastAsia="zh-CN"/>
        </w:rPr>
        <w:t>，</w:t>
      </w:r>
      <w:r>
        <w:rPr>
          <w:rFonts w:hint="eastAsia"/>
        </w:rPr>
        <w:t>为遂行多样化任务打下圆满基础。</w:t>
      </w:r>
    </w:p>
    <w:p w14:paraId="048B8775">
      <w:pPr>
        <w:pStyle w:val="4"/>
        <w:bidi w:val="0"/>
        <w:rPr>
          <w:rFonts w:hint="eastAsia"/>
        </w:rPr>
      </w:pPr>
      <w:r>
        <w:rPr>
          <w:rFonts w:hint="eastAsia"/>
        </w:rPr>
        <w:t>【执勤战备】</w:t>
      </w:r>
    </w:p>
    <w:p w14:paraId="3656BE3B">
      <w:pPr>
        <w:rPr>
          <w:rFonts w:hint="eastAsia"/>
        </w:rPr>
      </w:pPr>
      <w:r>
        <w:t>2013年中队在原信息化装备上，投</w:t>
      </w:r>
      <w:r>
        <w:rPr>
          <w:rFonts w:hint="eastAsia"/>
        </w:rPr>
        <w:t>入近</w:t>
      </w:r>
      <w:r>
        <w:t>30万元，升级信息化装备，完成作战勤务值</w:t>
      </w:r>
      <w:r>
        <w:rPr>
          <w:rFonts w:hint="eastAsia"/>
        </w:rPr>
        <w:t>班室指挥通信系统，红外天网报警系统。加大反恐怖器材的经费投入，使装备更加全面，更加现代化，为执勤“处突”等各项任务的圆满完成提供坚实保障。</w:t>
      </w:r>
      <w:r>
        <w:t>2013中队协助南雄看守所，进行短途武装</w:t>
      </w:r>
      <w:r>
        <w:rPr>
          <w:rFonts w:hint="eastAsia"/>
        </w:rPr>
        <w:t>押解</w:t>
      </w:r>
      <w:r>
        <w:t>20余次；协助南雄人民武装部完成多次演习</w:t>
      </w:r>
      <w:r>
        <w:rPr>
          <w:rFonts w:hint="eastAsia"/>
        </w:rPr>
        <w:t>任务；协助南雄人民武装部对民兵分队进行训练与培训。</w:t>
      </w:r>
    </w:p>
    <w:p w14:paraId="785E8783">
      <w:pPr>
        <w:pStyle w:val="4"/>
        <w:bidi w:val="0"/>
        <w:rPr>
          <w:rFonts w:hint="eastAsia"/>
        </w:rPr>
      </w:pPr>
      <w:r>
        <w:rPr>
          <w:rFonts w:hint="eastAsia"/>
          <w:lang w:eastAsia="zh-CN"/>
        </w:rPr>
        <w:t>【</w:t>
      </w:r>
      <w:r>
        <w:rPr>
          <w:rFonts w:hint="eastAsia"/>
        </w:rPr>
        <w:t>拥政爱民】</w:t>
      </w:r>
    </w:p>
    <w:p w14:paraId="24EBBF39">
      <w:r>
        <w:rPr>
          <w:rFonts w:hint="eastAsia"/>
        </w:rPr>
        <w:t>贯彻武警部队双重领导体制，加强军政军民关系，发扬热爱人民的优良传统，坚持全心全意为人民服务，与驻地人民开展各项活动；定期邀请南雄市市一中教师为部队进行科学文化、电脑、外语等方面进行教育，提高官兵的科学文化和各种技能。每年</w:t>
      </w:r>
      <w:r>
        <w:t>3、4月份开展学习雷锋月活动，</w:t>
      </w:r>
      <w:r>
        <w:rPr>
          <w:rFonts w:hint="eastAsia"/>
        </w:rPr>
        <w:t>每月配合公安机关，打扫卫生，清洁路面</w:t>
      </w:r>
      <w:r>
        <w:rPr>
          <w:rFonts w:hint="eastAsia"/>
          <w:lang w:eastAsia="zh-CN"/>
        </w:rPr>
        <w:t>。</w:t>
      </w:r>
      <w:r>
        <w:rPr>
          <w:rFonts w:hint="eastAsia"/>
        </w:rPr>
        <w:t>在春节、八一、重阳时节组织官兵到南雄市敬老院打扫卫生，慰问孤寡老人。每年新兵下队，老兵退伍，献血日，组织中队官兵义务献血</w:t>
      </w:r>
      <w:r>
        <w:t>3次。</w:t>
      </w:r>
    </w:p>
    <w:p w14:paraId="56ED42FC">
      <w:pPr>
        <w:pStyle w:val="4"/>
        <w:bidi w:val="0"/>
        <w:rPr>
          <w:rFonts w:hint="eastAsia"/>
        </w:rPr>
      </w:pPr>
      <w:r>
        <w:rPr>
          <w:rFonts w:hint="eastAsia"/>
        </w:rPr>
        <w:t>【后勤管理】</w:t>
      </w:r>
    </w:p>
    <w:p w14:paraId="3A2D7B37">
      <w:pPr>
        <w:rPr>
          <w:rFonts w:hint="eastAsia"/>
          <w:lang w:val="en-US" w:eastAsia="zh-CN"/>
        </w:rPr>
      </w:pPr>
      <w:r>
        <w:rPr>
          <w:rFonts w:hint="eastAsia"/>
        </w:rPr>
        <w:t>中队坚持“保障有力”为目标，狠抓后勤建设和管理，提</w:t>
      </w:r>
      <w:r>
        <w:rPr>
          <w:rFonts w:hint="eastAsia"/>
          <w:lang w:val="en-US" w:eastAsia="zh-CN"/>
        </w:rPr>
        <w:t>高</w:t>
      </w:r>
      <w:r>
        <w:rPr>
          <w:rFonts w:hint="eastAsia"/>
        </w:rPr>
        <w:t>后勤规范化建设管理水平，后勤综合保障能力不断增强：发展农副业生产优势，</w:t>
      </w:r>
      <w:r>
        <w:rPr>
          <w:rFonts w:hint="eastAsia"/>
          <w:lang w:val="en-US" w:eastAsia="zh-CN"/>
        </w:rPr>
        <w:t>采</w:t>
      </w:r>
      <w:r>
        <w:rPr>
          <w:rFonts w:hint="eastAsia"/>
        </w:rPr>
        <w:t>集烟土、塘泥各</w:t>
      </w:r>
      <w:r>
        <w:t>50余担，对菜地土壤进</w:t>
      </w:r>
      <w:r>
        <w:rPr>
          <w:rFonts w:hint="eastAsia"/>
        </w:rPr>
        <w:t>行改良，</w:t>
      </w:r>
      <w:r>
        <w:t>2013年种养猪8头，鱼5000尾、瓜菜6000公斤，不断提高中队的伙食标准，加强伙食的</w:t>
      </w:r>
      <w:r>
        <w:rPr>
          <w:rFonts w:hint="eastAsia"/>
        </w:rPr>
        <w:t>管理要求，同时中队发扬我军艰苦奋斗的优良作风，对旺季时吃不完的蔬菜采用腌制、晾干的办法进行储藏。让战士们能“吃得好、吃得饱、吃的放</w:t>
      </w:r>
      <w:r>
        <w:rPr>
          <w:rFonts w:hint="eastAsia"/>
          <w:lang w:val="en-US" w:eastAsia="zh-CN"/>
        </w:rPr>
        <w:t>心</w:t>
      </w:r>
      <w:r>
        <w:rPr>
          <w:rFonts w:hint="default"/>
          <w:lang w:val="en-US" w:eastAsia="zh-CN"/>
        </w:rPr>
        <w:t>”</w:t>
      </w:r>
      <w:r>
        <w:rPr>
          <w:rFonts w:hint="eastAsia"/>
          <w:lang w:val="en-US" w:eastAsia="zh-CN"/>
        </w:rPr>
        <w:t>。</w:t>
      </w:r>
    </w:p>
    <w:p w14:paraId="18E7F8EC">
      <w:pPr>
        <w:jc w:val="right"/>
        <w:rPr>
          <w:rFonts w:hint="eastAsia"/>
          <w:b/>
          <w:bCs/>
        </w:rPr>
      </w:pPr>
      <w:r>
        <w:rPr>
          <w:rFonts w:hint="eastAsia"/>
          <w:b/>
          <w:bCs/>
        </w:rPr>
        <w:t>（刘玉学）</w:t>
      </w:r>
    </w:p>
    <w:p w14:paraId="5CDB8BEF">
      <w:pPr>
        <w:pStyle w:val="10"/>
        <w:bidi w:val="0"/>
        <w:rPr>
          <w:b/>
          <w:bCs/>
        </w:rPr>
      </w:pPr>
      <w:r>
        <w:rPr>
          <w:rFonts w:hint="eastAsia"/>
          <w:b/>
          <w:bCs/>
        </w:rPr>
        <w:t>附：</w:t>
      </w:r>
      <w:r>
        <w:rPr>
          <w:b/>
          <w:bCs/>
        </w:rPr>
        <w:t>2013年市武警中队领导班子成员名单</w:t>
      </w:r>
    </w:p>
    <w:p w14:paraId="459C6A55">
      <w:pPr>
        <w:pStyle w:val="10"/>
        <w:bidi w:val="0"/>
        <w:rPr>
          <w:rFonts w:hint="eastAsia"/>
        </w:rPr>
      </w:pPr>
      <w:r>
        <w:rPr>
          <w:rFonts w:hint="eastAsia"/>
          <w:b/>
          <w:bCs/>
        </w:rPr>
        <w:t>中队长：</w:t>
      </w:r>
      <w:r>
        <w:rPr>
          <w:rFonts w:hint="eastAsia"/>
        </w:rPr>
        <w:t>李光辉</w:t>
      </w:r>
    </w:p>
    <w:p w14:paraId="58E785CD">
      <w:pPr>
        <w:pStyle w:val="10"/>
        <w:bidi w:val="0"/>
        <w:rPr>
          <w:rFonts w:hint="eastAsia"/>
        </w:rPr>
      </w:pPr>
      <w:r>
        <w:rPr>
          <w:rFonts w:hint="eastAsia"/>
          <w:b/>
          <w:bCs/>
        </w:rPr>
        <w:t>指导员：</w:t>
      </w:r>
      <w:r>
        <w:rPr>
          <w:rFonts w:hint="eastAsia"/>
        </w:rPr>
        <w:t>刘玉学</w:t>
      </w:r>
    </w:p>
    <w:p w14:paraId="4016DD31">
      <w:pPr>
        <w:pStyle w:val="3"/>
        <w:bidi w:val="0"/>
        <w:rPr>
          <w:rFonts w:hint="eastAsia"/>
          <w:lang w:val="en-US" w:eastAsia="zh-CN"/>
        </w:rPr>
      </w:pPr>
      <w:r>
        <w:rPr>
          <w:rFonts w:hint="eastAsia"/>
          <w:lang w:val="en-US" w:eastAsia="zh-CN"/>
        </w:rPr>
        <w:t>消防</w:t>
      </w:r>
    </w:p>
    <w:p w14:paraId="707D84FD">
      <w:pPr>
        <w:pStyle w:val="4"/>
        <w:bidi w:val="0"/>
        <w:rPr>
          <w:rFonts w:hint="eastAsia"/>
        </w:rPr>
      </w:pPr>
      <w:r>
        <w:rPr>
          <w:rFonts w:hint="eastAsia"/>
        </w:rPr>
        <w:t>【概况】</w:t>
      </w:r>
    </w:p>
    <w:p w14:paraId="521EE1F4">
      <w:r>
        <w:rPr>
          <w:rFonts w:hint="eastAsia"/>
        </w:rPr>
        <w:t>南雄市公安消防大队</w:t>
      </w:r>
      <w:r>
        <w:t>1974年组建，隶属</w:t>
      </w:r>
      <w:r>
        <w:rPr>
          <w:rFonts w:hint="eastAsia"/>
        </w:rPr>
        <w:t>韶关市公安消防支队，是一支以防火、灭火、抢险救援、社会救助工作为中心任务的现役公安队伍。大队下辖有</w:t>
      </w:r>
      <w:r>
        <w:t>1个现役消防中队—南雄中队和1个</w:t>
      </w:r>
      <w:r>
        <w:rPr>
          <w:rFonts w:hint="eastAsia"/>
        </w:rPr>
        <w:t>合同制消防队—南雄市精细化工基地政府专职消防队，负责管理南雄市综合应急救援大队。大队配备执勤消防车辆</w:t>
      </w:r>
      <w:r>
        <w:t>7台（其中城市多功能主战消防车1台、云梯车1台、举高喷射消防车1台、水罐车2</w:t>
      </w:r>
      <w:r>
        <w:rPr>
          <w:rFonts w:hint="eastAsia"/>
        </w:rPr>
        <w:t>台、大功率水罐泡沫车</w:t>
      </w:r>
      <w:r>
        <w:t>1台、抢险救援车1台），</w:t>
      </w:r>
      <w:r>
        <w:rPr>
          <w:rFonts w:hint="eastAsia"/>
        </w:rPr>
        <w:t>通讯指挥车</w:t>
      </w:r>
      <w:r>
        <w:t>1台，消防行政执法车2台。肩负着南</w:t>
      </w:r>
      <w:r>
        <w:rPr>
          <w:rFonts w:hint="eastAsia"/>
        </w:rPr>
        <w:t>雄市</w:t>
      </w:r>
      <w:r>
        <w:t>2361平方公里内18个镇（街道）46万人民的</w:t>
      </w:r>
      <w:r>
        <w:rPr>
          <w:rFonts w:hint="eastAsia"/>
        </w:rPr>
        <w:t>生命财产安全保卫重任以及韶赣高速公路</w:t>
      </w:r>
      <w:r>
        <w:t>88</w:t>
      </w:r>
      <w:r>
        <w:rPr>
          <w:rFonts w:hint="eastAsia"/>
          <w:lang w:val="en-US" w:eastAsia="zh-CN"/>
        </w:rPr>
        <w:t>-</w:t>
      </w:r>
      <w:r>
        <w:t>138KM的抢险救援任务。</w:t>
      </w:r>
    </w:p>
    <w:p w14:paraId="267B9E44">
      <w:pPr>
        <w:rPr>
          <w:rFonts w:hint="eastAsia"/>
        </w:rPr>
      </w:pPr>
      <w:r>
        <w:t>2013年，在各级党委政府和领导的关心支持</w:t>
      </w:r>
      <w:r>
        <w:rPr>
          <w:rFonts w:hint="eastAsia"/>
        </w:rPr>
        <w:t>下，经过历代南雄消防人的不懈努力，大队各项建设均取得长足进步，大队坚持党的群众路线、扎实进行“牢记强军目标、献身强军实践，永做忠诚消防卫</w:t>
      </w:r>
      <w:r>
        <w:rPr>
          <w:rFonts w:hint="eastAsia"/>
          <w:lang w:val="en-US" w:eastAsia="zh-CN"/>
        </w:rPr>
        <w:t>士</w:t>
      </w:r>
      <w:r>
        <w:rPr>
          <w:rFonts w:hint="eastAsia"/>
        </w:rPr>
        <w:t>”教育活动，成功将南雄中队打造成为全国“二星级铁军中队”，同时大队大力加强政治建设和党风廉政建设，从严治警、从优待警，全面提升基层部队的战斗力和监督执法工作水平，确保部队安全稳定和高度集中统一，完成各项灭火、抢险救援和消防安全保卫任务，有力地维护南雄市社会面消防安全稳定，实现火灾形势和部队管理“双稳定”，促进南雄经济又好又快发展。</w:t>
      </w:r>
    </w:p>
    <w:p w14:paraId="64265222">
      <w:pPr>
        <w:pStyle w:val="4"/>
        <w:bidi w:val="0"/>
        <w:rPr>
          <w:rFonts w:hint="eastAsia"/>
        </w:rPr>
      </w:pPr>
      <w:r>
        <w:rPr>
          <w:rFonts w:hint="eastAsia"/>
        </w:rPr>
        <w:t>【队伍建设】</w:t>
      </w:r>
    </w:p>
    <w:p w14:paraId="42B7B9F0">
      <w:pPr>
        <w:rPr>
          <w:rFonts w:hint="eastAsia"/>
        </w:rPr>
      </w:pPr>
      <w:r>
        <w:t>2013年大队高度重视正规化建设工</w:t>
      </w:r>
      <w:r>
        <w:rPr>
          <w:rFonts w:hint="eastAsia"/>
        </w:rPr>
        <w:t>作，先后投入</w:t>
      </w:r>
      <w:r>
        <w:t>30余万元用于38个场库室改造、装</w:t>
      </w:r>
      <w:r>
        <w:rPr>
          <w:rFonts w:hint="eastAsia"/>
        </w:rPr>
        <w:t>修、购置物品以及安装营区内外观各种标识设置，对办公楼进行装修改造、为战斗班更换空调、更新卡拉</w:t>
      </w:r>
      <w:r>
        <w:t>OK室的娱乐设备，使营区面貌焕然一新，官</w:t>
      </w:r>
      <w:r>
        <w:rPr>
          <w:rFonts w:hint="eastAsia"/>
        </w:rPr>
        <w:t>兵生活环境得到极大改善。</w:t>
      </w:r>
      <w:r>
        <w:t>2013年被共青团广东省</w:t>
      </w:r>
      <w:r>
        <w:rPr>
          <w:rFonts w:hint="eastAsia"/>
        </w:rPr>
        <w:t>委员会评为“五好团支部”。</w:t>
      </w:r>
    </w:p>
    <w:p w14:paraId="7BE4F466">
      <w:pPr>
        <w:pStyle w:val="4"/>
        <w:bidi w:val="0"/>
        <w:rPr>
          <w:rFonts w:hint="eastAsia"/>
        </w:rPr>
      </w:pPr>
      <w:r>
        <w:rPr>
          <w:rFonts w:hint="eastAsia"/>
        </w:rPr>
        <w:t>【执勤备战】</w:t>
      </w:r>
    </w:p>
    <w:p w14:paraId="7034D124">
      <w:pPr>
        <w:rPr>
          <w:rFonts w:hint="eastAsia"/>
        </w:rPr>
      </w:pPr>
      <w:r>
        <w:rPr>
          <w:rFonts w:hint="eastAsia"/>
        </w:rPr>
        <w:t>南雄大队以创建铁军中队为契机，扎实提高队伍实战化能力。根据《广东省公安消防总队</w:t>
      </w:r>
      <w:r>
        <w:t>2013年铁军中队达标活动实施方案》、《韶关</w:t>
      </w:r>
      <w:r>
        <w:rPr>
          <w:rFonts w:hint="eastAsia"/>
        </w:rPr>
        <w:t>市公安消防部队</w:t>
      </w:r>
      <w:r>
        <w:t>2013年度创建铁军中队工作方案》</w:t>
      </w:r>
      <w:r>
        <w:rPr>
          <w:rFonts w:hint="eastAsia"/>
        </w:rPr>
        <w:t>的要求，大队党委多次召开办公会议部署铁军中队创建的工作，结合实际制定创建二星级铁军中队活动的方案，科学合理组织训练，完成二星级铁军中队的创建任务。同时以南雄市综合应急救援大队为据点，加强化学危险品理化性质、处置对策的专业理论学习，开展人员密集场所火灾扑救、危险化学品泄漏事故等处置的战术战法研究、专业训练和模拟实战演练。</w:t>
      </w:r>
    </w:p>
    <w:p w14:paraId="1C31201C">
      <w:pPr>
        <w:rPr>
          <w:rFonts w:hint="eastAsia"/>
        </w:rPr>
      </w:pPr>
      <w:r>
        <w:rPr>
          <w:rFonts w:hint="eastAsia"/>
        </w:rPr>
        <w:t>大队在南雄市综合应急救援大队的基础上，积极向市委、市政府汇报，引起党委政府主要领导的高度重视，结合《南雄市综合应急救援大队建设三年规划》、《南雄市综合应急救援队伍建设器材装备建设三年计划》，组建医疗、路桥、防汛、供电</w:t>
      </w:r>
      <w:r>
        <w:t>12</w:t>
      </w:r>
      <w:r>
        <w:rPr>
          <w:rFonts w:hint="eastAsia"/>
        </w:rPr>
        <w:t>支专业救援队伍。</w:t>
      </w:r>
      <w:r>
        <w:t>2013年，依托综合应急救援大</w:t>
      </w:r>
      <w:r>
        <w:rPr>
          <w:rFonts w:hint="eastAsia"/>
        </w:rPr>
        <w:t>队，组织大型的综合应急救援演练</w:t>
      </w:r>
      <w:r>
        <w:t>5次，进一步提</w:t>
      </w:r>
      <w:r>
        <w:rPr>
          <w:rFonts w:hint="eastAsia"/>
        </w:rPr>
        <w:t>高各部门协同作战能力。</w:t>
      </w:r>
    </w:p>
    <w:p w14:paraId="31548BAE">
      <w:pPr>
        <w:rPr>
          <w:rFonts w:hint="eastAsia"/>
        </w:rPr>
      </w:pPr>
      <w:r>
        <w:t>2013年大队接警出动214起，动车辆405辆</w:t>
      </w:r>
      <w:r>
        <w:rPr>
          <w:rFonts w:hint="eastAsia"/>
        </w:rPr>
        <w:t>次，出动警力</w:t>
      </w:r>
      <w:r>
        <w:t>2258人次，抢救被困人员35人，疏</w:t>
      </w:r>
      <w:r>
        <w:rPr>
          <w:rFonts w:hint="eastAsia"/>
        </w:rPr>
        <w:t>散被困人员</w:t>
      </w:r>
      <w:r>
        <w:t>215人，抢救财产价值近千万元。同比</w:t>
      </w:r>
      <w:r>
        <w:rPr>
          <w:rFonts w:hint="eastAsia"/>
        </w:rPr>
        <w:t>去年，接警起数上升</w:t>
      </w:r>
      <w:r>
        <w:t>36%，抢救被困人员数上升13%。成功处置“1·14”农用二齿锄头插入头部</w:t>
      </w:r>
      <w:r>
        <w:rPr>
          <w:rFonts w:hint="eastAsia"/>
        </w:rPr>
        <w:t>救援，“</w:t>
      </w:r>
      <w:r>
        <w:t>10·04”幼童手臂被卡在商铺玻璃门，“10</w:t>
      </w:r>
      <w:r>
        <w:rPr>
          <w:rFonts w:hint="eastAsia"/>
        </w:rPr>
        <w:t>·</w:t>
      </w:r>
      <w:r>
        <w:t>17”雄南路一农用机械仓库火灾，“11·04”南</w:t>
      </w:r>
      <w:r>
        <w:rPr>
          <w:rFonts w:hint="eastAsia"/>
        </w:rPr>
        <w:t>雄市珠玑工业园三本化工有限公司甲类车间爆炸起火等一系列急难险重的任务。在社会上、媒体上引起较大反响的灭火、救援事件，受到地方党委政府的高度评价。</w:t>
      </w:r>
    </w:p>
    <w:p w14:paraId="3FC834E7">
      <w:pPr>
        <w:pStyle w:val="4"/>
        <w:bidi w:val="0"/>
        <w:rPr>
          <w:rFonts w:hint="eastAsia"/>
        </w:rPr>
      </w:pPr>
      <w:r>
        <w:rPr>
          <w:rFonts w:hint="eastAsia"/>
        </w:rPr>
        <w:t>【思想政治教育】</w:t>
      </w:r>
    </w:p>
    <w:p w14:paraId="3F1D0413">
      <w:pPr>
        <w:rPr>
          <w:rFonts w:hint="eastAsia"/>
          <w:lang w:eastAsia="zh-CN"/>
        </w:rPr>
      </w:pPr>
      <w:r>
        <w:rPr>
          <w:rFonts w:hint="eastAsia"/>
        </w:rPr>
        <w:t>大队始终把提高自身的团结凝聚力和科学决策能力作为部队建设的头等大事来抓，坚持以“三个代表”重要思想和科学发展观统领一切指挥和决策行动，狠抓班子建设和队伍建设，按照胡锦涛总书记“三句话”总要求指示精神，提出“推动消防工作又好又快发展、努力争创经济欠发达地区的先进队伍”目标，并将加强班子建设作为推进消防工作的建设根本，进一步加强思想、工作、领导作风和学风建设，开创队伍建设正规化的新局面</w:t>
      </w:r>
      <w:r>
        <w:rPr>
          <w:rFonts w:hint="eastAsia"/>
          <w:lang w:eastAsia="zh-CN"/>
        </w:rPr>
        <w:t>。</w:t>
      </w:r>
    </w:p>
    <w:p w14:paraId="09598477">
      <w:pPr>
        <w:rPr>
          <w:rFonts w:hint="eastAsia"/>
        </w:rPr>
      </w:pPr>
      <w:r>
        <w:rPr>
          <w:rFonts w:hint="eastAsia"/>
        </w:rPr>
        <w:t>大队党委围绕部队思想教育的重点、难点、疑点问题，落实党委议教、教育准备会、检</w:t>
      </w:r>
      <w:r>
        <w:rPr>
          <w:rFonts w:hint="eastAsia"/>
          <w:lang w:eastAsia="zh-CN"/>
        </w:rPr>
        <w:t>查</w:t>
      </w:r>
      <w:r>
        <w:rPr>
          <w:rFonts w:hint="eastAsia"/>
        </w:rPr>
        <w:t>总结等教育制度，开展“坚定信念、筑牢警魂”、“党的群众路线教育”教育实践活动，邀请地方党校教授进行辅导讲座，结合部队实际适时开展爱国奉献、革命人生观、尊干爱兵、艰苦奋斗、遵纪守法等基本教育，积极利用驻地爱国教育基地开展爱国主义教育。大队把经常性思想教育贯穿于消防工作和部队建设的全过程，融入到官兵的生活和工作中。针对新时期心理工作的特点，建立健全的心理健康教育组织机构，邀请地方专家开展心理咨询活动，建立官兵心理健康档案，定期开展心理健康检</w:t>
      </w:r>
      <w:r>
        <w:rPr>
          <w:rFonts w:hint="eastAsia"/>
          <w:lang w:eastAsia="zh-CN"/>
        </w:rPr>
        <w:t>查</w:t>
      </w:r>
      <w:r>
        <w:rPr>
          <w:rFonts w:hint="eastAsia"/>
        </w:rPr>
        <w:t>，大队无任何官兵心理问题诱发的事故和案件。</w:t>
      </w:r>
    </w:p>
    <w:p w14:paraId="129A18BB">
      <w:pPr>
        <w:pStyle w:val="4"/>
        <w:bidi w:val="0"/>
        <w:rPr>
          <w:rFonts w:hint="eastAsia"/>
        </w:rPr>
      </w:pPr>
      <w:r>
        <w:rPr>
          <w:rFonts w:hint="eastAsia"/>
        </w:rPr>
        <w:t>【拥政爱民工作】</w:t>
      </w:r>
    </w:p>
    <w:p w14:paraId="4402A73A">
      <w:pPr>
        <w:rPr>
          <w:rFonts w:hint="eastAsia"/>
        </w:rPr>
      </w:pPr>
      <w:r>
        <w:rPr>
          <w:rFonts w:hint="eastAsia"/>
        </w:rPr>
        <w:t>大队积极参加“第五届希望工程南粤会亲活动”，与</w:t>
      </w:r>
      <w:r>
        <w:t>10名需要帮扶的学生结对，</w:t>
      </w:r>
      <w:r>
        <w:rPr>
          <w:rFonts w:hint="eastAsia"/>
        </w:rPr>
        <w:t>多次走访慰问定点扶助对象，帮助他们完成学业。同时大队义务为群众送水、冲洗街道、摘马蜂窝</w:t>
      </w:r>
      <w:r>
        <w:rPr>
          <w:rFonts w:hint="eastAsia"/>
          <w:lang w:eastAsia="zh-CN"/>
        </w:rPr>
        <w:t>、</w:t>
      </w:r>
      <w:r>
        <w:rPr>
          <w:rFonts w:hint="eastAsia"/>
        </w:rPr>
        <w:t>爱心献血，定期为革命烈士家属、孤寡老人送去生活日用品等等一系列助民爱民活动，树立消防部队的良好形象，用实际行动生动诠释“军民鱼水一家情”的深刻内涵，充分体现出消防部队“忠诚可靠、服务人民、竭诚奉献”的精神追求。</w:t>
      </w:r>
    </w:p>
    <w:p w14:paraId="36484E1E">
      <w:pPr>
        <w:jc w:val="right"/>
        <w:rPr>
          <w:rFonts w:hint="eastAsia"/>
          <w:b/>
          <w:bCs/>
        </w:rPr>
      </w:pPr>
      <w:r>
        <w:rPr>
          <w:rFonts w:hint="eastAsia"/>
          <w:b/>
          <w:bCs/>
        </w:rPr>
        <w:t>（王斌斌）</w:t>
      </w:r>
    </w:p>
    <w:p w14:paraId="7B5BF7F1">
      <w:pPr>
        <w:pStyle w:val="10"/>
        <w:bidi w:val="0"/>
        <w:rPr>
          <w:b/>
          <w:bCs/>
        </w:rPr>
      </w:pPr>
      <w:r>
        <w:rPr>
          <w:rFonts w:hint="eastAsia"/>
          <w:b/>
          <w:bCs/>
        </w:rPr>
        <w:t>附：</w:t>
      </w:r>
      <w:r>
        <w:rPr>
          <w:b/>
          <w:bCs/>
        </w:rPr>
        <w:t>2013年市消防大队领导班子成员名单</w:t>
      </w:r>
    </w:p>
    <w:p w14:paraId="4C1A1BB3">
      <w:pPr>
        <w:pStyle w:val="10"/>
        <w:bidi w:val="0"/>
        <w:rPr>
          <w:rFonts w:hint="eastAsia"/>
        </w:rPr>
      </w:pPr>
      <w:r>
        <w:rPr>
          <w:rFonts w:hint="eastAsia"/>
          <w:b/>
          <w:bCs/>
        </w:rPr>
        <w:t>大队长：</w:t>
      </w:r>
      <w:r>
        <w:rPr>
          <w:rFonts w:hint="eastAsia"/>
        </w:rPr>
        <w:t>陈伟</w:t>
      </w:r>
    </w:p>
    <w:p w14:paraId="0E50ECB3">
      <w:pPr>
        <w:pStyle w:val="10"/>
        <w:bidi w:val="0"/>
        <w:rPr>
          <w:rFonts w:hint="eastAsia"/>
        </w:rPr>
      </w:pPr>
      <w:r>
        <w:rPr>
          <w:rFonts w:hint="eastAsia"/>
          <w:b/>
          <w:bCs/>
        </w:rPr>
        <w:t>教导员：</w:t>
      </w:r>
      <w:r>
        <w:rPr>
          <w:rFonts w:hint="eastAsia"/>
        </w:rPr>
        <w:t>陈卫国</w:t>
      </w:r>
    </w:p>
    <w:p w14:paraId="69924B9D">
      <w:pPr>
        <w:pStyle w:val="3"/>
        <w:bidi w:val="0"/>
        <w:rPr>
          <w:rFonts w:hint="default"/>
          <w:lang w:val="en-US" w:eastAsia="zh-CN"/>
        </w:rPr>
      </w:pPr>
      <w:r>
        <w:rPr>
          <w:rFonts w:hint="eastAsia"/>
          <w:lang w:val="en-US" w:eastAsia="zh-CN"/>
        </w:rPr>
        <w:t>人民防空</w:t>
      </w:r>
    </w:p>
    <w:p w14:paraId="326F6F85">
      <w:pPr>
        <w:pStyle w:val="4"/>
        <w:bidi w:val="0"/>
        <w:rPr>
          <w:rFonts w:hint="eastAsia"/>
        </w:rPr>
      </w:pPr>
      <w:r>
        <w:rPr>
          <w:rFonts w:hint="eastAsia"/>
        </w:rPr>
        <w:t>【概况】</w:t>
      </w:r>
    </w:p>
    <w:p w14:paraId="7F7BEDDF">
      <w:pPr>
        <w:rPr>
          <w:rFonts w:hint="eastAsia"/>
        </w:rPr>
      </w:pPr>
      <w:r>
        <w:t>2013年，南雄市人民防空办公室（简称</w:t>
      </w:r>
      <w:r>
        <w:rPr>
          <w:rFonts w:hint="eastAsia"/>
        </w:rPr>
        <w:t>市人防办）设于市政府大楼一楼，内设综合股和工程建设管理股两个机构，有专职工作人员</w:t>
      </w:r>
      <w:r>
        <w:t>1人、兼</w:t>
      </w:r>
      <w:r>
        <w:rPr>
          <w:rFonts w:hint="eastAsia"/>
        </w:rPr>
        <w:t>职人员</w:t>
      </w:r>
      <w:r>
        <w:t>3人，由政府办副主任刘光彬兼任主任，负</w:t>
      </w:r>
      <w:r>
        <w:rPr>
          <w:rFonts w:hint="eastAsia"/>
        </w:rPr>
        <w:t>责人防日常工作。主要职责为贯彻执行人防法律</w:t>
      </w:r>
      <w:r>
        <w:rPr>
          <w:rFonts w:hint="eastAsia"/>
          <w:lang w:eastAsia="zh-CN"/>
        </w:rPr>
        <w:t>、</w:t>
      </w:r>
      <w:r>
        <w:rPr>
          <w:rFonts w:hint="eastAsia"/>
        </w:rPr>
        <w:t>法规与方针、政策；拟定人防发展规划和工作计划；拟定人防建设与城市建设相结合规划，审核城市总体规划中人防要求的落实情况，检</w:t>
      </w:r>
      <w:r>
        <w:rPr>
          <w:rFonts w:hint="eastAsia"/>
          <w:lang w:eastAsia="zh-CN"/>
        </w:rPr>
        <w:t>查</w:t>
      </w:r>
      <w:r>
        <w:rPr>
          <w:rFonts w:hint="eastAsia"/>
        </w:rPr>
        <w:t>监督城市和重要经济目标的人防建设。组织管理人防工程建设；对结合民用建筑修建防空地下室实施计划、技术和质量管理；运用易地建设费建筑人防窗口、骨干工程。开展人防组织指挥工作，拟定城市防空袭方案；拟定战时人口疏散计划并协调与疏散区域的关系；拟定重要经济目标防护方案。制订人防通信警报建设规划及组织实施，并定期组织试鸣。负责人民防空的宣传教育工作。组建人防专业队伍，结合形势任务组织专业训练。</w:t>
      </w:r>
    </w:p>
    <w:p w14:paraId="645839A4">
      <w:pPr>
        <w:pStyle w:val="4"/>
        <w:bidi w:val="0"/>
        <w:rPr>
          <w:rFonts w:hint="eastAsia"/>
        </w:rPr>
      </w:pPr>
      <w:r>
        <w:rPr>
          <w:rFonts w:hint="eastAsia"/>
        </w:rPr>
        <w:t>【防空警报管理与维护】</w:t>
      </w:r>
    </w:p>
    <w:p w14:paraId="71E13E5C">
      <w:pPr>
        <w:rPr>
          <w:rFonts w:hint="eastAsia"/>
          <w:lang w:eastAsia="zh-CN"/>
        </w:rPr>
      </w:pPr>
      <w:r>
        <w:rPr>
          <w:rFonts w:hint="eastAsia"/>
        </w:rPr>
        <w:t>完成本级中心城区人防警报网络建设，制定警报网络建设规划；每年</w:t>
      </w:r>
      <w:r>
        <w:t>9月18日组织防空警报试鸣，并结合试鸣进行初中学生</w:t>
      </w:r>
      <w:r>
        <w:rPr>
          <w:rFonts w:hint="eastAsia"/>
        </w:rPr>
        <w:t>演练；坚持每个季度定期到市区</w:t>
      </w:r>
      <w:r>
        <w:t>7个警报点进行检</w:t>
      </w:r>
      <w:r>
        <w:rPr>
          <w:rFonts w:hint="eastAsia"/>
          <w:lang w:eastAsia="zh-CN"/>
        </w:rPr>
        <w:t>查</w:t>
      </w:r>
      <w:r>
        <w:rPr>
          <w:rFonts w:hint="eastAsia"/>
        </w:rPr>
        <w:t>、测试和进行防尘维护</w:t>
      </w:r>
      <w:r>
        <w:rPr>
          <w:rFonts w:hint="eastAsia"/>
          <w:lang w:eastAsia="zh-CN"/>
        </w:rPr>
        <w:t>。</w:t>
      </w:r>
    </w:p>
    <w:p w14:paraId="3FCE7F4C">
      <w:pPr>
        <w:pStyle w:val="4"/>
        <w:bidi w:val="0"/>
        <w:rPr>
          <w:rFonts w:hint="eastAsia"/>
        </w:rPr>
      </w:pPr>
      <w:r>
        <w:rPr>
          <w:rFonts w:hint="eastAsia"/>
          <w:lang w:eastAsia="zh-CN"/>
        </w:rPr>
        <w:t>【</w:t>
      </w:r>
      <w:r>
        <w:rPr>
          <w:rFonts w:hint="eastAsia"/>
        </w:rPr>
        <w:t>人防工程建设】</w:t>
      </w:r>
    </w:p>
    <w:p w14:paraId="25B6478A">
      <w:pPr>
        <w:rPr>
          <w:rFonts w:hint="eastAsia"/>
        </w:rPr>
      </w:pPr>
      <w:r>
        <w:rPr>
          <w:rFonts w:hint="eastAsia"/>
        </w:rPr>
        <w:t>收取防空地下室易地建设费</w:t>
      </w:r>
      <w:r>
        <w:t>678万元。在珠影文化广场启动南雄市第一个防空</w:t>
      </w:r>
      <w:r>
        <w:rPr>
          <w:rFonts w:hint="eastAsia"/>
        </w:rPr>
        <w:t>地下工程建设。目前，有帽子峰林场、梅岭镇、全安镇</w:t>
      </w:r>
      <w:r>
        <w:t>3个人民防空疏散基地，正在规划进一步完善</w:t>
      </w:r>
      <w:r>
        <w:rPr>
          <w:rFonts w:hint="eastAsia"/>
        </w:rPr>
        <w:t>帽子峰林场防空疏散基地建设。</w:t>
      </w:r>
    </w:p>
    <w:p w14:paraId="2213B988">
      <w:pPr>
        <w:pStyle w:val="4"/>
        <w:bidi w:val="0"/>
        <w:rPr>
          <w:rFonts w:hint="eastAsia"/>
        </w:rPr>
      </w:pPr>
      <w:r>
        <w:rPr>
          <w:rFonts w:hint="eastAsia"/>
        </w:rPr>
        <w:t>【制度建设与宣传教育】</w:t>
      </w:r>
    </w:p>
    <w:p w14:paraId="1D631DE1">
      <w:pPr>
        <w:rPr>
          <w:rFonts w:hint="eastAsia"/>
        </w:rPr>
      </w:pPr>
      <w:r>
        <w:rPr>
          <w:rFonts w:hint="eastAsia"/>
        </w:rPr>
        <w:t>根据《中华人民共和国人民防空法》、《关于明确新建民用建筑修建防空地下室标准的通知》（粤人防〔</w:t>
      </w:r>
      <w:r>
        <w:t>2010〕23号）法规政</w:t>
      </w:r>
      <w:r>
        <w:rPr>
          <w:rFonts w:hint="eastAsia"/>
        </w:rPr>
        <w:t>策，制定《南雄市人民政府关于规范防空地下室建设和易地建设费征收管理工作的规定》，有效加强和规范新建民用建筑修建防空地下室和易地建设费征收管理工作。加大对《中华人民共和国人民防空法》、《广东省实施〈中华人民共和国防空法〉办法》法律、法规的宣传力度。组织新城中学、雄州中学、黎口中学城区</w:t>
      </w:r>
      <w:r>
        <w:t>3000多名初中学生开展防空</w:t>
      </w:r>
      <w:r>
        <w:rPr>
          <w:rFonts w:hint="eastAsia"/>
        </w:rPr>
        <w:t>知识宣传教育活动；结合结建工程的监督检</w:t>
      </w:r>
      <w:r>
        <w:rPr>
          <w:rFonts w:hint="eastAsia"/>
          <w:lang w:eastAsia="zh-CN"/>
        </w:rPr>
        <w:t>查</w:t>
      </w:r>
      <w:r>
        <w:rPr>
          <w:rFonts w:hint="eastAsia"/>
        </w:rPr>
        <w:t>，向建筑开发商、建筑承包商等服务对象广泛宣传人防建设有关规定。开展一系列人防宣传教育活动，普及人防知识和各项政策、法规，增强群众的国防观念和人防意识，树立人防的新形象。</w:t>
      </w:r>
    </w:p>
    <w:p w14:paraId="650DC5AF">
      <w:pPr>
        <w:pStyle w:val="4"/>
        <w:bidi w:val="0"/>
        <w:rPr>
          <w:rFonts w:hint="eastAsia"/>
        </w:rPr>
      </w:pPr>
      <w:r>
        <w:rPr>
          <w:rFonts w:hint="eastAsia"/>
          <w:lang w:eastAsia="zh-CN"/>
        </w:rPr>
        <w:t>【</w:t>
      </w:r>
      <w:r>
        <w:rPr>
          <w:rFonts w:hint="eastAsia"/>
        </w:rPr>
        <w:t>机关“准军事化”建设】</w:t>
      </w:r>
    </w:p>
    <w:p w14:paraId="619C3491">
      <w:pPr>
        <w:rPr>
          <w:rFonts w:hint="eastAsia"/>
        </w:rPr>
      </w:pPr>
      <w:r>
        <w:rPr>
          <w:rFonts w:hint="eastAsia"/>
        </w:rPr>
        <w:t>按人防机关“准军事化”要求，加强与市政府和军事机关的密切配合</w:t>
      </w:r>
      <w:r>
        <w:rPr>
          <w:rFonts w:hint="eastAsia"/>
          <w:lang w:eastAsia="zh-CN"/>
        </w:rPr>
        <w:t>，</w:t>
      </w:r>
      <w:r>
        <w:rPr>
          <w:rFonts w:hint="eastAsia"/>
        </w:rPr>
        <w:t>重大事项能及时向政府、军事机关和上级人防部门请示、报告，自觉接受政府和军事机关的领导、检</w:t>
      </w:r>
      <w:r>
        <w:rPr>
          <w:rFonts w:hint="eastAsia"/>
          <w:lang w:eastAsia="zh-CN"/>
        </w:rPr>
        <w:t>查</w:t>
      </w:r>
      <w:r>
        <w:rPr>
          <w:rFonts w:hint="eastAsia"/>
        </w:rPr>
        <w:t>和督</w:t>
      </w:r>
      <w:r>
        <w:rPr>
          <w:rFonts w:hint="eastAsia"/>
          <w:lang w:eastAsia="zh-CN"/>
        </w:rPr>
        <w:t>查</w:t>
      </w:r>
      <w:r>
        <w:rPr>
          <w:rFonts w:hint="eastAsia"/>
        </w:rPr>
        <w:t>；完善办公设施，办公室做到设备自动化，环境卫生整洁，档案资料齐全；参加上级举办的学习班和岗位练兵活动，提供工作人员专业技术水平；做到人防工作有计划、有总结，从而推动人防工作顺利开展。</w:t>
      </w:r>
    </w:p>
    <w:p w14:paraId="169A7364">
      <w:pPr>
        <w:jc w:val="right"/>
        <w:rPr>
          <w:rFonts w:hint="eastAsia"/>
          <w:b/>
          <w:bCs/>
        </w:rPr>
      </w:pPr>
      <w:r>
        <w:rPr>
          <w:rFonts w:hint="eastAsia"/>
          <w:b/>
          <w:bCs/>
        </w:rPr>
        <w:t>（潘</w:t>
      </w:r>
      <w:r>
        <w:rPr>
          <w:rFonts w:hint="eastAsia"/>
          <w:b/>
          <w:bCs/>
          <w:lang w:val="en-US" w:eastAsia="zh-CN"/>
        </w:rPr>
        <w:t xml:space="preserve">  </w:t>
      </w:r>
      <w:r>
        <w:rPr>
          <w:rFonts w:hint="eastAsia"/>
          <w:b/>
          <w:bCs/>
        </w:rPr>
        <w:t>粤）</w:t>
      </w:r>
    </w:p>
    <w:p w14:paraId="05D6522E">
      <w:pPr>
        <w:pStyle w:val="10"/>
        <w:bidi w:val="0"/>
        <w:rPr>
          <w:b/>
          <w:bCs/>
        </w:rPr>
      </w:pPr>
      <w:r>
        <w:rPr>
          <w:rFonts w:hint="eastAsia"/>
          <w:b/>
          <w:bCs/>
        </w:rPr>
        <w:t>附：</w:t>
      </w:r>
      <w:r>
        <w:rPr>
          <w:b/>
          <w:bCs/>
        </w:rPr>
        <w:t>2012年市人防办领导班子成员名单</w:t>
      </w:r>
    </w:p>
    <w:p w14:paraId="283F722C">
      <w:pPr>
        <w:pStyle w:val="10"/>
        <w:bidi w:val="0"/>
        <w:rPr>
          <w:rFonts w:hint="eastAsia"/>
        </w:rPr>
      </w:pPr>
      <w:r>
        <w:rPr>
          <w:rFonts w:hint="eastAsia"/>
          <w:b/>
          <w:bCs/>
        </w:rPr>
        <w:t>主</w:t>
      </w:r>
      <w:r>
        <w:rPr>
          <w:rFonts w:hint="eastAsia"/>
          <w:b/>
          <w:bCs/>
          <w:lang w:val="en-US" w:eastAsia="zh-CN"/>
        </w:rPr>
        <w:t xml:space="preserve">  </w:t>
      </w:r>
      <w:r>
        <w:rPr>
          <w:rFonts w:hint="eastAsia"/>
          <w:b/>
          <w:bCs/>
        </w:rPr>
        <w:t>任：</w:t>
      </w:r>
      <w:r>
        <w:rPr>
          <w:rFonts w:hint="eastAsia"/>
        </w:rPr>
        <w:t>刘光彬</w:t>
      </w:r>
    </w:p>
    <w:p w14:paraId="0F4E7C35">
      <w:pPr>
        <w:pStyle w:val="10"/>
        <w:bidi w:val="0"/>
        <w:rPr>
          <w:rFonts w:hint="eastAsia"/>
        </w:rPr>
      </w:pPr>
      <w:r>
        <w:rPr>
          <w:rFonts w:hint="eastAsia"/>
          <w:b/>
          <w:bCs/>
        </w:rPr>
        <w:t>副主任：</w:t>
      </w:r>
      <w:r>
        <w:rPr>
          <w:rFonts w:hint="eastAsia"/>
        </w:rPr>
        <w:t>聂郁道</w:t>
      </w:r>
    </w:p>
    <w:p w14:paraId="74B77575">
      <w:pPr>
        <w:pStyle w:val="2"/>
        <w:bidi w:val="0"/>
        <w:rPr>
          <w:rFonts w:hint="eastAsia"/>
        </w:rPr>
      </w:pPr>
      <w:r>
        <w:rPr>
          <w:rFonts w:hint="eastAsia"/>
        </w:rPr>
        <w:t>经济</w:t>
      </w:r>
      <w:r>
        <w:rPr>
          <w:rFonts w:hint="eastAsia"/>
          <w:lang w:val="en-US" w:eastAsia="zh-CN"/>
        </w:rPr>
        <w:t>管</w:t>
      </w:r>
      <w:r>
        <w:rPr>
          <w:rFonts w:hint="eastAsia"/>
        </w:rPr>
        <w:t>理</w:t>
      </w:r>
    </w:p>
    <w:p w14:paraId="1A153754">
      <w:pPr>
        <w:pStyle w:val="3"/>
        <w:bidi w:val="0"/>
        <w:rPr>
          <w:rFonts w:hint="default"/>
          <w:lang w:val="en-US" w:eastAsia="zh-CN"/>
        </w:rPr>
      </w:pPr>
      <w:r>
        <w:rPr>
          <w:rFonts w:hint="eastAsia"/>
          <w:lang w:val="en-US" w:eastAsia="zh-CN"/>
        </w:rPr>
        <w:t>发展和改革</w:t>
      </w:r>
    </w:p>
    <w:p w14:paraId="7493BCD9">
      <w:pPr>
        <w:pStyle w:val="4"/>
        <w:bidi w:val="0"/>
        <w:rPr>
          <w:rFonts w:hint="eastAsia"/>
        </w:rPr>
      </w:pPr>
      <w:r>
        <w:rPr>
          <w:rFonts w:hint="eastAsia"/>
        </w:rPr>
        <w:t>【概况】</w:t>
      </w:r>
    </w:p>
    <w:p w14:paraId="4A7720DC">
      <w:pPr>
        <w:rPr>
          <w:rFonts w:hint="eastAsia"/>
        </w:rPr>
      </w:pPr>
      <w:r>
        <w:rPr>
          <w:rFonts w:hint="eastAsia"/>
        </w:rPr>
        <w:t>南雄市发展和改革局是负责研究提出南雄市国民经济和社会发展战略、发展规划和政策进行总量平衡、结构调整，指导总体经济体制改革的宏观调控部门。南雄市发展和改革局，代管南雄市重点建设项目办公室，加挂南雄市物价局牌子。下设办公室、综合规划、投资管理、社会发展、价格和收费、价格检</w:t>
      </w:r>
      <w:r>
        <w:rPr>
          <w:rFonts w:hint="eastAsia"/>
          <w:lang w:eastAsia="zh-CN"/>
        </w:rPr>
        <w:t>查</w:t>
      </w:r>
      <w:r>
        <w:rPr>
          <w:rFonts w:hint="eastAsia"/>
        </w:rPr>
        <w:t>、价调金管理、价格监测和成本调</w:t>
      </w:r>
      <w:r>
        <w:rPr>
          <w:rFonts w:hint="eastAsia"/>
          <w:lang w:eastAsia="zh-CN"/>
        </w:rPr>
        <w:t>查</w:t>
      </w:r>
      <w:r>
        <w:t>8个股室。核定机关行政编制21名，后勤</w:t>
      </w:r>
      <w:r>
        <w:rPr>
          <w:rFonts w:hint="eastAsia"/>
        </w:rPr>
        <w:t>编制</w:t>
      </w:r>
      <w:r>
        <w:t>1名。其中：局长1名，副局长2名、纪检组</w:t>
      </w:r>
      <w:r>
        <w:rPr>
          <w:rFonts w:hint="eastAsia"/>
        </w:rPr>
        <w:t>长</w:t>
      </w:r>
      <w:r>
        <w:t>1名。下属1个事业单位，为价格认证中心，事</w:t>
      </w:r>
      <w:r>
        <w:rPr>
          <w:rFonts w:hint="eastAsia"/>
        </w:rPr>
        <w:t>业编制</w:t>
      </w:r>
      <w:r>
        <w:t>2名。市政府重点建设项目办公室核定事业</w:t>
      </w:r>
      <w:r>
        <w:rPr>
          <w:rFonts w:hint="eastAsia"/>
        </w:rPr>
        <w:t>编制</w:t>
      </w:r>
      <w:r>
        <w:t>3名，其中主任1名，由市发改局副局长</w:t>
      </w:r>
      <w:r>
        <w:rPr>
          <w:rFonts w:hint="eastAsia"/>
        </w:rPr>
        <w:t>兼任。</w:t>
      </w:r>
    </w:p>
    <w:p w14:paraId="14BA5084">
      <w:r>
        <w:t>2013年地区生产总值完成100.8亿元，完成年</w:t>
      </w:r>
      <w:r>
        <w:rPr>
          <w:rFonts w:hint="eastAsia"/>
        </w:rPr>
        <w:t>度计划的</w:t>
      </w:r>
      <w:r>
        <w:t>100.8%，同比增长12.7%。其中，第</w:t>
      </w:r>
      <w:r>
        <w:rPr>
          <w:rFonts w:hint="eastAsia"/>
          <w:lang w:val="en-US" w:eastAsia="zh-CN"/>
        </w:rPr>
        <w:t>一</w:t>
      </w:r>
      <w:r>
        <w:rPr>
          <w:rFonts w:hint="eastAsia"/>
        </w:rPr>
        <w:t>产业完成</w:t>
      </w:r>
      <w:r>
        <w:t>23.6亿元，同比增长4.8%；第二产业完</w:t>
      </w:r>
      <w:r>
        <w:rPr>
          <w:rFonts w:hint="eastAsia"/>
        </w:rPr>
        <w:t>成</w:t>
      </w:r>
      <w:r>
        <w:t>37亿元，同比增长20.6%；第三产业完成40.2</w:t>
      </w:r>
      <w:r>
        <w:rPr>
          <w:rFonts w:hint="eastAsia"/>
        </w:rPr>
        <w:t>亿元，同比增长</w:t>
      </w:r>
      <w:r>
        <w:t>10.3%。三次产业比重由2012年</w:t>
      </w:r>
      <w:r>
        <w:rPr>
          <w:rFonts w:hint="eastAsia"/>
        </w:rPr>
        <w:t>的</w:t>
      </w:r>
      <w:r>
        <w:t>25.2</w:t>
      </w:r>
      <w:r>
        <w:rPr>
          <w:rFonts w:hint="eastAsia"/>
          <w:lang w:eastAsia="zh-CN"/>
        </w:rPr>
        <w:t>：</w:t>
      </w:r>
      <w:r>
        <w:t>33.6</w:t>
      </w:r>
      <w:r>
        <w:rPr>
          <w:rFonts w:hint="eastAsia"/>
          <w:lang w:eastAsia="zh-CN"/>
        </w:rPr>
        <w:t>：</w:t>
      </w:r>
      <w:r>
        <w:t>41.2调整为23.4</w:t>
      </w:r>
      <w:r>
        <w:rPr>
          <w:rFonts w:hint="eastAsia"/>
          <w:lang w:eastAsia="zh-CN"/>
        </w:rPr>
        <w:t>：</w:t>
      </w:r>
      <w:r>
        <w:t>36.8</w:t>
      </w:r>
      <w:r>
        <w:rPr>
          <w:rFonts w:hint="eastAsia"/>
          <w:lang w:eastAsia="zh-CN"/>
        </w:rPr>
        <w:t>；</w:t>
      </w:r>
      <w:r>
        <w:t>39.8，</w:t>
      </w:r>
      <w:r>
        <w:rPr>
          <w:rFonts w:hint="eastAsia"/>
          <w:lang w:val="en-US" w:eastAsia="zh-CN"/>
        </w:rPr>
        <w:t>二</w:t>
      </w:r>
      <w:r>
        <w:rPr>
          <w:rFonts w:hint="eastAsia"/>
        </w:rPr>
        <w:t>三产比重达</w:t>
      </w:r>
      <w:r>
        <w:t>76.6%，同比提高1.8个百分点。</w:t>
      </w:r>
    </w:p>
    <w:p w14:paraId="5EED9415">
      <w:pPr>
        <w:pStyle w:val="4"/>
        <w:bidi w:val="0"/>
        <w:rPr>
          <w:rFonts w:hint="eastAsia"/>
        </w:rPr>
      </w:pPr>
      <w:r>
        <w:rPr>
          <w:rFonts w:hint="eastAsia"/>
        </w:rPr>
        <w:t>【发展规划的组织编制】</w:t>
      </w:r>
    </w:p>
    <w:p w14:paraId="7A10ECBA">
      <w:pPr>
        <w:rPr>
          <w:rFonts w:hint="eastAsia"/>
        </w:rPr>
      </w:pPr>
      <w:r>
        <w:rPr>
          <w:rFonts w:hint="eastAsia"/>
        </w:rPr>
        <w:t>编制下达年度南雄国民经济和社会发展计划，强化季度、年度经济运行分析工作，做好年度计划组织实施工作。</w:t>
      </w:r>
      <w:r>
        <w:t>2013年，结</w:t>
      </w:r>
      <w:r>
        <w:rPr>
          <w:rFonts w:hint="eastAsia"/>
        </w:rPr>
        <w:t>合国家宏观政策走向和经济动态，科学分析和预测下一年度经济运行的趋势和特点，编制对南雄经济社会科学发展具有指导意义的计划指标体系，下达年度发展计划，为推动南雄经济社会发展指明方向，为推进经济社会又好又快发展提供有力支撑。</w:t>
      </w:r>
    </w:p>
    <w:p w14:paraId="4ED5ED30">
      <w:pPr>
        <w:pStyle w:val="4"/>
        <w:bidi w:val="0"/>
        <w:rPr>
          <w:rFonts w:hint="eastAsia"/>
        </w:rPr>
      </w:pPr>
      <w:r>
        <w:rPr>
          <w:rFonts w:hint="eastAsia"/>
          <w:lang w:eastAsia="zh-CN"/>
        </w:rPr>
        <w:t>【</w:t>
      </w:r>
      <w:r>
        <w:rPr>
          <w:rFonts w:hint="eastAsia"/>
        </w:rPr>
        <w:t>重大政策争取】</w:t>
      </w:r>
    </w:p>
    <w:p w14:paraId="2588C350">
      <w:r>
        <w:rPr>
          <w:rFonts w:hint="eastAsia"/>
        </w:rPr>
        <w:t>与中央、省发改部门联系和沟通，力争南雄作为“原中央苏区县”享受国家、省有关政策，</w:t>
      </w:r>
      <w:r>
        <w:t>2013年中央、省财政共下拨“财力补</w:t>
      </w:r>
      <w:r>
        <w:rPr>
          <w:rFonts w:hint="eastAsia"/>
        </w:rPr>
        <w:t>助”近</w:t>
      </w:r>
      <w:r>
        <w:t>2200万元。作为国家重点生态功能区，争</w:t>
      </w:r>
      <w:r>
        <w:rPr>
          <w:rFonts w:hint="eastAsia"/>
        </w:rPr>
        <w:t>取国家、省生态区补助近</w:t>
      </w:r>
      <w:r>
        <w:t>7630万元。</w:t>
      </w:r>
    </w:p>
    <w:p w14:paraId="68A23427">
      <w:pPr>
        <w:pStyle w:val="4"/>
        <w:bidi w:val="0"/>
        <w:rPr>
          <w:rFonts w:hint="eastAsia"/>
        </w:rPr>
      </w:pPr>
      <w:r>
        <w:rPr>
          <w:rFonts w:hint="eastAsia"/>
        </w:rPr>
        <w:t>【重点项目建设】</w:t>
      </w:r>
    </w:p>
    <w:p w14:paraId="7422F6A3">
      <w:r>
        <w:t>2013年南雄市安排重点项目36</w:t>
      </w:r>
      <w:r>
        <w:rPr>
          <w:rFonts w:hint="eastAsia"/>
        </w:rPr>
        <w:t>个，其中新开工项目</w:t>
      </w:r>
      <w:r>
        <w:t>14个，续建项目22个。固定</w:t>
      </w:r>
      <w:r>
        <w:rPr>
          <w:rFonts w:hint="eastAsia"/>
        </w:rPr>
        <w:t>资产投资完成</w:t>
      </w:r>
      <w:r>
        <w:t>81亿元，同比增长14%左右。其中</w:t>
      </w:r>
      <w:r>
        <w:rPr>
          <w:rFonts w:hint="eastAsia"/>
        </w:rPr>
        <w:t>重点项目投资预计完成</w:t>
      </w:r>
      <w:r>
        <w:t>40亿元，完成年度计划。</w:t>
      </w:r>
    </w:p>
    <w:p w14:paraId="35D16398">
      <w:pPr>
        <w:pStyle w:val="4"/>
        <w:bidi w:val="0"/>
        <w:rPr>
          <w:rFonts w:hint="eastAsia"/>
        </w:rPr>
      </w:pPr>
      <w:r>
        <w:rPr>
          <w:rFonts w:hint="eastAsia"/>
        </w:rPr>
        <w:t>【韶赣铁路建设】</w:t>
      </w:r>
    </w:p>
    <w:p w14:paraId="4B08A0BE">
      <w:r>
        <w:rPr>
          <w:rFonts w:hint="eastAsia"/>
        </w:rPr>
        <w:t>基本完成赣韶铁路南雄段征地拆迁工作。韶赣铁路南雄段</w:t>
      </w:r>
      <w:r>
        <w:t>9条隧道中最长的梅关</w:t>
      </w:r>
      <w:r>
        <w:rPr>
          <w:rFonts w:hint="eastAsia"/>
        </w:rPr>
        <w:t>隧道已全线贯通，韶赣铁路建设进入收尾阶段。韶赣铁路南雄段有</w:t>
      </w:r>
      <w:r>
        <w:t>9条隧道，其中梅关隧道最长，全</w:t>
      </w:r>
      <w:r>
        <w:rPr>
          <w:rFonts w:hint="eastAsia"/>
        </w:rPr>
        <w:t>长</w:t>
      </w:r>
      <w:r>
        <w:t>4102米。梅关隧道属低瓦斯隧道，期间还通过5</w:t>
      </w:r>
      <w:r>
        <w:rPr>
          <w:rFonts w:hint="eastAsia"/>
        </w:rPr>
        <w:t>个断层带，岩层比较破碎，整体施工难度较大，通过优化施工组织设计，已顺利贯通。韶赣铁路全部路基工程已挖通完备，剩余的附属工程在</w:t>
      </w:r>
      <w:r>
        <w:t>2014年1</w:t>
      </w:r>
      <w:r>
        <w:rPr>
          <w:rFonts w:hint="eastAsia"/>
        </w:rPr>
        <w:t>月完工，预计</w:t>
      </w:r>
      <w:r>
        <w:t>2014年7月可通车。</w:t>
      </w:r>
    </w:p>
    <w:p w14:paraId="37D010A3">
      <w:pPr>
        <w:pStyle w:val="4"/>
        <w:bidi w:val="0"/>
        <w:rPr>
          <w:rFonts w:hint="eastAsia"/>
        </w:rPr>
      </w:pPr>
      <w:r>
        <w:rPr>
          <w:rFonts w:hint="eastAsia"/>
        </w:rPr>
        <w:t>【华电集团热电冷联供项目】</w:t>
      </w:r>
    </w:p>
    <w:p w14:paraId="1BC164E5">
      <w:pPr>
        <w:rPr>
          <w:rFonts w:hint="eastAsia"/>
        </w:rPr>
      </w:pPr>
      <w:r>
        <w:t>2013年初韶关热电</w:t>
      </w:r>
      <w:r>
        <w:rPr>
          <w:rFonts w:hint="eastAsia"/>
        </w:rPr>
        <w:t>有限公司在东莞市签订</w:t>
      </w:r>
      <w:r>
        <w:t>35万千瓦“压小”容量指</w:t>
      </w:r>
      <w:r>
        <w:rPr>
          <w:rFonts w:hint="eastAsia"/>
        </w:rPr>
        <w:t>标的购买合同。</w:t>
      </w:r>
      <w:r>
        <w:t>7月初完成第一批关停小火电机组</w:t>
      </w:r>
      <w:r>
        <w:rPr>
          <w:rFonts w:hint="eastAsia"/>
        </w:rPr>
        <w:t>现场核</w:t>
      </w:r>
      <w:r>
        <w:rPr>
          <w:rFonts w:hint="eastAsia"/>
          <w:lang w:eastAsia="zh-CN"/>
        </w:rPr>
        <w:t>查</w:t>
      </w:r>
      <w:r>
        <w:rPr>
          <w:rFonts w:hint="eastAsia"/>
        </w:rPr>
        <w:t>准备工作，并顺利通过省能源局组织的现场核</w:t>
      </w:r>
      <w:r>
        <w:rPr>
          <w:rFonts w:hint="eastAsia"/>
          <w:lang w:eastAsia="zh-CN"/>
        </w:rPr>
        <w:t>查</w:t>
      </w:r>
      <w:r>
        <w:rPr>
          <w:rFonts w:hint="eastAsia"/>
        </w:rPr>
        <w:t>确认。同时中国华电集团公司也正式将该项目上报国家能源局，请求批复“路条”。</w:t>
      </w:r>
    </w:p>
    <w:p w14:paraId="381C69A4">
      <w:pPr>
        <w:pStyle w:val="4"/>
        <w:bidi w:val="0"/>
        <w:rPr>
          <w:rFonts w:hint="eastAsia"/>
        </w:rPr>
      </w:pPr>
      <w:r>
        <w:rPr>
          <w:rFonts w:hint="eastAsia"/>
          <w:lang w:eastAsia="zh-CN"/>
        </w:rPr>
        <w:t>【</w:t>
      </w:r>
      <w:r>
        <w:rPr>
          <w:rFonts w:hint="eastAsia"/>
        </w:rPr>
        <w:t>价格监管调控】</w:t>
      </w:r>
    </w:p>
    <w:p w14:paraId="3079960B">
      <w:pPr>
        <w:rPr>
          <w:rFonts w:hint="eastAsia"/>
        </w:rPr>
      </w:pPr>
      <w:r>
        <w:rPr>
          <w:rFonts w:hint="eastAsia"/>
        </w:rPr>
        <w:t>核定邓公园经济适用住宅房销售价格；</w:t>
      </w:r>
      <w:r>
        <w:t>2013年初烤烟叶收购结算价格；2014年</w:t>
      </w:r>
      <w:r>
        <w:rPr>
          <w:rFonts w:hint="eastAsia"/>
        </w:rPr>
        <w:t>度烟叶生产用肥和烟苗价格；管道天然气配套设施费标准和燃气价格；市区公共汽车客运票价。调整珠玑古巷、梅岭古道旅游景区门票价格；公办幼儿园收费标准；生猪、菜牛定点屠宰加工服务费标准；殡葬服务收费标准；污水处理的征收标准。完成对</w:t>
      </w:r>
      <w:r>
        <w:t>2012年度收费年审工作，年审与稽</w:t>
      </w:r>
      <w:r>
        <w:rPr>
          <w:rFonts w:hint="eastAsia"/>
          <w:lang w:eastAsia="zh-CN"/>
        </w:rPr>
        <w:t>查</w:t>
      </w:r>
      <w:r>
        <w:t>67个具</w:t>
      </w:r>
      <w:r>
        <w:rPr>
          <w:rFonts w:hint="eastAsia"/>
        </w:rPr>
        <w:t>体执收单位，其中：属行政事业性收费有</w:t>
      </w:r>
      <w:r>
        <w:t>35个单</w:t>
      </w:r>
      <w:r>
        <w:rPr>
          <w:rFonts w:hint="eastAsia"/>
        </w:rPr>
        <w:t>位，属经营服务性收费有</w:t>
      </w:r>
      <w:r>
        <w:t>31个单位，涉及的收费</w:t>
      </w:r>
      <w:r>
        <w:rPr>
          <w:rFonts w:hint="eastAsia"/>
        </w:rPr>
        <w:t>总额</w:t>
      </w:r>
      <w:r>
        <w:t>12233.05万元，其中：行政事业性收费金额8135.68万元；经营服务性收费金额4461.65万元。</w:t>
      </w:r>
      <w:r>
        <w:rPr>
          <w:rFonts w:hint="eastAsia"/>
        </w:rPr>
        <w:t>根据《韶关市人民政府关于南雄市县级公立医院医药价格改革试点方案的批复》（韶府复〔</w:t>
      </w:r>
      <w:r>
        <w:t>2013〕134</w:t>
      </w:r>
      <w:r>
        <w:rPr>
          <w:rFonts w:hint="eastAsia"/>
        </w:rPr>
        <w:t>号）规定，完成对公立医院医药价格改革工作，</w:t>
      </w:r>
      <w:r>
        <w:rPr>
          <w:rFonts w:hint="eastAsia"/>
          <w:lang w:val="en-US" w:eastAsia="zh-CN"/>
        </w:rPr>
        <w:t>一</w:t>
      </w:r>
      <w:r>
        <w:rPr>
          <w:rFonts w:hint="eastAsia"/>
        </w:rPr>
        <w:t>是取消药品加成</w:t>
      </w:r>
      <w:r>
        <w:rPr>
          <w:rFonts w:hint="eastAsia"/>
          <w:lang w:val="en-US" w:eastAsia="zh-CN"/>
        </w:rPr>
        <w:t>政</w:t>
      </w:r>
      <w:r>
        <w:rPr>
          <w:rFonts w:hint="eastAsia"/>
        </w:rPr>
        <w:t>策，医院药品（中药饮片除外）实行零差率销售；二是调整部分医疗服务价格。</w:t>
      </w:r>
    </w:p>
    <w:p w14:paraId="7DD0E822">
      <w:pPr>
        <w:rPr>
          <w:rFonts w:hint="eastAsia"/>
        </w:rPr>
      </w:pPr>
      <w:r>
        <w:rPr>
          <w:rFonts w:hint="eastAsia"/>
        </w:rPr>
        <w:t>开展涉农、涉企价格、殡葬服务收费价格、房地产收费专项检</w:t>
      </w:r>
      <w:r>
        <w:rPr>
          <w:rFonts w:hint="eastAsia"/>
          <w:lang w:eastAsia="zh-CN"/>
        </w:rPr>
        <w:t>查</w:t>
      </w:r>
      <w:r>
        <w:rPr>
          <w:rFonts w:hint="eastAsia"/>
        </w:rPr>
        <w:t>及工商部门收费检</w:t>
      </w:r>
      <w:r>
        <w:rPr>
          <w:rFonts w:hint="eastAsia"/>
          <w:lang w:eastAsia="zh-CN"/>
        </w:rPr>
        <w:t>查</w:t>
      </w:r>
      <w:r>
        <w:rPr>
          <w:rFonts w:hint="eastAsia"/>
        </w:rPr>
        <w:t>，规范春运客票价管理工作、清理现行农村公办中小学义务教育阶段收费政策、实行免除农村义务教育阶段中小学学生寄宿生住宿费。平价商店达</w:t>
      </w:r>
      <w:r>
        <w:t>29家，分别有</w:t>
      </w:r>
      <w:r>
        <w:rPr>
          <w:rFonts w:hint="eastAsia"/>
        </w:rPr>
        <w:t>平价专营区</w:t>
      </w:r>
      <w:r>
        <w:t>20家、平价专卖店6家、平价农贸市</w:t>
      </w:r>
      <w:r>
        <w:rPr>
          <w:rFonts w:hint="eastAsia"/>
        </w:rPr>
        <w:t>场</w:t>
      </w:r>
      <w:r>
        <w:t>2家、福利型日用品平价专营区1家，平价商店</w:t>
      </w:r>
      <w:r>
        <w:rPr>
          <w:rFonts w:hint="eastAsia"/>
        </w:rPr>
        <w:t>已基本覆盖城乡。</w:t>
      </w:r>
      <w:r>
        <w:t>2013年实际征收价格调节基金221万元，用于落实低收入群众临时价格补贴与物</w:t>
      </w:r>
      <w:r>
        <w:rPr>
          <w:rFonts w:hint="eastAsia"/>
        </w:rPr>
        <w:t>价上涨联动机制，扶持</w:t>
      </w:r>
      <w:r>
        <w:rPr>
          <w:rFonts w:hint="eastAsia"/>
          <w:lang w:eastAsia="zh-CN"/>
        </w:rPr>
        <w:t>菜篮子工程</w:t>
      </w:r>
      <w:r>
        <w:rPr>
          <w:rFonts w:hint="eastAsia"/>
        </w:rPr>
        <w:t>建设，补贴蔬菜种植和菜牛养殖。</w:t>
      </w:r>
    </w:p>
    <w:p w14:paraId="1541D644">
      <w:pPr>
        <w:jc w:val="right"/>
        <w:rPr>
          <w:rFonts w:hint="eastAsia"/>
          <w:b/>
          <w:bCs/>
          <w:lang w:eastAsia="zh-CN"/>
        </w:rPr>
      </w:pPr>
      <w:r>
        <w:rPr>
          <w:rFonts w:hint="eastAsia"/>
          <w:b/>
          <w:bCs/>
        </w:rPr>
        <w:t>（肖兴云</w:t>
      </w:r>
      <w:r>
        <w:rPr>
          <w:rFonts w:hint="eastAsia"/>
          <w:b/>
          <w:bCs/>
          <w:lang w:eastAsia="zh-CN"/>
        </w:rPr>
        <w:t>）</w:t>
      </w:r>
    </w:p>
    <w:p w14:paraId="233D2337">
      <w:pPr>
        <w:pStyle w:val="10"/>
        <w:bidi w:val="0"/>
        <w:rPr>
          <w:b/>
          <w:bCs/>
        </w:rPr>
      </w:pPr>
      <w:r>
        <w:rPr>
          <w:rFonts w:hint="eastAsia"/>
          <w:b/>
          <w:bCs/>
        </w:rPr>
        <w:t>附：</w:t>
      </w:r>
      <w:r>
        <w:rPr>
          <w:b/>
          <w:bCs/>
        </w:rPr>
        <w:t>2013年市发改局领导班子成员名单</w:t>
      </w:r>
    </w:p>
    <w:p w14:paraId="496F0B07">
      <w:pPr>
        <w:pStyle w:val="10"/>
        <w:bidi w:val="0"/>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王友华</w:t>
      </w:r>
    </w:p>
    <w:p w14:paraId="4A67438C">
      <w:pPr>
        <w:pStyle w:val="10"/>
        <w:bidi w:val="0"/>
        <w:rPr>
          <w:rFonts w:hint="eastAsia"/>
        </w:rPr>
      </w:pPr>
      <w:r>
        <w:rPr>
          <w:rFonts w:hint="eastAsia"/>
          <w:b/>
          <w:bCs/>
        </w:rPr>
        <w:t>副</w:t>
      </w:r>
      <w:r>
        <w:rPr>
          <w:rFonts w:hint="eastAsia"/>
          <w:b/>
          <w:bCs/>
          <w:lang w:val="en-US" w:eastAsia="zh-CN"/>
        </w:rPr>
        <w:t xml:space="preserve"> </w:t>
      </w:r>
      <w:r>
        <w:rPr>
          <w:rFonts w:hint="eastAsia"/>
          <w:b/>
          <w:bCs/>
        </w:rPr>
        <w:t>局</w:t>
      </w:r>
      <w:r>
        <w:rPr>
          <w:rFonts w:hint="eastAsia"/>
          <w:b/>
          <w:bCs/>
          <w:lang w:val="en-US" w:eastAsia="zh-CN"/>
        </w:rPr>
        <w:t xml:space="preserve"> </w:t>
      </w:r>
      <w:r>
        <w:rPr>
          <w:rFonts w:hint="eastAsia"/>
          <w:b/>
          <w:bCs/>
        </w:rPr>
        <w:t>长：</w:t>
      </w:r>
      <w:r>
        <w:rPr>
          <w:rFonts w:hint="eastAsia"/>
        </w:rPr>
        <w:t>李指源</w:t>
      </w:r>
      <w:r>
        <w:rPr>
          <w:rFonts w:hint="eastAsia"/>
          <w:lang w:val="en-US" w:eastAsia="zh-CN"/>
        </w:rPr>
        <w:t xml:space="preserve">   </w:t>
      </w:r>
      <w:r>
        <w:rPr>
          <w:rFonts w:hint="eastAsia"/>
        </w:rPr>
        <w:t>游伦芳</w:t>
      </w:r>
    </w:p>
    <w:p w14:paraId="0EF422AF">
      <w:pPr>
        <w:pStyle w:val="10"/>
        <w:bidi w:val="0"/>
        <w:rPr>
          <w:rFonts w:hint="eastAsia"/>
        </w:rPr>
      </w:pPr>
      <w:r>
        <w:rPr>
          <w:rFonts w:hint="eastAsia"/>
          <w:b/>
          <w:bCs/>
        </w:rPr>
        <w:t>纪检组长：</w:t>
      </w:r>
      <w:r>
        <w:rPr>
          <w:rFonts w:hint="eastAsia"/>
        </w:rPr>
        <w:t>刘金华</w:t>
      </w:r>
    </w:p>
    <w:p w14:paraId="62E5D569">
      <w:pPr>
        <w:pStyle w:val="3"/>
        <w:bidi w:val="0"/>
        <w:rPr>
          <w:rFonts w:hint="eastAsia"/>
          <w:lang w:val="en-US" w:eastAsia="zh-CN"/>
        </w:rPr>
      </w:pPr>
      <w:r>
        <w:rPr>
          <w:rFonts w:hint="eastAsia"/>
          <w:lang w:val="en-US" w:eastAsia="zh-CN"/>
        </w:rPr>
        <w:t>统计</w:t>
      </w:r>
    </w:p>
    <w:p w14:paraId="0010C9B5">
      <w:pPr>
        <w:pStyle w:val="4"/>
        <w:bidi w:val="0"/>
        <w:rPr>
          <w:rFonts w:hint="eastAsia"/>
        </w:rPr>
      </w:pPr>
      <w:r>
        <w:rPr>
          <w:rFonts w:hint="eastAsia"/>
        </w:rPr>
        <w:t>【概况】</w:t>
      </w:r>
    </w:p>
    <w:p w14:paraId="4C57F97C">
      <w:pPr>
        <w:rPr>
          <w:rFonts w:hint="eastAsia"/>
        </w:rPr>
      </w:pPr>
      <w:r>
        <w:rPr>
          <w:rFonts w:hint="eastAsia"/>
        </w:rPr>
        <w:t>南雄市统计局为市人民政府工作部门，主要工作职责是贯彻执行国家和省有关统计工作的方针政策、方法制度和法律法规，组织实施上级下达的统计工作规划和调</w:t>
      </w:r>
      <w:r>
        <w:rPr>
          <w:rFonts w:hint="eastAsia"/>
          <w:lang w:eastAsia="zh-CN"/>
        </w:rPr>
        <w:t>查</w:t>
      </w:r>
      <w:r>
        <w:rPr>
          <w:rFonts w:hint="eastAsia"/>
        </w:rPr>
        <w:t>工作，承担组织和协调全市统计工作，确保统计数据真实、准确、及时的责任；监督检</w:t>
      </w:r>
      <w:r>
        <w:rPr>
          <w:rFonts w:hint="eastAsia"/>
          <w:lang w:eastAsia="zh-CN"/>
        </w:rPr>
        <w:t>查</w:t>
      </w:r>
      <w:r>
        <w:rPr>
          <w:rFonts w:hint="eastAsia"/>
        </w:rPr>
        <w:t>统计法律、法规和制度的实施，指导基层统计工作；组织实施全市国民经济核算和投入产出调</w:t>
      </w:r>
      <w:r>
        <w:rPr>
          <w:rFonts w:hint="eastAsia"/>
          <w:lang w:eastAsia="zh-CN"/>
        </w:rPr>
        <w:t>查</w:t>
      </w:r>
      <w:r>
        <w:rPr>
          <w:rFonts w:hint="eastAsia"/>
        </w:rPr>
        <w:t>，核算生产总值，汇编提供国民经济核算资料；会同有关部门实施南雄市人口、经济、农业重大市情市力普</w:t>
      </w:r>
      <w:r>
        <w:rPr>
          <w:rFonts w:hint="eastAsia"/>
          <w:lang w:eastAsia="zh-CN"/>
        </w:rPr>
        <w:t>查</w:t>
      </w:r>
      <w:r>
        <w:rPr>
          <w:rFonts w:hint="eastAsia"/>
        </w:rPr>
        <w:t>，汇总、整理和提供有关市情市力方面的统计数据；组织实施农林牧渔业、工业、建筑业、批发和零售业、住宿和餐饮业、房地产业、城乡居民收入统计调</w:t>
      </w:r>
      <w:r>
        <w:rPr>
          <w:rFonts w:hint="eastAsia"/>
          <w:lang w:eastAsia="zh-CN"/>
        </w:rPr>
        <w:t>查</w:t>
      </w:r>
      <w:r>
        <w:rPr>
          <w:rFonts w:hint="eastAsia"/>
        </w:rPr>
        <w:t>；综合整理旅游、对外经济、交通运输、邮政、教育、卫生、社会保障</w:t>
      </w:r>
      <w:r>
        <w:rPr>
          <w:rFonts w:hint="eastAsia"/>
          <w:lang w:eastAsia="zh-CN"/>
        </w:rPr>
        <w:t>、</w:t>
      </w:r>
      <w:r>
        <w:rPr>
          <w:rFonts w:hint="eastAsia"/>
        </w:rPr>
        <w:t>公用事业基本统计数据；组织实施能源、投资、科技、人口、劳动力、社会发展基本情况统计调</w:t>
      </w:r>
      <w:r>
        <w:rPr>
          <w:rFonts w:hint="eastAsia"/>
          <w:lang w:eastAsia="zh-CN"/>
        </w:rPr>
        <w:t>查</w:t>
      </w:r>
      <w:r>
        <w:rPr>
          <w:rFonts w:hint="eastAsia"/>
        </w:rPr>
        <w:t>，收集、汇总、整理和提供有关调</w:t>
      </w:r>
      <w:r>
        <w:rPr>
          <w:rFonts w:hint="eastAsia"/>
          <w:lang w:eastAsia="zh-CN"/>
        </w:rPr>
        <w:t>查</w:t>
      </w:r>
      <w:r>
        <w:rPr>
          <w:rFonts w:hint="eastAsia"/>
        </w:rPr>
        <w:t>的统计数据；组织南雄市经济、社会、科技和资源环境统计调</w:t>
      </w:r>
      <w:r>
        <w:rPr>
          <w:rFonts w:hint="eastAsia"/>
          <w:lang w:eastAsia="zh-CN"/>
        </w:rPr>
        <w:t>查</w:t>
      </w:r>
      <w:r>
        <w:rPr>
          <w:rFonts w:hint="eastAsia"/>
        </w:rPr>
        <w:t>，统一核定、管理、公布基本统计资料，定期发布国民经济和社会发展情况的统计信息；对国民经济和社会发展进行统计分析、统计预测和统计监督，向市委、市政府及有关部门提供统计信息和咨询建议；组织市统计从业资格考试认定工作和统计人员继续教育培训工作；建立并管理市统计信息化系统和统计数据库系统，指导各镇（街道）统计数据库和网络的基本标准及运行规则的实施工作，指导市统计信息化系统建设；承办市人民政府和上级统计部门交办的其他事项。局机关行政编制</w:t>
      </w:r>
      <w:r>
        <w:t>10名，其</w:t>
      </w:r>
      <w:r>
        <w:rPr>
          <w:rFonts w:hint="eastAsia"/>
        </w:rPr>
        <w:t>中：局长</w:t>
      </w:r>
      <w:r>
        <w:t>1名、副局长2名、股长5名、副股长1</w:t>
      </w:r>
      <w:r>
        <w:rPr>
          <w:rFonts w:hint="eastAsia"/>
        </w:rPr>
        <w:t>名；后勤服务人员数</w:t>
      </w:r>
      <w:r>
        <w:t>2名。内设办公室、综合法制</w:t>
      </w:r>
      <w:r>
        <w:rPr>
          <w:rFonts w:hint="eastAsia"/>
        </w:rPr>
        <w:t>股、工业能源股、社会投资股、农村贸易股等</w:t>
      </w:r>
      <w:r>
        <w:t>5个</w:t>
      </w:r>
      <w:r>
        <w:rPr>
          <w:rFonts w:hint="eastAsia"/>
        </w:rPr>
        <w:t>股室。</w:t>
      </w:r>
      <w:r>
        <w:t>2013年，实有人员11名，其中行政编制10</w:t>
      </w:r>
      <w:r>
        <w:rPr>
          <w:rFonts w:hint="eastAsia"/>
        </w:rPr>
        <w:t>名，后勤服务人员</w:t>
      </w:r>
      <w:r>
        <w:t>1名。挂靠管理的市普</w:t>
      </w:r>
      <w:r>
        <w:rPr>
          <w:rFonts w:hint="eastAsia"/>
          <w:lang w:eastAsia="zh-CN"/>
        </w:rPr>
        <w:t>查</w:t>
      </w:r>
      <w:r>
        <w:t>中心，</w:t>
      </w:r>
      <w:r>
        <w:rPr>
          <w:rFonts w:hint="eastAsia"/>
        </w:rPr>
        <w:t>事业编制</w:t>
      </w:r>
      <w:r>
        <w:t>7名，其中主任1名，副主任1名，实有7人。2013年4月被南雄市政府评为2012年度全市</w:t>
      </w:r>
      <w:r>
        <w:rPr>
          <w:rFonts w:hint="eastAsia"/>
        </w:rPr>
        <w:t>统计工作先进单位；</w:t>
      </w:r>
      <w:r>
        <w:t>2013年6月被南雄市委、市政</w:t>
      </w:r>
      <w:r>
        <w:rPr>
          <w:rFonts w:hint="eastAsia"/>
        </w:rPr>
        <w:t>府授予扶贫开发“规划到户、责任到人”优秀组织单位。</w:t>
      </w:r>
    </w:p>
    <w:p w14:paraId="01F39782">
      <w:pPr>
        <w:pStyle w:val="4"/>
        <w:bidi w:val="0"/>
        <w:rPr>
          <w:rFonts w:hint="eastAsia"/>
        </w:rPr>
      </w:pPr>
      <w:r>
        <w:rPr>
          <w:rFonts w:hint="eastAsia"/>
        </w:rPr>
        <w:t>【“四大工程”建设】</w:t>
      </w:r>
    </w:p>
    <w:p w14:paraId="27B206E6">
      <w:pPr>
        <w:rPr>
          <w:rFonts w:hint="eastAsia"/>
        </w:rPr>
      </w:pPr>
      <w:r>
        <w:rPr>
          <w:rFonts w:hint="eastAsia"/>
        </w:rPr>
        <w:t>统计“四大工程”是指基本单位名录库、企业一套表制度、数据采集处理软件系统和联网直报系统等互相联系、为整体的四大工程。统计局以改革精神，扎实推进“四大工程”建设，按照“统一标准、一库在线、基层维护、适时更新”的要求，定期取得并实地核实工商、质监、民政、税务、编办等行政部门的名录资料，真实、准确、及时更新基本单位名录库。</w:t>
      </w:r>
      <w:r>
        <w:t>2013年12</w:t>
      </w:r>
      <w:r>
        <w:rPr>
          <w:rFonts w:hint="eastAsia"/>
        </w:rPr>
        <w:t>月</w:t>
      </w:r>
      <w:r>
        <w:t>31日，有“三上”企业165家，其中规模以上</w:t>
      </w:r>
      <w:r>
        <w:rPr>
          <w:rFonts w:hint="eastAsia"/>
        </w:rPr>
        <w:t>工业企业</w:t>
      </w:r>
      <w:r>
        <w:t>80家、限上批发零售企业38家，限上住</w:t>
      </w:r>
      <w:r>
        <w:rPr>
          <w:rFonts w:hint="eastAsia"/>
        </w:rPr>
        <w:t>宿餐饮业</w:t>
      </w:r>
      <w:r>
        <w:t>12家，资质建筑业8家、资质房地产业20家，重点服务业7家。贯彻执行“企业一套表”</w:t>
      </w:r>
      <w:r>
        <w:rPr>
          <w:rFonts w:hint="eastAsia"/>
        </w:rPr>
        <w:t>制度，“三上”企业统计数据在统计联网直报平台及时上报率和企业自主上报率均保持</w:t>
      </w:r>
      <w:r>
        <w:t>100%，统计</w:t>
      </w:r>
      <w:r>
        <w:rPr>
          <w:rFonts w:hint="eastAsia"/>
        </w:rPr>
        <w:t>联网直报数据质量不断提升，“四大工程”建设工作扎实高效有序推进，统计改革成绩显著。</w:t>
      </w:r>
    </w:p>
    <w:p w14:paraId="6D8BB9EA">
      <w:pPr>
        <w:pStyle w:val="4"/>
        <w:bidi w:val="0"/>
        <w:rPr>
          <w:rFonts w:hint="eastAsia"/>
        </w:rPr>
      </w:pPr>
      <w:r>
        <w:rPr>
          <w:rFonts w:hint="eastAsia"/>
        </w:rPr>
        <w:t>【经济普</w:t>
      </w:r>
      <w:r>
        <w:rPr>
          <w:rFonts w:hint="eastAsia"/>
          <w:lang w:eastAsia="zh-CN"/>
        </w:rPr>
        <w:t>查</w:t>
      </w:r>
      <w:r>
        <w:rPr>
          <w:rFonts w:hint="eastAsia"/>
        </w:rPr>
        <w:t>】</w:t>
      </w:r>
    </w:p>
    <w:p w14:paraId="4185CEF1">
      <w:pPr>
        <w:rPr>
          <w:rFonts w:hint="eastAsia"/>
        </w:rPr>
      </w:pPr>
      <w:r>
        <w:rPr>
          <w:rFonts w:hint="eastAsia"/>
        </w:rPr>
        <w:t>国务院决定</w:t>
      </w:r>
      <w:r>
        <w:t>2013年开展第三次全国</w:t>
      </w:r>
      <w:r>
        <w:rPr>
          <w:rFonts w:hint="eastAsia"/>
        </w:rPr>
        <w:t>经济普</w:t>
      </w:r>
      <w:r>
        <w:rPr>
          <w:rFonts w:hint="eastAsia"/>
          <w:lang w:eastAsia="zh-CN"/>
        </w:rPr>
        <w:t>查</w:t>
      </w:r>
      <w:r>
        <w:rPr>
          <w:rFonts w:hint="eastAsia"/>
        </w:rPr>
        <w:t>。</w:t>
      </w:r>
      <w:r>
        <w:t>8月上旬，政府办印发《关于认真做好</w:t>
      </w:r>
      <w:r>
        <w:rPr>
          <w:rFonts w:hint="eastAsia"/>
        </w:rPr>
        <w:t>南雄市第三次全国经济普</w:t>
      </w:r>
      <w:r>
        <w:rPr>
          <w:rFonts w:hint="eastAsia"/>
          <w:lang w:eastAsia="zh-CN"/>
        </w:rPr>
        <w:t>查</w:t>
      </w:r>
      <w:r>
        <w:rPr>
          <w:rFonts w:hint="eastAsia"/>
        </w:rPr>
        <w:t>工作的通知》，第三次经济普</w:t>
      </w:r>
      <w:r>
        <w:rPr>
          <w:rFonts w:hint="eastAsia"/>
          <w:lang w:eastAsia="zh-CN"/>
        </w:rPr>
        <w:t>查</w:t>
      </w:r>
      <w:r>
        <w:rPr>
          <w:rFonts w:hint="eastAsia"/>
        </w:rPr>
        <w:t>工作全面启动。统计局按照国家、省、韶关市普</w:t>
      </w:r>
      <w:r>
        <w:rPr>
          <w:rFonts w:hint="eastAsia"/>
          <w:lang w:eastAsia="zh-CN"/>
        </w:rPr>
        <w:t>查</w:t>
      </w:r>
      <w:r>
        <w:rPr>
          <w:rFonts w:hint="eastAsia"/>
        </w:rPr>
        <w:t>方案，履行牵头部门职责，及时组建普</w:t>
      </w:r>
      <w:r>
        <w:rPr>
          <w:rFonts w:hint="eastAsia"/>
          <w:lang w:eastAsia="zh-CN"/>
        </w:rPr>
        <w:t>查</w:t>
      </w:r>
      <w:r>
        <w:rPr>
          <w:rFonts w:hint="eastAsia"/>
        </w:rPr>
        <w:t>机构，拟定普</w:t>
      </w:r>
      <w:r>
        <w:rPr>
          <w:rFonts w:hint="eastAsia"/>
          <w:lang w:eastAsia="zh-CN"/>
        </w:rPr>
        <w:t>查</w:t>
      </w:r>
      <w:r>
        <w:rPr>
          <w:rFonts w:hint="eastAsia"/>
        </w:rPr>
        <w:t>方案，建立分工明确的工作机制，加强普</w:t>
      </w:r>
      <w:r>
        <w:rPr>
          <w:rFonts w:hint="eastAsia"/>
          <w:lang w:eastAsia="zh-CN"/>
        </w:rPr>
        <w:t>查</w:t>
      </w:r>
      <w:r>
        <w:rPr>
          <w:rFonts w:hint="eastAsia"/>
        </w:rPr>
        <w:t>宣传。</w:t>
      </w:r>
      <w:r>
        <w:t>9至11月份，采取分片包干形式，</w:t>
      </w:r>
      <w:r>
        <w:rPr>
          <w:rFonts w:hint="eastAsia"/>
        </w:rPr>
        <w:t>组成</w:t>
      </w:r>
      <w:r>
        <w:t>6个工作组，分赴18个镇（街道）全力抓好</w:t>
      </w:r>
      <w:r>
        <w:rPr>
          <w:rFonts w:hint="eastAsia"/>
        </w:rPr>
        <w:t>个体经营户和单位核</w:t>
      </w:r>
      <w:r>
        <w:rPr>
          <w:rFonts w:hint="eastAsia"/>
          <w:lang w:eastAsia="zh-CN"/>
        </w:rPr>
        <w:t>查</w:t>
      </w:r>
      <w:r>
        <w:rPr>
          <w:rFonts w:hint="eastAsia"/>
        </w:rPr>
        <w:t>。开展大规模的经济普</w:t>
      </w:r>
      <w:r>
        <w:rPr>
          <w:rFonts w:hint="eastAsia"/>
          <w:lang w:eastAsia="zh-CN"/>
        </w:rPr>
        <w:t>查</w:t>
      </w:r>
      <w:r>
        <w:rPr>
          <w:rFonts w:hint="eastAsia"/>
        </w:rPr>
        <w:t>业务培训，超过</w:t>
      </w:r>
      <w:r>
        <w:t>1600人次接受单位核</w:t>
      </w:r>
      <w:r>
        <w:rPr>
          <w:rFonts w:hint="eastAsia"/>
          <w:lang w:eastAsia="zh-CN"/>
        </w:rPr>
        <w:t>查</w:t>
      </w:r>
      <w:r>
        <w:t>方案和普</w:t>
      </w:r>
      <w:r>
        <w:rPr>
          <w:rFonts w:hint="eastAsia"/>
          <w:lang w:eastAsia="zh-CN"/>
        </w:rPr>
        <w:t>查</w:t>
      </w:r>
      <w:r>
        <w:rPr>
          <w:rFonts w:hint="eastAsia"/>
        </w:rPr>
        <w:t>知识培训。同时，组织人力认真做好个体经营户和单位核</w:t>
      </w:r>
      <w:r>
        <w:rPr>
          <w:rFonts w:hint="eastAsia"/>
          <w:lang w:eastAsia="zh-CN"/>
        </w:rPr>
        <w:t>查</w:t>
      </w:r>
      <w:r>
        <w:rPr>
          <w:rFonts w:hint="eastAsia"/>
        </w:rPr>
        <w:t>编码、审核、录</w:t>
      </w:r>
      <w:r>
        <w:rPr>
          <w:rFonts w:hint="eastAsia"/>
          <w:lang w:val="en-US" w:eastAsia="zh-CN"/>
        </w:rPr>
        <w:t>入</w:t>
      </w:r>
      <w:r>
        <w:rPr>
          <w:rFonts w:hint="eastAsia"/>
        </w:rPr>
        <w:t>、</w:t>
      </w:r>
      <w:r>
        <w:rPr>
          <w:rFonts w:hint="eastAsia"/>
          <w:lang w:eastAsia="zh-CN"/>
        </w:rPr>
        <w:t>查</w:t>
      </w:r>
      <w:r>
        <w:rPr>
          <w:rFonts w:hint="eastAsia"/>
        </w:rPr>
        <w:t>漏补缺和改错工作。</w:t>
      </w:r>
      <w:r>
        <w:t>11月至12月，组织做好普</w:t>
      </w:r>
      <w:r>
        <w:rPr>
          <w:rFonts w:hint="eastAsia"/>
          <w:lang w:eastAsia="zh-CN"/>
        </w:rPr>
        <w:t>查</w:t>
      </w:r>
      <w:r>
        <w:t>区电子地图绘制</w:t>
      </w:r>
      <w:r>
        <w:rPr>
          <w:rFonts w:hint="eastAsia"/>
          <w:lang w:eastAsia="zh-CN"/>
        </w:rPr>
        <w:t>、</w:t>
      </w:r>
      <w:r>
        <w:t>PDA操作培训、宣传动员和入户登记前的各项准备</w:t>
      </w:r>
      <w:r>
        <w:rPr>
          <w:rFonts w:hint="eastAsia"/>
        </w:rPr>
        <w:t>工作，普</w:t>
      </w:r>
      <w:r>
        <w:rPr>
          <w:rFonts w:hint="eastAsia"/>
          <w:lang w:eastAsia="zh-CN"/>
        </w:rPr>
        <w:t>查</w:t>
      </w:r>
      <w:r>
        <w:rPr>
          <w:rFonts w:hint="eastAsia"/>
        </w:rPr>
        <w:t>取得阶段性成果，工作也得到上级的高度评价。</w:t>
      </w:r>
    </w:p>
    <w:p w14:paraId="2E23853A">
      <w:pPr>
        <w:pStyle w:val="4"/>
        <w:bidi w:val="0"/>
        <w:rPr>
          <w:rFonts w:hint="eastAsia"/>
        </w:rPr>
      </w:pPr>
      <w:r>
        <w:rPr>
          <w:rFonts w:hint="eastAsia"/>
          <w:lang w:eastAsia="zh-CN"/>
        </w:rPr>
        <w:t>【</w:t>
      </w:r>
      <w:r>
        <w:rPr>
          <w:rFonts w:hint="eastAsia"/>
        </w:rPr>
        <w:t>统计服务】</w:t>
      </w:r>
    </w:p>
    <w:p w14:paraId="00CFF11B">
      <w:pPr>
        <w:rPr>
          <w:rFonts w:hint="eastAsia"/>
          <w:lang w:eastAsia="zh-CN"/>
        </w:rPr>
      </w:pPr>
      <w:r>
        <w:rPr>
          <w:rFonts w:hint="eastAsia"/>
        </w:rPr>
        <w:t>统计局加强《南雄统计》、《南雄统计月报》统计刊物的编辑工作，帮助各级领导和社会各界了解统计业务和法规知识，解读统计数据。每月经济数据出来后，将主要的经济指标编辑成短信，发送到市领导手机上，让领导更迅速、便捷地了解经济发展动态，为领导提供科学决策参考。按时向社会发布年度统计公报，及时为市委全会、市人大会议、市政府工作会议和</w:t>
      </w:r>
      <w:r>
        <w:t>GDP联席会议提供大</w:t>
      </w:r>
      <w:r>
        <w:rPr>
          <w:rFonts w:hint="eastAsia"/>
        </w:rPr>
        <w:t>量详尽的统计数据，统计服务工作得到市领导的充分肯定。</w:t>
      </w:r>
      <w:r>
        <w:t>2013年，统计局印发《南雄统计》29期</w:t>
      </w:r>
      <w:r>
        <w:rPr>
          <w:rFonts w:hint="eastAsia"/>
          <w:lang w:eastAsia="zh-CN"/>
        </w:rPr>
        <w:t>、</w:t>
      </w:r>
      <w:r>
        <w:rPr>
          <w:rFonts w:hint="eastAsia"/>
        </w:rPr>
        <w:t>《南雄统计月报》</w:t>
      </w:r>
      <w:r>
        <w:t>11期、为社会各界提供统计咨询</w:t>
      </w:r>
      <w:r>
        <w:rPr>
          <w:rFonts w:hint="eastAsia"/>
        </w:rPr>
        <w:t>服务</w:t>
      </w:r>
      <w:r>
        <w:t>3306人次</w:t>
      </w:r>
      <w:r>
        <w:rPr>
          <w:rFonts w:hint="eastAsia"/>
          <w:lang w:eastAsia="zh-CN"/>
        </w:rPr>
        <w:t>。</w:t>
      </w:r>
    </w:p>
    <w:p w14:paraId="2F900254">
      <w:pPr>
        <w:pStyle w:val="4"/>
        <w:bidi w:val="0"/>
        <w:rPr>
          <w:rFonts w:hint="eastAsia"/>
        </w:rPr>
      </w:pPr>
      <w:r>
        <w:rPr>
          <w:rFonts w:hint="eastAsia"/>
        </w:rPr>
        <w:t>【县域经济考核】</w:t>
      </w:r>
    </w:p>
    <w:p w14:paraId="7741B690">
      <w:pPr>
        <w:rPr>
          <w:rFonts w:hint="eastAsia"/>
        </w:rPr>
      </w:pPr>
      <w:r>
        <w:rPr>
          <w:rFonts w:hint="eastAsia"/>
        </w:rPr>
        <w:t>《韶关市</w:t>
      </w:r>
      <w:r>
        <w:t>2013年县（市、区）</w:t>
      </w:r>
      <w:r>
        <w:rPr>
          <w:rFonts w:hint="eastAsia"/>
        </w:rPr>
        <w:t>经济社会科学发展考核实施方案》出台后，统计局认真研究和分析实施方案，积极出谋划策，密切跟踪兄弟县市（区）经济社会发展情况，及时向市委、市政府领导汇报考核中面临的困难和薄弱环节，主动与发改、财政、税务、经信、住建等职能部门沟通，寻找解决困难的办法，促成《南雄市第</w:t>
      </w:r>
      <w:r>
        <w:rPr>
          <w:rFonts w:hint="eastAsia"/>
          <w:lang w:val="en-US" w:eastAsia="zh-CN"/>
        </w:rPr>
        <w:t>三</w:t>
      </w:r>
      <w:r>
        <w:rPr>
          <w:rFonts w:hint="eastAsia"/>
        </w:rPr>
        <w:t>产业提速实施方案》出台。主动协助发展和改革部门协调县域经济社会科学发展考核工作，在</w:t>
      </w:r>
      <w:r>
        <w:t>2013</w:t>
      </w:r>
      <w:r>
        <w:rPr>
          <w:rFonts w:hint="eastAsia"/>
        </w:rPr>
        <w:t>年韶关各县（市、区）经济社会科学发展考核中南雄名列韶关市第五。</w:t>
      </w:r>
    </w:p>
    <w:p w14:paraId="2D37FD41">
      <w:pPr>
        <w:pStyle w:val="4"/>
        <w:bidi w:val="0"/>
        <w:rPr>
          <w:rFonts w:hint="eastAsia"/>
        </w:rPr>
      </w:pPr>
      <w:r>
        <w:rPr>
          <w:rFonts w:hint="eastAsia"/>
        </w:rPr>
        <w:t>【</w:t>
      </w:r>
      <w:r>
        <w:rPr>
          <w:rFonts w:hint="eastAsia"/>
          <w:lang w:val="en-US" w:eastAsia="zh-CN"/>
        </w:rPr>
        <w:t>统</w:t>
      </w:r>
      <w:r>
        <w:rPr>
          <w:rFonts w:hint="eastAsia"/>
        </w:rPr>
        <w:t>计业务培训】</w:t>
      </w:r>
    </w:p>
    <w:p w14:paraId="10D6C784">
      <w:pPr>
        <w:rPr>
          <w:rFonts w:hint="eastAsia"/>
        </w:rPr>
      </w:pPr>
      <w:r>
        <w:rPr>
          <w:rFonts w:hint="eastAsia"/>
        </w:rPr>
        <w:t>举办统计年报及定报业务培训活动，培训机关、企事业单位统计人员</w:t>
      </w:r>
      <w:r>
        <w:t>360人次；7月底，开展新任统计员业务培训活动，6个镇的</w:t>
      </w:r>
      <w:r>
        <w:rPr>
          <w:rFonts w:hint="eastAsia"/>
        </w:rPr>
        <w:t>新任综合统计员参加为期</w:t>
      </w:r>
      <w:r>
        <w:t>3天的业务跟班学习；选</w:t>
      </w:r>
      <w:r>
        <w:rPr>
          <w:rFonts w:hint="eastAsia"/>
        </w:rPr>
        <w:t>派</w:t>
      </w:r>
      <w:r>
        <w:t>1名领导到成都参加国家统计局组织的统计干部</w:t>
      </w:r>
      <w:r>
        <w:rPr>
          <w:rFonts w:hint="eastAsia"/>
        </w:rPr>
        <w:t>业务知识培训学习；</w:t>
      </w:r>
      <w:r>
        <w:t>27名统计从业人员参加《新</w:t>
      </w:r>
      <w:r>
        <w:rPr>
          <w:rFonts w:hint="eastAsia"/>
        </w:rPr>
        <w:t>〈统计法〉解读》继续教育培训。</w:t>
      </w:r>
    </w:p>
    <w:p w14:paraId="252625E0">
      <w:pPr>
        <w:pStyle w:val="4"/>
        <w:bidi w:val="0"/>
        <w:rPr>
          <w:rFonts w:hint="eastAsia"/>
        </w:rPr>
      </w:pPr>
      <w:r>
        <w:rPr>
          <w:rFonts w:hint="eastAsia"/>
          <w:lang w:eastAsia="zh-CN"/>
        </w:rPr>
        <w:t>【</w:t>
      </w:r>
      <w:r>
        <w:rPr>
          <w:rFonts w:hint="eastAsia"/>
        </w:rPr>
        <w:t>从业资格认定】</w:t>
      </w:r>
    </w:p>
    <w:p w14:paraId="6FC794D2">
      <w:pPr>
        <w:rPr>
          <w:rFonts w:hint="eastAsia"/>
          <w:lang w:eastAsia="zh-CN"/>
        </w:rPr>
      </w:pPr>
      <w:r>
        <w:t>2013年9月9日至13日举办2013年统计从业资格认定培训班，来自全市各有关</w:t>
      </w:r>
      <w:r>
        <w:rPr>
          <w:rFonts w:hint="eastAsia"/>
        </w:rPr>
        <w:t>单位</w:t>
      </w:r>
      <w:r>
        <w:t>46人参加培训。培训班上主要讲授《统计法</w:t>
      </w:r>
      <w:r>
        <w:rPr>
          <w:rFonts w:hint="eastAsia"/>
        </w:rPr>
        <w:t>基础知识》、《统计基础知识与统计实务》两门课。</w:t>
      </w:r>
      <w:r>
        <w:t>9月15日，承办组织南雄市2013年统计从业资格</w:t>
      </w:r>
      <w:r>
        <w:rPr>
          <w:rFonts w:hint="eastAsia"/>
        </w:rPr>
        <w:t>认定考试，</w:t>
      </w:r>
      <w:r>
        <w:t>46人参加并通过全国统计从业资格考</w:t>
      </w:r>
      <w:r>
        <w:rPr>
          <w:rFonts w:hint="eastAsia"/>
        </w:rPr>
        <w:t>试，学员考试合格率为</w:t>
      </w:r>
      <w:r>
        <w:t>100%</w:t>
      </w:r>
      <w:r>
        <w:rPr>
          <w:rFonts w:hint="eastAsia"/>
          <w:lang w:eastAsia="zh-CN"/>
        </w:rPr>
        <w:t>。</w:t>
      </w:r>
    </w:p>
    <w:p w14:paraId="35ABF249">
      <w:pPr>
        <w:pStyle w:val="4"/>
        <w:bidi w:val="0"/>
        <w:rPr>
          <w:rFonts w:hint="eastAsia"/>
        </w:rPr>
      </w:pPr>
      <w:r>
        <w:rPr>
          <w:rFonts w:hint="eastAsia"/>
        </w:rPr>
        <w:t>【統计执法监督】</w:t>
      </w:r>
    </w:p>
    <w:p w14:paraId="5FF07E9C">
      <w:pPr>
        <w:rPr>
          <w:rFonts w:hint="eastAsia"/>
        </w:rPr>
      </w:pPr>
      <w:r>
        <w:rPr>
          <w:rFonts w:hint="eastAsia"/>
        </w:rPr>
        <w:t>制定印发《</w:t>
      </w:r>
      <w:r>
        <w:t>2013年统计法制工</w:t>
      </w:r>
      <w:r>
        <w:rPr>
          <w:rFonts w:hint="eastAsia"/>
        </w:rPr>
        <w:t>作要点》、《</w:t>
      </w:r>
      <w:r>
        <w:t>2013年统计执法检</w:t>
      </w:r>
      <w:r>
        <w:rPr>
          <w:rFonts w:hint="eastAsia"/>
          <w:lang w:eastAsia="zh-CN"/>
        </w:rPr>
        <w:t>查</w:t>
      </w:r>
      <w:r>
        <w:t>计划》、《〈统计</w:t>
      </w:r>
      <w:r>
        <w:rPr>
          <w:rFonts w:hint="eastAsia"/>
        </w:rPr>
        <w:t>法〉行政处罚自由裁量适用规则》文件，指导统计普法执法工作；</w:t>
      </w:r>
      <w:r>
        <w:t>10月下旬，组织开展《统计法》</w:t>
      </w:r>
      <w:r>
        <w:rPr>
          <w:rFonts w:hint="eastAsia"/>
          <w:lang w:eastAsia="zh-CN"/>
        </w:rPr>
        <w:t>、</w:t>
      </w:r>
      <w:r>
        <w:rPr>
          <w:rFonts w:hint="eastAsia"/>
        </w:rPr>
        <w:t>和《全国经济普</w:t>
      </w:r>
      <w:r>
        <w:rPr>
          <w:rFonts w:hint="eastAsia"/>
          <w:lang w:eastAsia="zh-CN"/>
        </w:rPr>
        <w:t>查</w:t>
      </w:r>
      <w:r>
        <w:rPr>
          <w:rFonts w:hint="eastAsia"/>
        </w:rPr>
        <w:t>条例》知识竞赛，吸引</w:t>
      </w:r>
      <w:r>
        <w:t>320多人</w:t>
      </w:r>
      <w:r>
        <w:rPr>
          <w:rFonts w:hint="eastAsia"/>
        </w:rPr>
        <w:t>参与；参加“南雄市</w:t>
      </w:r>
      <w:r>
        <w:t>12·4全国法制宣传日”暨</w:t>
      </w:r>
      <w:r>
        <w:rPr>
          <w:rFonts w:hint="eastAsia"/>
        </w:rPr>
        <w:t>“法制广东宣传周”咨询等活动，派发《统计法》</w:t>
      </w:r>
      <w:r>
        <w:rPr>
          <w:rFonts w:hint="eastAsia"/>
          <w:lang w:eastAsia="zh-CN"/>
        </w:rPr>
        <w:t>、《</w:t>
      </w:r>
      <w:r>
        <w:rPr>
          <w:rFonts w:hint="eastAsia"/>
        </w:rPr>
        <w:t>全国经济普</w:t>
      </w:r>
      <w:r>
        <w:rPr>
          <w:rFonts w:hint="eastAsia"/>
          <w:lang w:eastAsia="zh-CN"/>
        </w:rPr>
        <w:t>查</w:t>
      </w:r>
      <w:r>
        <w:rPr>
          <w:rFonts w:hint="eastAsia"/>
        </w:rPr>
        <w:t>条例》及《新统计法解读》法律法规宣传资料</w:t>
      </w:r>
      <w:r>
        <w:t>1000余份，接待法律咨询200余人次；</w:t>
      </w:r>
      <w:r>
        <w:rPr>
          <w:rFonts w:hint="eastAsia"/>
        </w:rPr>
        <w:t>按照国家开展企业“一套表”联网直报“三</w:t>
      </w:r>
      <w:r>
        <w:rPr>
          <w:rFonts w:hint="eastAsia"/>
          <w:lang w:eastAsia="zh-CN"/>
        </w:rPr>
        <w:t>查</w:t>
      </w:r>
      <w:r>
        <w:rPr>
          <w:rFonts w:hint="eastAsia"/>
        </w:rPr>
        <w:t>”和韶关统计局《关于布置</w:t>
      </w:r>
      <w:r>
        <w:t>2013年执法检</w:t>
      </w:r>
      <w:r>
        <w:rPr>
          <w:rFonts w:hint="eastAsia"/>
          <w:lang w:eastAsia="zh-CN"/>
        </w:rPr>
        <w:t>查</w:t>
      </w:r>
      <w:r>
        <w:t>任务的</w:t>
      </w:r>
      <w:r>
        <w:rPr>
          <w:rFonts w:hint="eastAsia"/>
        </w:rPr>
        <w:t>通知》的要求，</w:t>
      </w:r>
      <w:r>
        <w:t>6月至8月，对南雄市27家出现奇</w:t>
      </w:r>
      <w:r>
        <w:rPr>
          <w:rFonts w:hint="eastAsia"/>
        </w:rPr>
        <w:t>异值的企业进行了现场核</w:t>
      </w:r>
      <w:r>
        <w:rPr>
          <w:rFonts w:hint="eastAsia"/>
          <w:lang w:eastAsia="zh-CN"/>
        </w:rPr>
        <w:t>查</w:t>
      </w:r>
      <w:r>
        <w:rPr>
          <w:rFonts w:hint="eastAsia"/>
        </w:rPr>
        <w:t>，对</w:t>
      </w:r>
      <w:r>
        <w:t>6家单位进行执法</w:t>
      </w:r>
      <w:r>
        <w:rPr>
          <w:rFonts w:hint="eastAsia"/>
        </w:rPr>
        <w:t>检</w:t>
      </w:r>
      <w:r>
        <w:rPr>
          <w:rFonts w:hint="eastAsia"/>
          <w:lang w:eastAsia="zh-CN"/>
        </w:rPr>
        <w:t>查</w:t>
      </w:r>
      <w:r>
        <w:rPr>
          <w:rFonts w:hint="eastAsia"/>
        </w:rPr>
        <w:t>，被检</w:t>
      </w:r>
      <w:r>
        <w:rPr>
          <w:rFonts w:hint="eastAsia"/>
          <w:lang w:eastAsia="zh-CN"/>
        </w:rPr>
        <w:t>查</w:t>
      </w:r>
      <w:r>
        <w:rPr>
          <w:rFonts w:hint="eastAsia"/>
        </w:rPr>
        <w:t>企业均能遵守统计法律法规，履行统计义务，未发现统计违法行为；</w:t>
      </w:r>
      <w:r>
        <w:t>7月份，对18个镇</w:t>
      </w:r>
      <w:r>
        <w:rPr>
          <w:rFonts w:hint="eastAsia"/>
        </w:rPr>
        <w:t>（街道）进行巡</w:t>
      </w:r>
      <w:r>
        <w:rPr>
          <w:rFonts w:hint="eastAsia"/>
          <w:lang w:eastAsia="zh-CN"/>
        </w:rPr>
        <w:t>查</w:t>
      </w:r>
      <w:r>
        <w:rPr>
          <w:rFonts w:hint="eastAsia"/>
        </w:rPr>
        <w:t>，将巡</w:t>
      </w:r>
      <w:r>
        <w:rPr>
          <w:rFonts w:hint="eastAsia"/>
          <w:lang w:eastAsia="zh-CN"/>
        </w:rPr>
        <w:t>查</w:t>
      </w:r>
      <w:r>
        <w:rPr>
          <w:rFonts w:hint="eastAsia"/>
        </w:rPr>
        <w:t>的结果以通报的形式发至各镇（街道），要求对存在的问题，抓好整改；</w:t>
      </w:r>
      <w:r>
        <w:t>2013年没发生过行政错案，没有行政投诉、行政复</w:t>
      </w:r>
      <w:r>
        <w:rPr>
          <w:rFonts w:hint="eastAsia"/>
        </w:rPr>
        <w:t>议、行政诉讼案件的发生。</w:t>
      </w:r>
    </w:p>
    <w:p w14:paraId="3B441E07">
      <w:pPr>
        <w:pStyle w:val="4"/>
        <w:bidi w:val="0"/>
        <w:rPr>
          <w:rFonts w:hint="eastAsia"/>
        </w:rPr>
      </w:pPr>
      <w:r>
        <w:rPr>
          <w:rFonts w:hint="eastAsia"/>
        </w:rPr>
        <w:t>【</w:t>
      </w:r>
      <w:r>
        <w:rPr>
          <w:rFonts w:hint="eastAsia"/>
          <w:lang w:val="en-US" w:eastAsia="zh-CN"/>
        </w:rPr>
        <w:t>统</w:t>
      </w:r>
      <w:r>
        <w:rPr>
          <w:rFonts w:hint="eastAsia"/>
        </w:rPr>
        <w:t>计制度及考评】</w:t>
      </w:r>
    </w:p>
    <w:p w14:paraId="1F5A306E">
      <w:pPr>
        <w:rPr>
          <w:rFonts w:hint="eastAsia"/>
        </w:rPr>
      </w:pPr>
      <w:r>
        <w:t>2013年4月，广泛征求镇</w:t>
      </w:r>
      <w:r>
        <w:rPr>
          <w:rFonts w:hint="eastAsia"/>
        </w:rPr>
        <w:t>（街道）统计工作站和各股室意见，制定《南雄市</w:t>
      </w:r>
      <w:r>
        <w:t>2013年度镇（街）统计工作考核评比办法》，修订</w:t>
      </w:r>
      <w:r>
        <w:rPr>
          <w:rFonts w:hint="eastAsia"/>
        </w:rPr>
        <w:t>公务接待、考勤、车辆管理、财务管理、机关效能管理、业务考核奖励办法、统计服务成果奖励办法、司机岗位管理和安全行车考核办法等</w:t>
      </w:r>
      <w:r>
        <w:t>9项管理</w:t>
      </w:r>
      <w:r>
        <w:rPr>
          <w:rFonts w:hint="eastAsia"/>
        </w:rPr>
        <w:t>制度。针对领导班子内部管理决策，制定《领导班子议事决策规则》、《重大问题民主决策议事规则》、《重大事项集体决策制度》</w:t>
      </w:r>
      <w:r>
        <w:t>17项制度，规范民主议</w:t>
      </w:r>
      <w:r>
        <w:rPr>
          <w:rFonts w:hint="eastAsia"/>
        </w:rPr>
        <w:t>事机制，做到重大发展决策部署、重要奖惩考核、大额资金开支、重要人事工作变动和干部任免均在广泛听取群众意见基础上，由班子会议集中研究决定。</w:t>
      </w:r>
    </w:p>
    <w:p w14:paraId="756A89EA">
      <w:pPr>
        <w:pStyle w:val="4"/>
        <w:bidi w:val="0"/>
        <w:rPr>
          <w:rFonts w:hint="eastAsia"/>
        </w:rPr>
      </w:pPr>
      <w:r>
        <w:rPr>
          <w:rFonts w:hint="eastAsia"/>
        </w:rPr>
        <w:t>【主题实践教育】</w:t>
      </w:r>
    </w:p>
    <w:p w14:paraId="2264FB46">
      <w:pPr>
        <w:rPr>
          <w:rFonts w:hint="eastAsia"/>
        </w:rPr>
      </w:pPr>
      <w:r>
        <w:t>2013年，统计局按照“面向基</w:t>
      </w:r>
      <w:r>
        <w:rPr>
          <w:rFonts w:hint="eastAsia"/>
        </w:rPr>
        <w:t>层、整顿作风、服务群众”主题教育实践活动要求，强化领导，细化方案，理清职责，有序开展，着力整顿班子软弱涣散、干部作风漂浮、铺张浪费、文山会海和以权谋私五个方面的突出问题。进</w:t>
      </w:r>
      <w:r>
        <w:rPr>
          <w:rFonts w:hint="eastAsia"/>
          <w:lang w:val="en-US" w:eastAsia="zh-CN"/>
        </w:rPr>
        <w:t>一</w:t>
      </w:r>
      <w:r>
        <w:rPr>
          <w:rFonts w:hint="eastAsia"/>
        </w:rPr>
        <w:t>步加强干部职业道德教育，落实党员干部直接联系服务群众制度和挂点联系企业工作制度，建立</w:t>
      </w:r>
      <w:r>
        <w:rPr>
          <w:rFonts w:hint="eastAsia"/>
          <w:lang w:eastAsia="zh-CN"/>
        </w:rPr>
        <w:t>“</w:t>
      </w:r>
      <w:r>
        <w:t>股长负责制”的股室管理机制。干部爱岗敬业、</w:t>
      </w:r>
      <w:r>
        <w:rPr>
          <w:rFonts w:hint="eastAsia"/>
        </w:rPr>
        <w:t>认真履职，以作风大转变推动机关各项工作发展。</w:t>
      </w:r>
    </w:p>
    <w:p w14:paraId="287840C3">
      <w:pPr>
        <w:pStyle w:val="4"/>
        <w:bidi w:val="0"/>
        <w:rPr>
          <w:rFonts w:hint="eastAsia"/>
        </w:rPr>
      </w:pPr>
      <w:r>
        <w:rPr>
          <w:rFonts w:hint="eastAsia"/>
        </w:rPr>
        <w:t>【纪律教育活动】</w:t>
      </w:r>
    </w:p>
    <w:p w14:paraId="79CF1936">
      <w:pPr>
        <w:rPr>
          <w:rFonts w:hint="eastAsia"/>
        </w:rPr>
      </w:pPr>
      <w:r>
        <w:t>2013年，统计局开展以“严纪</w:t>
      </w:r>
      <w:r>
        <w:rPr>
          <w:rFonts w:hint="eastAsia"/>
        </w:rPr>
        <w:t>律、正作风、促廉洁”为主题的纪律教育学习月活动，制定完善</w:t>
      </w:r>
      <w:r>
        <w:rPr>
          <w:rFonts w:hint="eastAsia"/>
          <w:lang w:eastAsia="zh-CN"/>
        </w:rPr>
        <w:t>。</w:t>
      </w:r>
      <w:r>
        <w:rPr>
          <w:rFonts w:hint="eastAsia"/>
        </w:rPr>
        <w:t>《</w:t>
      </w:r>
      <w:r>
        <w:t>2013年统计局党风廉政建设和反腐</w:t>
      </w:r>
      <w:r>
        <w:rPr>
          <w:rFonts w:hint="eastAsia"/>
        </w:rPr>
        <w:t>败工作任务分解表》、《党风廉政建设岗位职责》相关制度。</w:t>
      </w:r>
    </w:p>
    <w:p w14:paraId="5C809D2C">
      <w:pPr>
        <w:pStyle w:val="4"/>
        <w:bidi w:val="0"/>
        <w:rPr>
          <w:rFonts w:hint="eastAsia"/>
        </w:rPr>
      </w:pPr>
      <w:r>
        <w:rPr>
          <w:rFonts w:hint="eastAsia"/>
        </w:rPr>
        <w:t>【“阳光工程”】</w:t>
      </w:r>
    </w:p>
    <w:p w14:paraId="59DE8D07">
      <w:pPr>
        <w:rPr>
          <w:rFonts w:hint="eastAsia"/>
        </w:rPr>
      </w:pPr>
      <w:r>
        <w:rPr>
          <w:rFonts w:hint="eastAsia"/>
        </w:rPr>
        <w:t>统计局按照市委权力公开透明运行“阳光工程”的工作要求，调整充实“阳光使者”队伍，邀请“阳光使者”参与监督重要的统计工作。</w:t>
      </w:r>
      <w:r>
        <w:t>2013年9月15日，邀请3名“阳光使者”</w:t>
      </w:r>
      <w:r>
        <w:rPr>
          <w:rFonts w:hint="eastAsia"/>
        </w:rPr>
        <w:t>全程参与监督</w:t>
      </w:r>
      <w:r>
        <w:t>2013年统计从业资格认定考试，确</w:t>
      </w:r>
      <w:r>
        <w:rPr>
          <w:rFonts w:hint="eastAsia"/>
        </w:rPr>
        <w:t>保考试公开、公平、公正；</w:t>
      </w:r>
      <w:r>
        <w:t>2013年12月19日至20</w:t>
      </w:r>
      <w:r>
        <w:rPr>
          <w:rFonts w:hint="eastAsia"/>
        </w:rPr>
        <w:t>日，邀请“阳光使者”现场监督</w:t>
      </w:r>
      <w:r>
        <w:t>2013年度镇（街</w:t>
      </w:r>
      <w:r>
        <w:rPr>
          <w:rFonts w:hint="eastAsia"/>
        </w:rPr>
        <w:t>道）统计工作检</w:t>
      </w:r>
      <w:r>
        <w:rPr>
          <w:rFonts w:hint="eastAsia"/>
          <w:lang w:eastAsia="zh-CN"/>
        </w:rPr>
        <w:t>查</w:t>
      </w:r>
      <w:r>
        <w:rPr>
          <w:rFonts w:hint="eastAsia"/>
        </w:rPr>
        <w:t>考核，确保考核工作在阳光下进行。</w:t>
      </w:r>
    </w:p>
    <w:p w14:paraId="50B95901">
      <w:pPr>
        <w:pStyle w:val="4"/>
        <w:bidi w:val="0"/>
        <w:rPr>
          <w:rFonts w:hint="eastAsia"/>
        </w:rPr>
      </w:pPr>
      <w:r>
        <w:rPr>
          <w:rFonts w:hint="eastAsia"/>
        </w:rPr>
        <w:t>【扶贫双到】</w:t>
      </w:r>
    </w:p>
    <w:p w14:paraId="5C11DABB">
      <w:pPr>
        <w:rPr>
          <w:rFonts w:hint="eastAsia"/>
          <w:lang w:eastAsia="zh-CN"/>
        </w:rPr>
      </w:pPr>
      <w:r>
        <w:t>2013年是新一轮“扶贫双到”工作</w:t>
      </w:r>
      <w:r>
        <w:rPr>
          <w:rFonts w:hint="eastAsia"/>
        </w:rPr>
        <w:t>的开局之年，统计局负责面上非贫困村乌迳镇龙迳村的帮扶工作。该村有贫困户</w:t>
      </w:r>
      <w:r>
        <w:t>27户，贫困人口111</w:t>
      </w:r>
      <w:r>
        <w:rPr>
          <w:rFonts w:hint="eastAsia"/>
        </w:rPr>
        <w:t>人，结合龙迳村的实际情况，统计局制定了《新</w:t>
      </w:r>
      <w:r>
        <w:rPr>
          <w:rFonts w:hint="eastAsia"/>
          <w:lang w:val="en-US" w:eastAsia="zh-CN"/>
        </w:rPr>
        <w:t>一</w:t>
      </w:r>
      <w:r>
        <w:rPr>
          <w:rFonts w:hint="eastAsia"/>
        </w:rPr>
        <w:t>轮扶贫开发“规划到户责任到人”帮扶工作实施方案》和《</w:t>
      </w:r>
      <w:r>
        <w:t>2013年扶贫工作计划》，按照实施方案和</w:t>
      </w:r>
      <w:r>
        <w:rPr>
          <w:rFonts w:hint="eastAsia"/>
        </w:rPr>
        <w:t>工作计划，积极帮助龙迳村委会发展集体经济，扶持贫困户发展生产。</w:t>
      </w:r>
      <w:r>
        <w:t>2013年，统计局开展调研和结</w:t>
      </w:r>
      <w:r>
        <w:rPr>
          <w:rFonts w:hint="eastAsia"/>
        </w:rPr>
        <w:t>对帮扶活动</w:t>
      </w:r>
      <w:r>
        <w:t>7次，走访慰问困难老党员和贫困户46</w:t>
      </w:r>
      <w:r>
        <w:rPr>
          <w:rFonts w:hint="eastAsia"/>
        </w:rPr>
        <w:t>户，向贫困户发放生产肥料</w:t>
      </w:r>
      <w:r>
        <w:t>1.68吨，投入扶贫资</w:t>
      </w:r>
      <w:r>
        <w:rPr>
          <w:rFonts w:hint="eastAsia"/>
        </w:rPr>
        <w:t>金</w:t>
      </w:r>
      <w:r>
        <w:t>2.4万元。2013年，龙迳村农民人均纯收入达8280元，同比增长16.5%，27户贫困户中有18户</w:t>
      </w:r>
      <w:r>
        <w:rPr>
          <w:rFonts w:hint="eastAsia"/>
        </w:rPr>
        <w:t>人均纯收入超过</w:t>
      </w:r>
      <w:r>
        <w:t>5000元，“扶贫双到”工作取得较</w:t>
      </w:r>
      <w:r>
        <w:rPr>
          <w:rFonts w:hint="eastAsia"/>
        </w:rPr>
        <w:t>好成效</w:t>
      </w:r>
      <w:r>
        <w:rPr>
          <w:rFonts w:hint="eastAsia"/>
          <w:lang w:eastAsia="zh-CN"/>
        </w:rPr>
        <w:t>。</w:t>
      </w:r>
    </w:p>
    <w:p w14:paraId="47764908">
      <w:pPr>
        <w:jc w:val="right"/>
        <w:rPr>
          <w:rFonts w:hint="eastAsia"/>
          <w:b/>
          <w:bCs/>
        </w:rPr>
      </w:pPr>
      <w:r>
        <w:rPr>
          <w:rFonts w:hint="eastAsia"/>
          <w:b/>
          <w:bCs/>
        </w:rPr>
        <w:t>（邓荣奎）</w:t>
      </w:r>
    </w:p>
    <w:p w14:paraId="5AA4ABB9">
      <w:pPr>
        <w:pStyle w:val="10"/>
        <w:bidi w:val="0"/>
        <w:rPr>
          <w:b/>
          <w:bCs/>
        </w:rPr>
      </w:pPr>
      <w:r>
        <w:rPr>
          <w:rFonts w:hint="eastAsia"/>
          <w:b/>
          <w:bCs/>
        </w:rPr>
        <w:t>附：</w:t>
      </w:r>
      <w:r>
        <w:rPr>
          <w:b/>
          <w:bCs/>
        </w:rPr>
        <w:t>2013年市统计局领导班子成员名单</w:t>
      </w:r>
    </w:p>
    <w:p w14:paraId="1F5EBF6F">
      <w:pPr>
        <w:pStyle w:val="10"/>
        <w:bidi w:val="0"/>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肖梅山</w:t>
      </w:r>
    </w:p>
    <w:p w14:paraId="3E0334F5">
      <w:pPr>
        <w:pStyle w:val="10"/>
        <w:bidi w:val="0"/>
        <w:rPr>
          <w:rFonts w:hint="eastAsia"/>
        </w:rPr>
      </w:pPr>
      <w:r>
        <w:rPr>
          <w:rFonts w:hint="eastAsia"/>
          <w:b/>
          <w:bCs/>
        </w:rPr>
        <w:t>副</w:t>
      </w:r>
      <w:r>
        <w:rPr>
          <w:rFonts w:hint="eastAsia"/>
          <w:b/>
          <w:bCs/>
          <w:lang w:val="en-US" w:eastAsia="zh-CN"/>
        </w:rPr>
        <w:t xml:space="preserve"> </w:t>
      </w:r>
      <w:r>
        <w:rPr>
          <w:rFonts w:hint="eastAsia"/>
          <w:b/>
          <w:bCs/>
        </w:rPr>
        <w:t>局</w:t>
      </w:r>
      <w:r>
        <w:rPr>
          <w:rFonts w:hint="eastAsia"/>
          <w:b/>
          <w:bCs/>
          <w:lang w:val="en-US" w:eastAsia="zh-CN"/>
        </w:rPr>
        <w:t xml:space="preserve"> </w:t>
      </w:r>
      <w:r>
        <w:rPr>
          <w:rFonts w:hint="eastAsia"/>
          <w:b/>
          <w:bCs/>
        </w:rPr>
        <w:t>长：</w:t>
      </w:r>
      <w:r>
        <w:rPr>
          <w:rFonts w:hint="eastAsia"/>
        </w:rPr>
        <w:t>刘宏星</w:t>
      </w:r>
      <w:r>
        <w:rPr>
          <w:rFonts w:hint="eastAsia"/>
          <w:lang w:val="en-US" w:eastAsia="zh-CN"/>
        </w:rPr>
        <w:t xml:space="preserve">   </w:t>
      </w:r>
      <w:r>
        <w:rPr>
          <w:rFonts w:hint="eastAsia"/>
        </w:rPr>
        <w:t>曾文彬</w:t>
      </w:r>
    </w:p>
    <w:p w14:paraId="19134FC7">
      <w:pPr>
        <w:pStyle w:val="10"/>
        <w:bidi w:val="0"/>
        <w:rPr>
          <w:rFonts w:hint="eastAsia"/>
        </w:rPr>
      </w:pPr>
      <w:r>
        <w:rPr>
          <w:rFonts w:hint="eastAsia"/>
          <w:b/>
          <w:bCs/>
        </w:rPr>
        <w:t>纪检组长：</w:t>
      </w:r>
      <w:r>
        <w:rPr>
          <w:rFonts w:hint="eastAsia"/>
        </w:rPr>
        <w:t>周才斌</w:t>
      </w:r>
    </w:p>
    <w:p w14:paraId="3173DB93">
      <w:pPr>
        <w:pStyle w:val="3"/>
        <w:bidi w:val="0"/>
        <w:rPr>
          <w:rFonts w:hint="default"/>
          <w:lang w:val="en-US" w:eastAsia="zh-CN"/>
        </w:rPr>
      </w:pPr>
      <w:r>
        <w:rPr>
          <w:rFonts w:hint="eastAsia"/>
          <w:lang w:val="en-US" w:eastAsia="zh-CN"/>
        </w:rPr>
        <w:t>农村调查</w:t>
      </w:r>
    </w:p>
    <w:p w14:paraId="0B8FD3C4">
      <w:pPr>
        <w:pStyle w:val="4"/>
        <w:bidi w:val="0"/>
        <w:rPr>
          <w:rFonts w:hint="eastAsia"/>
        </w:rPr>
      </w:pPr>
      <w:r>
        <w:rPr>
          <w:rFonts w:hint="eastAsia"/>
        </w:rPr>
        <w:t>【概况】</w:t>
      </w:r>
    </w:p>
    <w:p w14:paraId="1CF32DAF">
      <w:r>
        <w:rPr>
          <w:rFonts w:hint="eastAsia"/>
        </w:rPr>
        <w:t>国家统计局南雄调</w:t>
      </w:r>
      <w:r>
        <w:rPr>
          <w:rFonts w:hint="eastAsia"/>
          <w:lang w:eastAsia="zh-CN"/>
        </w:rPr>
        <w:t>查</w:t>
      </w:r>
      <w:r>
        <w:rPr>
          <w:rFonts w:hint="eastAsia"/>
        </w:rPr>
        <w:t>队是国家统计局的派出机构，为正科级参公事业单位，既是政府统计调</w:t>
      </w:r>
      <w:r>
        <w:rPr>
          <w:rFonts w:hint="eastAsia"/>
          <w:lang w:eastAsia="zh-CN"/>
        </w:rPr>
        <w:t>查</w:t>
      </w:r>
      <w:r>
        <w:rPr>
          <w:rFonts w:hint="eastAsia"/>
        </w:rPr>
        <w:t>机构，也是统计执法机构，依法独立行使统计调</w:t>
      </w:r>
      <w:r>
        <w:rPr>
          <w:rFonts w:hint="eastAsia"/>
          <w:lang w:eastAsia="zh-CN"/>
        </w:rPr>
        <w:t>查</w:t>
      </w:r>
      <w:r>
        <w:rPr>
          <w:rFonts w:hint="eastAsia"/>
        </w:rPr>
        <w:t>、统计监督的职权，独立上报调</w:t>
      </w:r>
      <w:r>
        <w:rPr>
          <w:rFonts w:hint="eastAsia"/>
          <w:lang w:eastAsia="zh-CN"/>
        </w:rPr>
        <w:t>查</w:t>
      </w:r>
      <w:r>
        <w:rPr>
          <w:rFonts w:hint="eastAsia"/>
        </w:rPr>
        <w:t>结果，并对上报的调</w:t>
      </w:r>
      <w:r>
        <w:rPr>
          <w:rFonts w:hint="eastAsia"/>
          <w:lang w:eastAsia="zh-CN"/>
        </w:rPr>
        <w:t>查</w:t>
      </w:r>
      <w:r>
        <w:rPr>
          <w:rFonts w:hint="eastAsia"/>
        </w:rPr>
        <w:t>资料的真实性负责。主要职责是：完成国家统计局布置的各项统计调</w:t>
      </w:r>
      <w:r>
        <w:rPr>
          <w:rFonts w:hint="eastAsia"/>
          <w:lang w:eastAsia="zh-CN"/>
        </w:rPr>
        <w:t>查</w:t>
      </w:r>
      <w:r>
        <w:rPr>
          <w:rFonts w:hint="eastAsia"/>
        </w:rPr>
        <w:t>任务；完成广东调</w:t>
      </w:r>
      <w:r>
        <w:rPr>
          <w:rFonts w:hint="eastAsia"/>
          <w:lang w:eastAsia="zh-CN"/>
        </w:rPr>
        <w:t>查</w:t>
      </w:r>
      <w:r>
        <w:rPr>
          <w:rFonts w:hint="eastAsia"/>
        </w:rPr>
        <w:t>总队交办的调</w:t>
      </w:r>
      <w:r>
        <w:rPr>
          <w:rFonts w:hint="eastAsia"/>
          <w:lang w:eastAsia="zh-CN"/>
        </w:rPr>
        <w:t>查</w:t>
      </w:r>
      <w:r>
        <w:rPr>
          <w:rFonts w:hint="eastAsia"/>
        </w:rPr>
        <w:t>任务；协助地方统计局完成重大国情国力普</w:t>
      </w:r>
      <w:r>
        <w:rPr>
          <w:rFonts w:hint="eastAsia"/>
          <w:lang w:eastAsia="zh-CN"/>
        </w:rPr>
        <w:t>查</w:t>
      </w:r>
      <w:r>
        <w:rPr>
          <w:rFonts w:hint="eastAsia"/>
        </w:rPr>
        <w:t>任务；负责</w:t>
      </w:r>
      <w:r>
        <w:rPr>
          <w:rFonts w:hint="eastAsia"/>
          <w:lang w:eastAsia="zh-CN"/>
        </w:rPr>
        <w:t>查</w:t>
      </w:r>
      <w:r>
        <w:rPr>
          <w:rFonts w:hint="eastAsia"/>
        </w:rPr>
        <w:t>处调</w:t>
      </w:r>
      <w:r>
        <w:rPr>
          <w:rFonts w:hint="eastAsia"/>
          <w:lang w:eastAsia="zh-CN"/>
        </w:rPr>
        <w:t>查</w:t>
      </w:r>
      <w:r>
        <w:rPr>
          <w:rFonts w:hint="eastAsia"/>
        </w:rPr>
        <w:t>队组织实施的统计调</w:t>
      </w:r>
      <w:r>
        <w:rPr>
          <w:rFonts w:hint="eastAsia"/>
          <w:lang w:eastAsia="zh-CN"/>
        </w:rPr>
        <w:t>查</w:t>
      </w:r>
      <w:r>
        <w:rPr>
          <w:rFonts w:hint="eastAsia"/>
        </w:rPr>
        <w:t>中发生的统计违法行为；完成国家统计局和广东调</w:t>
      </w:r>
      <w:r>
        <w:rPr>
          <w:rFonts w:hint="eastAsia"/>
          <w:lang w:eastAsia="zh-CN"/>
        </w:rPr>
        <w:t>查</w:t>
      </w:r>
      <w:r>
        <w:rPr>
          <w:rFonts w:hint="eastAsia"/>
        </w:rPr>
        <w:t>总队以及由总队委托地级以上市调</w:t>
      </w:r>
      <w:r>
        <w:rPr>
          <w:rFonts w:hint="eastAsia"/>
          <w:lang w:eastAsia="zh-CN"/>
        </w:rPr>
        <w:t>查</w:t>
      </w:r>
      <w:r>
        <w:rPr>
          <w:rFonts w:hint="eastAsia"/>
        </w:rPr>
        <w:t>队交办的其他事项；经批准，接受地方政府委托的有关调</w:t>
      </w:r>
      <w:r>
        <w:rPr>
          <w:rFonts w:hint="eastAsia"/>
          <w:lang w:eastAsia="zh-CN"/>
        </w:rPr>
        <w:t>查</w:t>
      </w:r>
      <w:r>
        <w:rPr>
          <w:rFonts w:hint="eastAsia"/>
        </w:rPr>
        <w:t>任务。事业编制</w:t>
      </w:r>
      <w:r>
        <w:t>8人，在职5人。</w:t>
      </w:r>
    </w:p>
    <w:p w14:paraId="24C83C57">
      <w:pPr>
        <w:pStyle w:val="4"/>
        <w:bidi w:val="0"/>
        <w:rPr>
          <w:rFonts w:hint="eastAsia"/>
        </w:rPr>
      </w:pPr>
      <w:r>
        <w:rPr>
          <w:rFonts w:hint="eastAsia"/>
        </w:rPr>
        <w:t>【农产量和农作物播种面积调</w:t>
      </w:r>
      <w:r>
        <w:rPr>
          <w:rFonts w:hint="eastAsia"/>
          <w:lang w:eastAsia="zh-CN"/>
        </w:rPr>
        <w:t>查</w:t>
      </w:r>
      <w:r>
        <w:rPr>
          <w:rFonts w:hint="eastAsia"/>
        </w:rPr>
        <w:t>】</w:t>
      </w:r>
    </w:p>
    <w:p w14:paraId="456295A8">
      <w:pPr>
        <w:rPr>
          <w:rFonts w:hint="eastAsia"/>
        </w:rPr>
      </w:pPr>
      <w:r>
        <w:rPr>
          <w:rFonts w:hint="eastAsia"/>
        </w:rPr>
        <w:t>农产量和农作物播种面积调</w:t>
      </w:r>
      <w:r>
        <w:rPr>
          <w:rFonts w:hint="eastAsia"/>
          <w:lang w:eastAsia="zh-CN"/>
        </w:rPr>
        <w:t>查</w:t>
      </w:r>
      <w:r>
        <w:rPr>
          <w:rFonts w:hint="eastAsia"/>
        </w:rPr>
        <w:t>是对农业生产经营户为调</w:t>
      </w:r>
      <w:r>
        <w:rPr>
          <w:rFonts w:hint="eastAsia"/>
          <w:lang w:eastAsia="zh-CN"/>
        </w:rPr>
        <w:t>查</w:t>
      </w:r>
      <w:r>
        <w:rPr>
          <w:rFonts w:hint="eastAsia"/>
        </w:rPr>
        <w:t>单元和对象，对其农业产量以及农作物播种面积进行统计、测算，客观反映农业生产方面的一项常规调</w:t>
      </w:r>
      <w:r>
        <w:rPr>
          <w:rFonts w:hint="eastAsia"/>
          <w:lang w:eastAsia="zh-CN"/>
        </w:rPr>
        <w:t>查</w:t>
      </w:r>
      <w:r>
        <w:rPr>
          <w:rFonts w:hint="eastAsia"/>
        </w:rPr>
        <w:t>项目。</w:t>
      </w:r>
    </w:p>
    <w:p w14:paraId="576970F5">
      <w:pPr>
        <w:pStyle w:val="4"/>
        <w:bidi w:val="0"/>
        <w:rPr>
          <w:rFonts w:hint="eastAsia"/>
        </w:rPr>
      </w:pPr>
      <w:r>
        <w:rPr>
          <w:rFonts w:hint="eastAsia"/>
        </w:rPr>
        <w:t>【畜禽监测调</w:t>
      </w:r>
      <w:r>
        <w:rPr>
          <w:rFonts w:hint="eastAsia"/>
          <w:lang w:eastAsia="zh-CN"/>
        </w:rPr>
        <w:t>查</w:t>
      </w:r>
      <w:r>
        <w:rPr>
          <w:rFonts w:hint="eastAsia"/>
        </w:rPr>
        <w:t>】</w:t>
      </w:r>
    </w:p>
    <w:p w14:paraId="01F70B7D">
      <w:pPr>
        <w:rPr>
          <w:rFonts w:hint="eastAsia"/>
        </w:rPr>
      </w:pPr>
      <w:r>
        <w:rPr>
          <w:rFonts w:hint="eastAsia"/>
        </w:rPr>
        <w:t>畜牧业生产是农业生产的重要组成部分，畜产品是城乡居民的主要副食品之</w:t>
      </w:r>
      <w:r>
        <w:rPr>
          <w:rFonts w:hint="eastAsia"/>
          <w:lang w:val="en-US" w:eastAsia="zh-CN"/>
        </w:rPr>
        <w:t>一，</w:t>
      </w:r>
      <w:r>
        <w:rPr>
          <w:rFonts w:hint="eastAsia"/>
        </w:rPr>
        <w:t>也是</w:t>
      </w:r>
      <w:r>
        <w:rPr>
          <w:rFonts w:hint="eastAsia"/>
          <w:lang w:eastAsia="zh-CN"/>
        </w:rPr>
        <w:t>菜篮子工程</w:t>
      </w:r>
      <w:r>
        <w:rPr>
          <w:rFonts w:hint="eastAsia"/>
        </w:rPr>
        <w:t>的主要内容，抓好畜牧业生产，保持主要畜产品的合理价格水平，对稳定市场供应，满足消费需求，增加农民收入，促进农村经济发展具有特别重要的意义。主要畜禽监测调</w:t>
      </w:r>
      <w:r>
        <w:rPr>
          <w:rFonts w:hint="eastAsia"/>
          <w:lang w:eastAsia="zh-CN"/>
        </w:rPr>
        <w:t>查</w:t>
      </w:r>
      <w:r>
        <w:rPr>
          <w:rFonts w:hint="eastAsia"/>
        </w:rPr>
        <w:t>能够及时准确地反映畜牧业生产发展情况，为党和政府制定畜牧业发展政策，推动社会主义新农村建设提供科学依据。</w:t>
      </w:r>
    </w:p>
    <w:p w14:paraId="3BA3AE48">
      <w:pPr>
        <w:pStyle w:val="4"/>
        <w:bidi w:val="0"/>
        <w:rPr>
          <w:rFonts w:hint="eastAsia"/>
        </w:rPr>
      </w:pPr>
      <w:r>
        <w:rPr>
          <w:rFonts w:hint="eastAsia"/>
        </w:rPr>
        <w:t>【城乡一体化住户调</w:t>
      </w:r>
      <w:r>
        <w:rPr>
          <w:rFonts w:hint="eastAsia"/>
          <w:lang w:eastAsia="zh-CN"/>
        </w:rPr>
        <w:t>查</w:t>
      </w:r>
      <w:r>
        <w:rPr>
          <w:rFonts w:hint="eastAsia"/>
        </w:rPr>
        <w:t>】</w:t>
      </w:r>
    </w:p>
    <w:p w14:paraId="7E063701">
      <w:pPr>
        <w:rPr>
          <w:rFonts w:hint="eastAsia"/>
        </w:rPr>
      </w:pPr>
      <w:r>
        <w:rPr>
          <w:rFonts w:hint="eastAsia"/>
        </w:rPr>
        <w:t>准确反映城乡居民收支水平、收支结构以及增长变化、及时反映城乡之间、地区之间、行业之间和不同群体的收入差距变化等各方面情况。通过城乡住户调</w:t>
      </w:r>
      <w:r>
        <w:rPr>
          <w:rFonts w:hint="eastAsia"/>
          <w:lang w:eastAsia="zh-CN"/>
        </w:rPr>
        <w:t>查</w:t>
      </w:r>
      <w:r>
        <w:rPr>
          <w:rFonts w:hint="eastAsia"/>
        </w:rPr>
        <w:t>一体化改革，有利于提高住户调</w:t>
      </w:r>
      <w:r>
        <w:rPr>
          <w:rFonts w:hint="eastAsia"/>
          <w:lang w:eastAsia="zh-CN"/>
        </w:rPr>
        <w:t>查</w:t>
      </w:r>
      <w:r>
        <w:rPr>
          <w:rFonts w:hint="eastAsia"/>
        </w:rPr>
        <w:t>数据质量、工作水平和政府统计公信力，促进住户调</w:t>
      </w:r>
      <w:r>
        <w:rPr>
          <w:rFonts w:hint="eastAsia"/>
          <w:lang w:eastAsia="zh-CN"/>
        </w:rPr>
        <w:t>查</w:t>
      </w:r>
      <w:r>
        <w:rPr>
          <w:rFonts w:hint="eastAsia"/>
        </w:rPr>
        <w:t>工作在新的形势下良性发展。</w:t>
      </w:r>
    </w:p>
    <w:p w14:paraId="7C8948CB">
      <w:pPr>
        <w:pStyle w:val="4"/>
        <w:bidi w:val="0"/>
        <w:rPr>
          <w:rFonts w:hint="eastAsia"/>
        </w:rPr>
      </w:pPr>
      <w:r>
        <w:rPr>
          <w:rFonts w:hint="eastAsia"/>
        </w:rPr>
        <w:t>【农民工监测调</w:t>
      </w:r>
      <w:r>
        <w:rPr>
          <w:rFonts w:hint="eastAsia"/>
          <w:lang w:eastAsia="zh-CN"/>
        </w:rPr>
        <w:t>查</w:t>
      </w:r>
      <w:r>
        <w:rPr>
          <w:rFonts w:hint="eastAsia"/>
        </w:rPr>
        <w:t>】</w:t>
      </w:r>
    </w:p>
    <w:p w14:paraId="7B7BE33C">
      <w:pPr>
        <w:rPr>
          <w:rFonts w:hint="eastAsia"/>
        </w:rPr>
      </w:pPr>
      <w:r>
        <w:rPr>
          <w:rFonts w:hint="eastAsia"/>
        </w:rPr>
        <w:t>通过定期收集农民工相关统计信息，准确反映农民工数量、流向、结构、就业、收支、生活、社会保障及创业等情况，从宏观上把握农民工发展变化情况。为制定科学的农民工政策、加强和改善农民工工作提供科学依据。</w:t>
      </w:r>
    </w:p>
    <w:p w14:paraId="20E51F26">
      <w:pPr>
        <w:pStyle w:val="4"/>
        <w:bidi w:val="0"/>
        <w:rPr>
          <w:rFonts w:hint="eastAsia"/>
        </w:rPr>
      </w:pPr>
      <w:r>
        <w:rPr>
          <w:rFonts w:hint="eastAsia"/>
        </w:rPr>
        <w:t>【农产品生产价格调</w:t>
      </w:r>
      <w:r>
        <w:rPr>
          <w:rFonts w:hint="eastAsia"/>
          <w:lang w:eastAsia="zh-CN"/>
        </w:rPr>
        <w:t>查</w:t>
      </w:r>
      <w:r>
        <w:rPr>
          <w:rFonts w:hint="eastAsia"/>
        </w:rPr>
        <w:t>】</w:t>
      </w:r>
    </w:p>
    <w:p w14:paraId="30CE6FA7">
      <w:pPr>
        <w:rPr>
          <w:rFonts w:hint="eastAsia"/>
        </w:rPr>
      </w:pPr>
      <w:r>
        <w:rPr>
          <w:rFonts w:hint="eastAsia"/>
        </w:rPr>
        <w:t>农产品生产价格是指农</w:t>
      </w:r>
      <w:r>
        <w:rPr>
          <w:rFonts w:hint="eastAsia"/>
          <w:lang w:val="en-US" w:eastAsia="zh-CN"/>
        </w:rPr>
        <w:t>产</w:t>
      </w:r>
      <w:r>
        <w:rPr>
          <w:rFonts w:hint="eastAsia"/>
        </w:rPr>
        <w:t>品生产者第一手（直接）出售其产品时实际获得的单位产品价格，开展农产品生产价格调</w:t>
      </w:r>
      <w:r>
        <w:rPr>
          <w:rFonts w:hint="eastAsia"/>
          <w:lang w:eastAsia="zh-CN"/>
        </w:rPr>
        <w:t>查</w:t>
      </w:r>
      <w:r>
        <w:rPr>
          <w:rFonts w:hint="eastAsia"/>
        </w:rPr>
        <w:t>是为了全面收集农产品生产价格资料，客观反映农产品生产价格水平和结构变动情况，满足农业与国民经济核算需要，为各级政府制定农业保护与农产品流通政策提供决策依据。</w:t>
      </w:r>
    </w:p>
    <w:p w14:paraId="1B2354A7">
      <w:pPr>
        <w:pStyle w:val="4"/>
        <w:bidi w:val="0"/>
        <w:rPr>
          <w:rFonts w:hint="eastAsia"/>
        </w:rPr>
      </w:pPr>
      <w:r>
        <w:rPr>
          <w:rFonts w:hint="eastAsia"/>
          <w:lang w:eastAsia="zh-CN"/>
        </w:rPr>
        <w:t>【</w:t>
      </w:r>
      <w:r>
        <w:rPr>
          <w:rFonts w:hint="eastAsia"/>
        </w:rPr>
        <w:t>农产品中间消耗调</w:t>
      </w:r>
      <w:r>
        <w:rPr>
          <w:rFonts w:hint="eastAsia"/>
          <w:lang w:eastAsia="zh-CN"/>
        </w:rPr>
        <w:t>查</w:t>
      </w:r>
      <w:r>
        <w:rPr>
          <w:rFonts w:hint="eastAsia"/>
        </w:rPr>
        <w:t>】</w:t>
      </w:r>
    </w:p>
    <w:p w14:paraId="75B72641">
      <w:pPr>
        <w:rPr>
          <w:rFonts w:hint="eastAsia"/>
        </w:rPr>
      </w:pPr>
      <w:r>
        <w:rPr>
          <w:rFonts w:hint="eastAsia"/>
        </w:rPr>
        <w:t>本项调</w:t>
      </w:r>
      <w:r>
        <w:rPr>
          <w:rFonts w:hint="eastAsia"/>
          <w:lang w:eastAsia="zh-CN"/>
        </w:rPr>
        <w:t>查</w:t>
      </w:r>
      <w:r>
        <w:rPr>
          <w:rFonts w:hint="eastAsia"/>
        </w:rPr>
        <w:t>的目的是为了掌握农业中间消耗及变动情况，满足农业增加值核算和国民经济核算的需要，系统地调</w:t>
      </w:r>
      <w:r>
        <w:rPr>
          <w:rFonts w:hint="eastAsia"/>
          <w:lang w:eastAsia="zh-CN"/>
        </w:rPr>
        <w:t>查</w:t>
      </w:r>
      <w:r>
        <w:rPr>
          <w:rFonts w:hint="eastAsia"/>
        </w:rPr>
        <w:t>、搜集和整理主要农产品中间消耗项目资料、计算主要农品单位消耗定额或技术比率，据此测定中间消耗水平和变动情况。</w:t>
      </w:r>
    </w:p>
    <w:p w14:paraId="6A18AFB3">
      <w:pPr>
        <w:pStyle w:val="4"/>
        <w:bidi w:val="0"/>
        <w:rPr>
          <w:rFonts w:hint="eastAsia"/>
        </w:rPr>
      </w:pPr>
      <w:r>
        <w:rPr>
          <w:rFonts w:hint="eastAsia"/>
        </w:rPr>
        <w:t>【农户固定资产投资抽样调</w:t>
      </w:r>
      <w:r>
        <w:rPr>
          <w:rFonts w:hint="eastAsia"/>
          <w:lang w:eastAsia="zh-CN"/>
        </w:rPr>
        <w:t>查</w:t>
      </w:r>
      <w:r>
        <w:rPr>
          <w:rFonts w:hint="eastAsia"/>
        </w:rPr>
        <w:t>】</w:t>
      </w:r>
    </w:p>
    <w:p w14:paraId="2F8E0ADC">
      <w:pPr>
        <w:rPr>
          <w:rFonts w:hint="eastAsia"/>
        </w:rPr>
      </w:pPr>
      <w:r>
        <w:rPr>
          <w:rFonts w:hint="eastAsia"/>
        </w:rPr>
        <w:t>农户建房投资是农村固定资产投资的主要构成部分，是拉动农村固定资产投资增长的重要力量。了解农村住户固定资产的投资状况，准确反映农户固定资产的总量、分布与结构，为各级政府制定农村政策提供基础数据。</w:t>
      </w:r>
    </w:p>
    <w:p w14:paraId="67E3837B">
      <w:pPr>
        <w:pStyle w:val="4"/>
        <w:bidi w:val="0"/>
        <w:rPr>
          <w:rFonts w:hint="eastAsia"/>
        </w:rPr>
      </w:pPr>
      <w:r>
        <w:rPr>
          <w:rFonts w:hint="eastAsia"/>
        </w:rPr>
        <w:t>【居民消费价格调</w:t>
      </w:r>
      <w:r>
        <w:rPr>
          <w:rFonts w:hint="eastAsia"/>
          <w:lang w:eastAsia="zh-CN"/>
        </w:rPr>
        <w:t>查</w:t>
      </w:r>
      <w:r>
        <w:rPr>
          <w:rFonts w:hint="eastAsia"/>
        </w:rPr>
        <w:t>】</w:t>
      </w:r>
    </w:p>
    <w:p w14:paraId="3E7516C2">
      <w:pPr>
        <w:rPr>
          <w:rFonts w:hint="eastAsia"/>
        </w:rPr>
      </w:pPr>
      <w:r>
        <w:rPr>
          <w:rFonts w:hint="eastAsia"/>
        </w:rPr>
        <w:t>居民消费价格，是指城乡居民购买并用于日常生活消费的商品和服务项目的价格，居民消费价格调</w:t>
      </w:r>
      <w:r>
        <w:rPr>
          <w:rFonts w:hint="eastAsia"/>
          <w:lang w:eastAsia="zh-CN"/>
        </w:rPr>
        <w:t>查</w:t>
      </w:r>
      <w:r>
        <w:rPr>
          <w:rFonts w:hint="eastAsia"/>
        </w:rPr>
        <w:t>（</w:t>
      </w:r>
      <w:r>
        <w:t>CPI）旨在反映一定时</w:t>
      </w:r>
      <w:r>
        <w:rPr>
          <w:rFonts w:hint="eastAsia"/>
        </w:rPr>
        <w:t>期内居民所消费商品及服务项目的价格水平变动趋势和变动程度，其变动率在一定程度上反映了通货膨胀（或紧缩）的程度，编制</w:t>
      </w:r>
      <w:r>
        <w:t>CPI的目的是了解价</w:t>
      </w:r>
      <w:r>
        <w:rPr>
          <w:rFonts w:hint="eastAsia"/>
        </w:rPr>
        <w:t>格变动的基本情况，分析研究价格变动对社会经济和民居生活的影响。</w:t>
      </w:r>
    </w:p>
    <w:p w14:paraId="7296A3B8">
      <w:pPr>
        <w:pStyle w:val="4"/>
        <w:bidi w:val="0"/>
        <w:rPr>
          <w:rFonts w:hint="eastAsia"/>
        </w:rPr>
      </w:pPr>
      <w:r>
        <w:rPr>
          <w:rFonts w:hint="eastAsia"/>
        </w:rPr>
        <w:t>【专项调</w:t>
      </w:r>
      <w:r>
        <w:rPr>
          <w:rFonts w:hint="eastAsia"/>
          <w:lang w:eastAsia="zh-CN"/>
        </w:rPr>
        <w:t>查</w:t>
      </w:r>
      <w:r>
        <w:rPr>
          <w:rFonts w:hint="eastAsia"/>
        </w:rPr>
        <w:t>】</w:t>
      </w:r>
    </w:p>
    <w:p w14:paraId="2DA6B4BF">
      <w:pPr>
        <w:rPr>
          <w:rFonts w:hint="eastAsia"/>
        </w:rPr>
      </w:pPr>
      <w:r>
        <w:rPr>
          <w:rFonts w:hint="eastAsia"/>
        </w:rPr>
        <w:t>组织实施满足国民经济核算需要的其他抽样调</w:t>
      </w:r>
      <w:r>
        <w:rPr>
          <w:rFonts w:hint="eastAsia"/>
          <w:lang w:eastAsia="zh-CN"/>
        </w:rPr>
        <w:t>查</w:t>
      </w:r>
      <w:r>
        <w:rPr>
          <w:rFonts w:hint="eastAsia"/>
        </w:rPr>
        <w:t>，以及有关专项调</w:t>
      </w:r>
      <w:r>
        <w:rPr>
          <w:rFonts w:hint="eastAsia"/>
          <w:lang w:eastAsia="zh-CN"/>
        </w:rPr>
        <w:t>查</w:t>
      </w:r>
      <w:r>
        <w:rPr>
          <w:rFonts w:hint="eastAsia"/>
        </w:rPr>
        <w:t>。</w:t>
      </w:r>
    </w:p>
    <w:p w14:paraId="2C658C63">
      <w:pPr>
        <w:jc w:val="right"/>
        <w:rPr>
          <w:rFonts w:hint="eastAsia"/>
          <w:b/>
          <w:bCs/>
        </w:rPr>
      </w:pPr>
      <w:r>
        <w:rPr>
          <w:rFonts w:hint="eastAsia"/>
          <w:b/>
          <w:bCs/>
        </w:rPr>
        <w:t>（原佛光）</w:t>
      </w:r>
    </w:p>
    <w:p w14:paraId="2F71BA08">
      <w:pPr>
        <w:pStyle w:val="10"/>
        <w:bidi w:val="0"/>
        <w:rPr>
          <w:rFonts w:hint="eastAsia"/>
          <w:b/>
          <w:bCs/>
        </w:rPr>
      </w:pPr>
      <w:r>
        <w:rPr>
          <w:rFonts w:hint="eastAsia"/>
          <w:b/>
          <w:bCs/>
        </w:rPr>
        <w:t>附：</w:t>
      </w:r>
      <w:r>
        <w:rPr>
          <w:b/>
          <w:bCs/>
        </w:rPr>
        <w:t>2013年度国家统计局南雄调</w:t>
      </w:r>
      <w:r>
        <w:rPr>
          <w:rFonts w:hint="eastAsia"/>
          <w:b/>
          <w:bCs/>
          <w:lang w:eastAsia="zh-CN"/>
        </w:rPr>
        <w:t>查</w:t>
      </w:r>
      <w:r>
        <w:rPr>
          <w:b/>
          <w:bCs/>
        </w:rPr>
        <w:t>队领导班子成员</w:t>
      </w:r>
      <w:r>
        <w:rPr>
          <w:rFonts w:hint="eastAsia"/>
          <w:b/>
          <w:bCs/>
        </w:rPr>
        <w:t>名单</w:t>
      </w:r>
    </w:p>
    <w:p w14:paraId="61B1A23B">
      <w:pPr>
        <w:pStyle w:val="10"/>
        <w:bidi w:val="0"/>
        <w:rPr>
          <w:rFonts w:hint="eastAsia"/>
        </w:rPr>
      </w:pPr>
      <w:r>
        <w:rPr>
          <w:rFonts w:hint="eastAsia"/>
          <w:b/>
          <w:bCs/>
        </w:rPr>
        <w:t>队</w:t>
      </w:r>
      <w:r>
        <w:rPr>
          <w:rFonts w:hint="eastAsia"/>
          <w:b/>
          <w:bCs/>
          <w:lang w:val="en-US" w:eastAsia="zh-CN"/>
        </w:rPr>
        <w:t xml:space="preserve">  </w:t>
      </w:r>
      <w:r>
        <w:rPr>
          <w:rFonts w:hint="eastAsia"/>
          <w:b/>
          <w:bCs/>
        </w:rPr>
        <w:t>长：</w:t>
      </w:r>
      <w:r>
        <w:rPr>
          <w:rFonts w:hint="eastAsia"/>
        </w:rPr>
        <w:t>陈伦明</w:t>
      </w:r>
    </w:p>
    <w:p w14:paraId="14BE765C">
      <w:pPr>
        <w:pStyle w:val="10"/>
        <w:bidi w:val="0"/>
        <w:rPr>
          <w:rFonts w:hint="eastAsia"/>
        </w:rPr>
      </w:pPr>
      <w:r>
        <w:rPr>
          <w:rFonts w:hint="eastAsia"/>
          <w:b/>
          <w:bCs/>
        </w:rPr>
        <w:t>纪检员：</w:t>
      </w:r>
      <w:r>
        <w:rPr>
          <w:rFonts w:hint="eastAsia"/>
        </w:rPr>
        <w:t>郭谋富</w:t>
      </w:r>
    </w:p>
    <w:p w14:paraId="7256D771">
      <w:pPr>
        <w:pStyle w:val="3"/>
        <w:bidi w:val="0"/>
        <w:rPr>
          <w:rFonts w:hint="eastAsia"/>
          <w:lang w:val="en-US" w:eastAsia="zh-CN"/>
        </w:rPr>
      </w:pPr>
      <w:r>
        <w:rPr>
          <w:rFonts w:hint="eastAsia"/>
          <w:lang w:val="en-US" w:eastAsia="zh-CN"/>
        </w:rPr>
        <w:t>审计</w:t>
      </w:r>
    </w:p>
    <w:p w14:paraId="7C5F34BA">
      <w:pPr>
        <w:pStyle w:val="4"/>
        <w:bidi w:val="0"/>
        <w:rPr>
          <w:rFonts w:hint="eastAsia"/>
        </w:rPr>
      </w:pPr>
      <w:r>
        <w:rPr>
          <w:rFonts w:hint="eastAsia"/>
        </w:rPr>
        <w:t>【概况】</w:t>
      </w:r>
    </w:p>
    <w:p w14:paraId="62CE2139">
      <w:r>
        <w:rPr>
          <w:rFonts w:hint="eastAsia"/>
        </w:rPr>
        <w:t>南雄市审计局是市人民政府的组成部门，根据市机构编制委员会《关于印发南雄市审计局主要职责内设机构和人员编制规定的通知》，赋予审计监督的职能，内设办公室、法规审理股、经济责任审计办公室、财税金融与外资审计股、行政事业与经贸审计股、农业与资源环保审计股</w:t>
      </w:r>
      <w:r>
        <w:t>6个股室，2013年末，市审计局在职人员18人，其中行政管</w:t>
      </w:r>
      <w:r>
        <w:rPr>
          <w:rFonts w:hint="eastAsia"/>
        </w:rPr>
        <w:t>理人员</w:t>
      </w:r>
      <w:r>
        <w:t>7人，审计业务人员9人，工勤人员2人。</w:t>
      </w:r>
    </w:p>
    <w:p w14:paraId="1C9494D7">
      <w:pPr>
        <w:rPr>
          <w:rFonts w:hint="eastAsia"/>
        </w:rPr>
      </w:pPr>
      <w:r>
        <w:t>2013年，开展审计项目36项，完成项目30</w:t>
      </w:r>
      <w:r>
        <w:rPr>
          <w:rFonts w:hint="eastAsia"/>
        </w:rPr>
        <w:t>项，</w:t>
      </w:r>
      <w:r>
        <w:rPr>
          <w:rFonts w:hint="eastAsia"/>
          <w:lang w:eastAsia="zh-CN"/>
        </w:rPr>
        <w:t>查</w:t>
      </w:r>
      <w:r>
        <w:rPr>
          <w:rFonts w:hint="eastAsia"/>
        </w:rPr>
        <w:t>出管理不规范金额</w:t>
      </w:r>
      <w:r>
        <w:t>4132.99万元，提出审计</w:t>
      </w:r>
      <w:r>
        <w:rPr>
          <w:rFonts w:hint="eastAsia"/>
        </w:rPr>
        <w:t>建议</w:t>
      </w:r>
      <w:r>
        <w:t>40条，向市委、市政府和韶关市审计局提交</w:t>
      </w:r>
      <w:r>
        <w:rPr>
          <w:rFonts w:hint="eastAsia"/>
        </w:rPr>
        <w:t>信息</w:t>
      </w:r>
      <w:r>
        <w:t>43篇，做好“六五”普法、信访维稳、计划</w:t>
      </w:r>
      <w:r>
        <w:rPr>
          <w:rFonts w:hint="eastAsia"/>
        </w:rPr>
        <w:t>生育、社会治安综合治理、政务公开、政府信息公开、扶贫“双到”、跟踪服务入园企业等各项中心工作。</w:t>
      </w:r>
    </w:p>
    <w:p w14:paraId="4C56E20C">
      <w:pPr>
        <w:pStyle w:val="4"/>
        <w:bidi w:val="0"/>
        <w:rPr>
          <w:rFonts w:hint="eastAsia"/>
          <w:lang w:eastAsia="zh-CN"/>
        </w:rPr>
      </w:pPr>
      <w:r>
        <w:rPr>
          <w:rFonts w:hint="eastAsia"/>
        </w:rPr>
        <w:t>【队伍建设</w:t>
      </w:r>
      <w:r>
        <w:rPr>
          <w:rFonts w:hint="eastAsia"/>
          <w:lang w:eastAsia="zh-CN"/>
        </w:rPr>
        <w:t>】</w:t>
      </w:r>
    </w:p>
    <w:p w14:paraId="756328E1">
      <w:r>
        <w:rPr>
          <w:rFonts w:hint="eastAsia"/>
        </w:rPr>
        <w:t>审计局规范运行机制，加强党支部的各项建设和抓好队伍的教育管理。一是执行“三会一课”制度，开展支部活动。先后</w:t>
      </w:r>
      <w:r>
        <w:t>6次组织党员</w:t>
      </w:r>
      <w:r>
        <w:rPr>
          <w:rFonts w:hint="eastAsia"/>
        </w:rPr>
        <w:t>集中学习党的十八大会议精神，组织支部党员前往帮扶村开展党日活动，赠送学习资料，慰问贫困党员和老党员。二是做好党务公开工作。对支部的基本情况、“三重一大”等重要事项、党费收缴情况进行及时的公开公示，约束和规范党员干部的执政行为，提高党员干部反腐倡廉的自觉性。三是组织审计人员参加公务员培训、专技人员继续教育，开展法律知识的学习和考试，提高审计人员的知识</w:t>
      </w:r>
      <w:r>
        <w:rPr>
          <w:rFonts w:hint="eastAsia"/>
          <w:lang w:val="en-US" w:eastAsia="zh-CN"/>
        </w:rPr>
        <w:t>广</w:t>
      </w:r>
      <w:r>
        <w:rPr>
          <w:rFonts w:hint="eastAsia"/>
        </w:rPr>
        <w:t>度和深度。其中选派</w:t>
      </w:r>
      <w:r>
        <w:t>2名审计骨干到省厅学习，15</w:t>
      </w:r>
      <w:r>
        <w:rPr>
          <w:rFonts w:hint="eastAsia"/>
        </w:rPr>
        <w:t>人次参加韶关市审计局组织的学习培训。局干部全年参加学习培训</w:t>
      </w:r>
      <w:r>
        <w:t>56人次，培训时间计249天。有3</w:t>
      </w:r>
      <w:r>
        <w:rPr>
          <w:rFonts w:hint="eastAsia"/>
        </w:rPr>
        <w:t>人参加学历再教育，</w:t>
      </w:r>
      <w:r>
        <w:t>1人取得本科学历；有6人次</w:t>
      </w:r>
      <w:r>
        <w:rPr>
          <w:rFonts w:hint="eastAsia"/>
        </w:rPr>
        <w:t>参加职称考试，</w:t>
      </w:r>
      <w:r>
        <w:t>2人通过。四是通过竞职演讲、民</w:t>
      </w:r>
      <w:r>
        <w:rPr>
          <w:rFonts w:hint="eastAsia"/>
        </w:rPr>
        <w:t>主推荐、组织考察等方式提拔</w:t>
      </w:r>
      <w:r>
        <w:t>2名股长。</w:t>
      </w:r>
    </w:p>
    <w:p w14:paraId="306FBB32">
      <w:pPr>
        <w:pStyle w:val="4"/>
        <w:bidi w:val="0"/>
        <w:rPr>
          <w:rFonts w:hint="eastAsia"/>
        </w:rPr>
      </w:pPr>
      <w:r>
        <w:rPr>
          <w:rFonts w:hint="eastAsia"/>
        </w:rPr>
        <w:t>【规范化建设】</w:t>
      </w:r>
    </w:p>
    <w:p w14:paraId="26176454">
      <w:pPr>
        <w:rPr>
          <w:rFonts w:hint="eastAsia"/>
        </w:rPr>
      </w:pPr>
      <w:r>
        <w:rPr>
          <w:rFonts w:hint="eastAsia"/>
        </w:rPr>
        <w:t>审计局按照市委市政府和上级审计部门的部署和要求，结合各项专题活动，做好规范化建设的相关工作。一是以开展“面向基层、整顿作风、服务群众”活动为契机和平台，强化审计人员服务意识。通过组织干部学习中央八项规定</w:t>
      </w:r>
      <w:r>
        <w:rPr>
          <w:rFonts w:hint="eastAsia"/>
          <w:lang w:eastAsia="zh-CN"/>
        </w:rPr>
        <w:t>、</w:t>
      </w:r>
      <w:r>
        <w:rPr>
          <w:rFonts w:hint="eastAsia"/>
        </w:rPr>
        <w:t>习</w:t>
      </w:r>
      <w:r>
        <w:rPr>
          <w:rFonts w:hint="eastAsia"/>
          <w:lang w:val="en-US" w:eastAsia="zh-CN"/>
        </w:rPr>
        <w:t>近平</w:t>
      </w:r>
      <w:r>
        <w:rPr>
          <w:rFonts w:hint="eastAsia"/>
        </w:rPr>
        <w:t>总书记的重要讲话和市委、市政府贯彻落实《</w:t>
      </w:r>
      <w:r>
        <w:rPr>
          <w:rFonts w:hint="eastAsia"/>
          <w:lang w:val="en-US" w:eastAsia="zh-CN"/>
        </w:rPr>
        <w:t>中央</w:t>
      </w:r>
      <w:r>
        <w:rPr>
          <w:rFonts w:hint="eastAsia"/>
        </w:rPr>
        <w:t>八项规定》实施办法等内容；开展自</w:t>
      </w:r>
      <w:r>
        <w:rPr>
          <w:rFonts w:hint="eastAsia"/>
          <w:lang w:eastAsia="zh-CN"/>
        </w:rPr>
        <w:t>查</w:t>
      </w:r>
      <w:r>
        <w:rPr>
          <w:rFonts w:hint="eastAsia"/>
        </w:rPr>
        <w:t>自纠，撰写自</w:t>
      </w:r>
      <w:r>
        <w:rPr>
          <w:rFonts w:hint="eastAsia"/>
          <w:lang w:eastAsia="zh-CN"/>
        </w:rPr>
        <w:t>查</w:t>
      </w:r>
      <w:r>
        <w:rPr>
          <w:rFonts w:hint="eastAsia"/>
        </w:rPr>
        <w:t>报告、整改措施；前往市党风廉政建设干部任前法纪教育暨预防职务犯罪教育基地参观学习等方式开展学习教育。二是推进弘扬“广东审计人精神”学习实践活动，在审计队伍中树立以“良知、责任、执著、专业、奉献”为核心的广东审计人核心价值理念，进一步改进机关工作作风，提高审计执行力。三是开展纪律教育学习月活动，组织全体人员开展专题学习教育活动。通过一系列的专题学习教育，进一步强化干部的责任心和信心，提高工作主动性、积极性和自觉性，增强机关的凝聚力和战斗力。四是进一步健全制度体系。制定和出台《优秀（精品）审计项目评比方法（试行）》和《行政自由裁量适用规则》等审计业务规范制度；结合作风建设，制定完善《车辆使用管理规定》、《工作人员请假休</w:t>
      </w:r>
      <w:r>
        <w:rPr>
          <w:rFonts w:hint="eastAsia"/>
          <w:lang w:val="en-US" w:eastAsia="zh-CN"/>
        </w:rPr>
        <w:t>假</w:t>
      </w:r>
      <w:r>
        <w:rPr>
          <w:rFonts w:hint="eastAsia"/>
        </w:rPr>
        <w:t>规定》、《考勤管理制度》和《正版软件资产管理制度》内部管理制度。五是加强基础设施建设。投</w:t>
      </w:r>
      <w:r>
        <w:rPr>
          <w:rFonts w:hint="eastAsia"/>
          <w:lang w:val="en-US" w:eastAsia="zh-CN"/>
        </w:rPr>
        <w:t>入</w:t>
      </w:r>
      <w:r>
        <w:t>6万元置换办公桌椅、添置文件柜、</w:t>
      </w:r>
      <w:r>
        <w:rPr>
          <w:rFonts w:hint="eastAsia"/>
        </w:rPr>
        <w:t>打印机和完善机关亮化美化工程。</w:t>
      </w:r>
    </w:p>
    <w:p w14:paraId="110AE57D">
      <w:pPr>
        <w:pStyle w:val="4"/>
        <w:bidi w:val="0"/>
        <w:rPr>
          <w:rFonts w:hint="eastAsia"/>
        </w:rPr>
      </w:pPr>
      <w:r>
        <w:rPr>
          <w:rFonts w:hint="eastAsia"/>
        </w:rPr>
        <w:t>【预算执行审计】</w:t>
      </w:r>
    </w:p>
    <w:p w14:paraId="01E339D8">
      <w:pPr>
        <w:rPr>
          <w:rFonts w:hint="eastAsia"/>
        </w:rPr>
      </w:pPr>
      <w:r>
        <w:t>2013年，审计局围绕市委十</w:t>
      </w:r>
      <w:r>
        <w:rPr>
          <w:rFonts w:hint="eastAsia"/>
          <w:lang w:val="en-US" w:eastAsia="zh-CN"/>
        </w:rPr>
        <w:t>二</w:t>
      </w:r>
      <w:r>
        <w:rPr>
          <w:rFonts w:hint="eastAsia"/>
        </w:rPr>
        <w:t>届二次全会确定的工作目标，配合市委、市政府中心工作，抓住社会关注热点，深入开展</w:t>
      </w:r>
      <w:r>
        <w:t>2012年度</w:t>
      </w:r>
      <w:r>
        <w:rPr>
          <w:rFonts w:hint="eastAsia"/>
        </w:rPr>
        <w:t>本级预算执行和其他财政收支审计。一是以维护财政安全，揭示和防范财政风险为着力点，着力保障中央和省宏观经济政策的贯彻执行，维护经济安全，推进财税体制改革，促进制度建设和创新为目标，重点对</w:t>
      </w:r>
      <w:r>
        <w:t>2011年转贷1797万元地方政府债券资</w:t>
      </w:r>
      <w:r>
        <w:rPr>
          <w:rFonts w:hint="eastAsia"/>
        </w:rPr>
        <w:t>金、新农合等</w:t>
      </w:r>
      <w:r>
        <w:t>8项重点民生资金以及计划生育专</w:t>
      </w:r>
      <w:r>
        <w:rPr>
          <w:rFonts w:hint="eastAsia"/>
        </w:rPr>
        <w:t>项、社会抚养费情况进行审计和审计调</w:t>
      </w:r>
      <w:r>
        <w:rPr>
          <w:rFonts w:hint="eastAsia"/>
          <w:lang w:eastAsia="zh-CN"/>
        </w:rPr>
        <w:t>查</w:t>
      </w:r>
      <w:r>
        <w:rPr>
          <w:rFonts w:hint="eastAsia"/>
        </w:rPr>
        <w:t>。二是对珠玑镇、湖口镇、市发改局和市公安局的</w:t>
      </w:r>
      <w:r>
        <w:t>2012年</w:t>
      </w:r>
      <w:r>
        <w:rPr>
          <w:rFonts w:hint="eastAsia"/>
        </w:rPr>
        <w:t>度预算执行情况进行延伸审计，加大行政事业性收费和政府性基金的征缴入库力度，确保政府非税收</w:t>
      </w:r>
      <w:r>
        <w:rPr>
          <w:rFonts w:hint="eastAsia"/>
          <w:lang w:val="en-US" w:eastAsia="zh-CN"/>
        </w:rPr>
        <w:t>入</w:t>
      </w:r>
      <w:r>
        <w:rPr>
          <w:rFonts w:hint="eastAsia"/>
        </w:rPr>
        <w:t>及时、完整上缴财政。三是对市地税局</w:t>
      </w:r>
      <w:r>
        <w:t>2012年</w:t>
      </w:r>
      <w:r>
        <w:rPr>
          <w:rFonts w:hint="eastAsia"/>
        </w:rPr>
        <w:t>度税收征管以及文化事业费征管开展审计。通过审计，促进市地税局与相关部门的协调和沟通，采取措施提高税收征管信息及时、完整的传递和共享，堵塞征收漏洞；并组织征管人员对土地使用税的缴纳情况进行清理，加大企业的备案工作力度。四是对市人口和计划生育局</w:t>
      </w:r>
      <w:r>
        <w:t>2012年度预算执行情况进</w:t>
      </w:r>
      <w:r>
        <w:rPr>
          <w:rFonts w:hint="eastAsia"/>
        </w:rPr>
        <w:t>行审计调</w:t>
      </w:r>
      <w:r>
        <w:rPr>
          <w:rFonts w:hint="eastAsia"/>
          <w:lang w:eastAsia="zh-CN"/>
        </w:rPr>
        <w:t>查</w:t>
      </w:r>
      <w:r>
        <w:rPr>
          <w:rFonts w:hint="eastAsia"/>
        </w:rPr>
        <w:t>，重点审计各镇（街）计生办对计生专项资金和社会抚养费的管理使用、计划生育事业经费收支以及与财政财务收支有关的内部控制制度的执行和社会抚养费的征收、管理和使用情况。</w:t>
      </w:r>
      <w:r>
        <w:t>8月，</w:t>
      </w:r>
      <w:r>
        <w:rPr>
          <w:rFonts w:hint="eastAsia"/>
        </w:rPr>
        <w:t>受市人民政府委托向市人大作《关于</w:t>
      </w:r>
      <w:r>
        <w:t>2012年度本</w:t>
      </w:r>
      <w:r>
        <w:rPr>
          <w:rFonts w:hint="eastAsia"/>
        </w:rPr>
        <w:t>级预算执行和其他财政收支的审计工作报告》，得到市人大常委会的肯定和高度评价。</w:t>
      </w:r>
    </w:p>
    <w:p w14:paraId="1568F1CC">
      <w:pPr>
        <w:pStyle w:val="4"/>
        <w:bidi w:val="0"/>
        <w:rPr>
          <w:rFonts w:hint="eastAsia"/>
        </w:rPr>
      </w:pPr>
      <w:r>
        <w:rPr>
          <w:rFonts w:hint="eastAsia"/>
        </w:rPr>
        <w:t>【经济责任审计】</w:t>
      </w:r>
    </w:p>
    <w:p w14:paraId="7F4788BE">
      <w:pPr>
        <w:rPr>
          <w:rFonts w:hint="eastAsia"/>
        </w:rPr>
      </w:pPr>
      <w:r>
        <w:rPr>
          <w:rFonts w:hint="eastAsia"/>
        </w:rPr>
        <w:t>审计局</w:t>
      </w:r>
      <w:r>
        <w:t>2013年开展经济责任审</w:t>
      </w:r>
      <w:r>
        <w:rPr>
          <w:rFonts w:hint="eastAsia"/>
        </w:rPr>
        <w:t>计项目</w:t>
      </w:r>
      <w:r>
        <w:t>9项，</w:t>
      </w:r>
      <w:r>
        <w:rPr>
          <w:rFonts w:hint="eastAsia"/>
          <w:lang w:eastAsia="zh-CN"/>
        </w:rPr>
        <w:t>查</w:t>
      </w:r>
      <w:r>
        <w:t>出非金额计量问题4个，管理不规</w:t>
      </w:r>
      <w:r>
        <w:rPr>
          <w:rFonts w:hint="eastAsia"/>
        </w:rPr>
        <w:t>范金额</w:t>
      </w:r>
      <w:r>
        <w:t>651.36万元，切实发挥经济责任审计在规</w:t>
      </w:r>
      <w:r>
        <w:rPr>
          <w:rFonts w:hint="eastAsia"/>
        </w:rPr>
        <w:t>范财经管理、维护经济秩序、加强对权力的制约和监督、促进党风廉政建设和反腐败等方面的预警防范作用。一是围绕党政主要领导干部和国有企业领导人员经济责任审计工作办法、经济责任审计联席会议工作规则、领导干部离任经济事项交接、经济责任审计计划管理和操作规程以及开展内管领导干部经济责任审计等工作开展调研，并提出多项经济责任审计工作的意见和建议；二是深化审计内容，明确要求将领导干部履行法定职责、贯彻执行经济政策、民生政策和中央八项规定、厉行勤俭节约、反对铺张浪费以及个人廉洁自律等方面的情况纳入必审内容，加强对权力的监督，促进廉洁政府、俭朴政府、法治政府建设；三是向新上任的党政主要领导干部发出告知书计</w:t>
      </w:r>
      <w:r>
        <w:t>15份，使新任领导</w:t>
      </w:r>
      <w:r>
        <w:rPr>
          <w:rFonts w:hint="eastAsia"/>
        </w:rPr>
        <w:t>干部明确各自的经济责任，增强领导干部经济管理的</w:t>
      </w:r>
      <w:r>
        <w:rPr>
          <w:rFonts w:hint="eastAsia"/>
          <w:lang w:eastAsia="zh-CN"/>
        </w:rPr>
        <w:t>法治意识</w:t>
      </w:r>
      <w:r>
        <w:rPr>
          <w:rFonts w:hint="eastAsia"/>
        </w:rPr>
        <w:t>、风险意识和责任意识。</w:t>
      </w:r>
    </w:p>
    <w:p w14:paraId="6C12106D">
      <w:pPr>
        <w:pStyle w:val="4"/>
        <w:bidi w:val="0"/>
        <w:rPr>
          <w:rFonts w:hint="eastAsia"/>
        </w:rPr>
      </w:pPr>
      <w:r>
        <w:rPr>
          <w:rFonts w:hint="eastAsia"/>
        </w:rPr>
        <w:t>【政府投资项目审计】</w:t>
      </w:r>
    </w:p>
    <w:p w14:paraId="2FE96AD5">
      <w:pPr>
        <w:rPr>
          <w:rFonts w:hint="eastAsia"/>
        </w:rPr>
      </w:pPr>
      <w:r>
        <w:t>2013年，审计局对城镇保</w:t>
      </w:r>
      <w:r>
        <w:rPr>
          <w:rFonts w:hint="eastAsia"/>
        </w:rPr>
        <w:t>障性安居工程、农村低收入住房困难户住房改造</w:t>
      </w:r>
      <w:r>
        <w:rPr>
          <w:rFonts w:hint="eastAsia"/>
          <w:lang w:eastAsia="zh-CN"/>
        </w:rPr>
        <w:t>、</w:t>
      </w:r>
      <w:r>
        <w:rPr>
          <w:rFonts w:hint="eastAsia"/>
        </w:rPr>
        <w:t>中小学校舍安全工程、城镇污水处理设施配套管网和湖口镇高标准农田建设示范工程等涉及民生的建设项目资金管理使用情况进行审计，审计资金</w:t>
      </w:r>
      <w:r>
        <w:t>12945.93万元。通过审计督促相关部门把好管理</w:t>
      </w:r>
      <w:r>
        <w:rPr>
          <w:rFonts w:hint="eastAsia"/>
        </w:rPr>
        <w:t>关，规范工程招投标行为，加强建设项目的预、决算管理和工程现场管理；把好质量关，保证项目建设质量和运行安全；把好结算关，做好清算工作，控制工程造价，提高投资效益，推动建立工程建设健康发展长效机制。</w:t>
      </w:r>
    </w:p>
    <w:p w14:paraId="50560EC9">
      <w:pPr>
        <w:pStyle w:val="4"/>
        <w:bidi w:val="0"/>
        <w:rPr>
          <w:rFonts w:hint="eastAsia"/>
        </w:rPr>
      </w:pPr>
      <w:r>
        <w:rPr>
          <w:rFonts w:hint="eastAsia"/>
        </w:rPr>
        <w:t>【专项资金审计】</w:t>
      </w:r>
    </w:p>
    <w:p w14:paraId="600DB639">
      <w:pPr>
        <w:rPr>
          <w:rFonts w:hint="eastAsia"/>
        </w:rPr>
      </w:pPr>
      <w:r>
        <w:rPr>
          <w:rFonts w:hint="eastAsia"/>
        </w:rPr>
        <w:t>审计局围绕全面加快转型升级、建设幸福南雄的工作步伐，突出从惠民政策落实和资金管理</w:t>
      </w:r>
      <w:r>
        <w:t>2个方面加大对民生等专项资金的审计力</w:t>
      </w:r>
      <w:r>
        <w:rPr>
          <w:rFonts w:hint="eastAsia"/>
        </w:rPr>
        <w:t>度，重点对困难人员春节前一次性生活补贴、义务教育阶段农村家庭经济困难学生生活费补贴、新型农村合作医疗基金、</w:t>
      </w:r>
      <w:r>
        <w:t>2012年“广东扶贫济困日”</w:t>
      </w:r>
      <w:r>
        <w:rPr>
          <w:rFonts w:hint="eastAsia"/>
        </w:rPr>
        <w:t>活动捐赠款物、</w:t>
      </w:r>
      <w:r>
        <w:t>5·16与8·15救灾资金以及林业</w:t>
      </w:r>
      <w:r>
        <w:rPr>
          <w:rFonts w:hint="eastAsia"/>
        </w:rPr>
        <w:t>和环保部门管理的生态环保等专项资金进行审计，审计资金</w:t>
      </w:r>
      <w:r>
        <w:t>28638.07万元。通过审计，促进惠民</w:t>
      </w:r>
      <w:r>
        <w:rPr>
          <w:rFonts w:hint="eastAsia"/>
          <w:lang w:eastAsia="zh-CN"/>
        </w:rPr>
        <w:t>、</w:t>
      </w:r>
      <w:r>
        <w:rPr>
          <w:rFonts w:hint="eastAsia"/>
        </w:rPr>
        <w:t>强民、富民政策落实，保障</w:t>
      </w:r>
      <w:r>
        <w:rPr>
          <w:rFonts w:hint="eastAsia"/>
          <w:lang w:val="en-US" w:eastAsia="zh-CN"/>
        </w:rPr>
        <w:t>和</w:t>
      </w:r>
      <w:r>
        <w:rPr>
          <w:rFonts w:hint="eastAsia"/>
        </w:rPr>
        <w:t>改善民生，切实维护人民群众的利益。</w:t>
      </w:r>
    </w:p>
    <w:p w14:paraId="0F7DA24D">
      <w:pPr>
        <w:pStyle w:val="4"/>
        <w:bidi w:val="0"/>
        <w:rPr>
          <w:rFonts w:hint="eastAsia"/>
        </w:rPr>
      </w:pPr>
      <w:r>
        <w:rPr>
          <w:rFonts w:hint="eastAsia"/>
        </w:rPr>
        <w:t>【财务收支审计】</w:t>
      </w:r>
    </w:p>
    <w:p w14:paraId="752216D5">
      <w:r>
        <w:rPr>
          <w:rFonts w:hint="eastAsia"/>
        </w:rPr>
        <w:t>审计局为加强预算和财务管理，对有关部门的财务收支情况进行审计。一是从检</w:t>
      </w:r>
      <w:r>
        <w:rPr>
          <w:rFonts w:hint="eastAsia"/>
          <w:lang w:eastAsia="zh-CN"/>
        </w:rPr>
        <w:t>查</w:t>
      </w:r>
      <w:r>
        <w:rPr>
          <w:rFonts w:hint="eastAsia"/>
        </w:rPr>
        <w:t>财务收支的真实性、合法性、效益性和基层医疗卫生机构实行医改以来药品采购、医疗收费等制度的执行情况为出发点，对</w:t>
      </w:r>
      <w:r>
        <w:t>19个基层医疗卫生机构2012年度财务收支情况进行审计。二是对广东南雄</w:t>
      </w:r>
      <w:r>
        <w:rPr>
          <w:rFonts w:hint="eastAsia"/>
        </w:rPr>
        <w:t>恐龙化石群省级自然保护区管理处成立以来到</w:t>
      </w:r>
      <w:r>
        <w:t>2012</w:t>
      </w:r>
      <w:r>
        <w:rPr>
          <w:rFonts w:hint="eastAsia"/>
        </w:rPr>
        <w:t>年</w:t>
      </w:r>
      <w:r>
        <w:t>6月的的财务收支和专项资金的使用情况进行审</w:t>
      </w:r>
      <w:r>
        <w:rPr>
          <w:rFonts w:hint="eastAsia"/>
        </w:rPr>
        <w:t>计。三是对市浈江电业有限责任公司</w:t>
      </w:r>
      <w:r>
        <w:t>2012年财务</w:t>
      </w:r>
      <w:r>
        <w:rPr>
          <w:rFonts w:hint="eastAsia"/>
        </w:rPr>
        <w:t>收支情况及其子公司全安自来水有限责任公司的</w:t>
      </w:r>
      <w:r>
        <w:t>2012年度财务收支情况进行审计。</w:t>
      </w:r>
    </w:p>
    <w:p w14:paraId="422D0ECA">
      <w:pPr>
        <w:pStyle w:val="4"/>
        <w:bidi w:val="0"/>
        <w:rPr>
          <w:rFonts w:hint="eastAsia"/>
        </w:rPr>
      </w:pPr>
      <w:r>
        <w:rPr>
          <w:rFonts w:hint="eastAsia"/>
        </w:rPr>
        <w:t>【其他审计】</w:t>
      </w:r>
    </w:p>
    <w:p w14:paraId="41A5D846">
      <w:r>
        <w:rPr>
          <w:rFonts w:hint="eastAsia"/>
        </w:rPr>
        <w:t>一是做好市委、市政府交办的物业站、外贸总公司、二轻总公司、丝绸公司、黎</w:t>
      </w:r>
      <w:r>
        <w:rPr>
          <w:rFonts w:hint="eastAsia"/>
          <w:lang w:val="en-US" w:eastAsia="zh-CN"/>
        </w:rPr>
        <w:t>口</w:t>
      </w:r>
      <w:r>
        <w:rPr>
          <w:rFonts w:hint="eastAsia"/>
        </w:rPr>
        <w:t>中学违纪案件和发改局组织的行政事业性收费检</w:t>
      </w:r>
      <w:r>
        <w:rPr>
          <w:rFonts w:hint="eastAsia"/>
          <w:lang w:eastAsia="zh-CN"/>
        </w:rPr>
        <w:t>查</w:t>
      </w:r>
      <w:r>
        <w:rPr>
          <w:rFonts w:hint="eastAsia"/>
        </w:rPr>
        <w:t>等事项的审计工作任务。二是做好协税护税工作，</w:t>
      </w:r>
      <w:r>
        <w:t>2013年审计中</w:t>
      </w:r>
      <w:r>
        <w:rPr>
          <w:rFonts w:hint="eastAsia"/>
          <w:lang w:eastAsia="zh-CN"/>
        </w:rPr>
        <w:t>查</w:t>
      </w:r>
      <w:r>
        <w:t>出税收违规金额合计173.19万元，</w:t>
      </w:r>
      <w:r>
        <w:rPr>
          <w:rFonts w:hint="eastAsia"/>
        </w:rPr>
        <w:t>已全部整改，各项税费</w:t>
      </w:r>
      <w:r>
        <w:rPr>
          <w:rFonts w:hint="eastAsia"/>
          <w:lang w:val="en-US" w:eastAsia="zh-CN"/>
        </w:rPr>
        <w:t>入</w:t>
      </w:r>
      <w:r>
        <w:rPr>
          <w:rFonts w:hint="eastAsia"/>
        </w:rPr>
        <w:t>库金额</w:t>
      </w:r>
      <w:r>
        <w:t>74.7万元。</w:t>
      </w:r>
    </w:p>
    <w:p w14:paraId="7EDB2DD2">
      <w:pPr>
        <w:jc w:val="right"/>
        <w:rPr>
          <w:rFonts w:hint="eastAsia"/>
          <w:b/>
          <w:bCs/>
        </w:rPr>
      </w:pPr>
      <w:r>
        <w:rPr>
          <w:rFonts w:hint="eastAsia"/>
          <w:b/>
          <w:bCs/>
        </w:rPr>
        <w:t>（邬惠雄）</w:t>
      </w:r>
    </w:p>
    <w:p w14:paraId="206B1F19">
      <w:pPr>
        <w:pStyle w:val="10"/>
        <w:bidi w:val="0"/>
        <w:rPr>
          <w:b/>
          <w:bCs/>
        </w:rPr>
      </w:pPr>
      <w:r>
        <w:rPr>
          <w:rFonts w:hint="eastAsia"/>
          <w:b/>
          <w:bCs/>
        </w:rPr>
        <w:t>附：</w:t>
      </w:r>
      <w:r>
        <w:rPr>
          <w:b/>
          <w:bCs/>
        </w:rPr>
        <w:t>2013年市审计局领导班子成员名单</w:t>
      </w:r>
    </w:p>
    <w:p w14:paraId="31833BEF">
      <w:pPr>
        <w:pStyle w:val="10"/>
        <w:bidi w:val="0"/>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陈宏华</w:t>
      </w:r>
    </w:p>
    <w:p w14:paraId="67911EA5">
      <w:pPr>
        <w:pStyle w:val="10"/>
        <w:bidi w:val="0"/>
        <w:rPr>
          <w:rFonts w:hint="eastAsia"/>
        </w:rPr>
      </w:pPr>
      <w:r>
        <w:rPr>
          <w:rFonts w:hint="eastAsia"/>
          <w:b/>
          <w:bCs/>
        </w:rPr>
        <w:t>副</w:t>
      </w:r>
      <w:r>
        <w:rPr>
          <w:rFonts w:hint="eastAsia"/>
          <w:b/>
          <w:bCs/>
          <w:lang w:val="en-US" w:eastAsia="zh-CN"/>
        </w:rPr>
        <w:t xml:space="preserve"> </w:t>
      </w:r>
      <w:r>
        <w:rPr>
          <w:rFonts w:hint="eastAsia"/>
          <w:b/>
          <w:bCs/>
        </w:rPr>
        <w:t>局</w:t>
      </w:r>
      <w:r>
        <w:rPr>
          <w:rFonts w:hint="eastAsia"/>
          <w:b/>
          <w:bCs/>
          <w:lang w:val="en-US" w:eastAsia="zh-CN"/>
        </w:rPr>
        <w:t xml:space="preserve"> </w:t>
      </w:r>
      <w:r>
        <w:rPr>
          <w:rFonts w:hint="eastAsia"/>
          <w:b/>
          <w:bCs/>
        </w:rPr>
        <w:t>长：</w:t>
      </w:r>
      <w:r>
        <w:rPr>
          <w:rFonts w:hint="eastAsia"/>
        </w:rPr>
        <w:t>朱志康</w:t>
      </w:r>
      <w:r>
        <w:rPr>
          <w:rFonts w:hint="eastAsia"/>
          <w:lang w:val="en-US" w:eastAsia="zh-CN"/>
        </w:rPr>
        <w:t xml:space="preserve">   </w:t>
      </w:r>
      <w:r>
        <w:rPr>
          <w:rFonts w:hint="eastAsia"/>
        </w:rPr>
        <w:t>郭蕙梅</w:t>
      </w:r>
    </w:p>
    <w:p w14:paraId="75D0A646">
      <w:pPr>
        <w:pStyle w:val="10"/>
        <w:bidi w:val="0"/>
        <w:rPr>
          <w:rFonts w:hint="eastAsia"/>
        </w:rPr>
      </w:pPr>
      <w:r>
        <w:rPr>
          <w:rFonts w:hint="eastAsia"/>
          <w:b/>
          <w:bCs/>
        </w:rPr>
        <w:t>纪检组长：</w:t>
      </w:r>
      <w:r>
        <w:rPr>
          <w:rFonts w:hint="eastAsia"/>
        </w:rPr>
        <w:t>何小华</w:t>
      </w:r>
    </w:p>
    <w:p w14:paraId="42B59E0A">
      <w:pPr>
        <w:pStyle w:val="3"/>
        <w:bidi w:val="0"/>
        <w:rPr>
          <w:rFonts w:hint="default"/>
          <w:lang w:val="en-US" w:eastAsia="zh-CN"/>
        </w:rPr>
      </w:pPr>
      <w:r>
        <w:rPr>
          <w:rFonts w:hint="eastAsia"/>
          <w:lang w:val="en-US" w:eastAsia="zh-CN"/>
        </w:rPr>
        <w:t>质量技术监督</w:t>
      </w:r>
    </w:p>
    <w:p w14:paraId="0EE8BD11">
      <w:pPr>
        <w:pStyle w:val="4"/>
        <w:bidi w:val="0"/>
        <w:rPr>
          <w:rFonts w:hint="eastAsia"/>
        </w:rPr>
      </w:pPr>
      <w:r>
        <w:rPr>
          <w:rFonts w:hint="eastAsia"/>
        </w:rPr>
        <w:t>【概况】</w:t>
      </w:r>
    </w:p>
    <w:p w14:paraId="0227D29E">
      <w:r>
        <w:rPr>
          <w:rFonts w:hint="eastAsia"/>
        </w:rPr>
        <w:t>南雄市质量技术监督局前身是</w:t>
      </w:r>
      <w:r>
        <w:t>1986年6</w:t>
      </w:r>
      <w:r>
        <w:rPr>
          <w:rFonts w:hint="eastAsia"/>
        </w:rPr>
        <w:t>月成立的南雄县标准计量管理局，</w:t>
      </w:r>
      <w:r>
        <w:t>1990年更名为南</w:t>
      </w:r>
      <w:r>
        <w:rPr>
          <w:rFonts w:hint="eastAsia"/>
        </w:rPr>
        <w:t>雄县技术监督局，</w:t>
      </w:r>
      <w:r>
        <w:t>1996年南雄撤县设市后改为南雄</w:t>
      </w:r>
      <w:r>
        <w:rPr>
          <w:rFonts w:hint="eastAsia"/>
        </w:rPr>
        <w:t>市技术监督局，</w:t>
      </w:r>
      <w:r>
        <w:t>1999年下半年实施省以下垂直管理</w:t>
      </w:r>
      <w:r>
        <w:rPr>
          <w:rFonts w:hint="eastAsia"/>
        </w:rPr>
        <w:t>体制后，更名为南雄市质量技术监督局。现座落雄州镇环城东路</w:t>
      </w:r>
      <w:r>
        <w:t>52号。内设机构有：办公室、标准</w:t>
      </w:r>
      <w:r>
        <w:rPr>
          <w:rFonts w:hint="eastAsia"/>
        </w:rPr>
        <w:t>化股、计量股、特种设备安全监察股、质量股、政策法规股、食品生产监管股、人事教育股、稽</w:t>
      </w:r>
      <w:r>
        <w:rPr>
          <w:rFonts w:hint="eastAsia"/>
          <w:lang w:eastAsia="zh-CN"/>
        </w:rPr>
        <w:t>查</w:t>
      </w:r>
      <w:r>
        <w:rPr>
          <w:rFonts w:hint="eastAsia"/>
        </w:rPr>
        <w:t>队以及</w:t>
      </w:r>
      <w:r>
        <w:t>1个下属事业单位：南雄市质量技术监督检测</w:t>
      </w:r>
      <w:r>
        <w:rPr>
          <w:rFonts w:hint="eastAsia"/>
        </w:rPr>
        <w:t>所。现有行政编制</w:t>
      </w:r>
      <w:r>
        <w:t>14名，行政执法专项编制7名，</w:t>
      </w:r>
      <w:r>
        <w:rPr>
          <w:rFonts w:hint="eastAsia"/>
        </w:rPr>
        <w:t>工勤编制</w:t>
      </w:r>
      <w:r>
        <w:t>2名，在职公务员16人，工勤人员2人。</w:t>
      </w:r>
    </w:p>
    <w:p w14:paraId="73EFC760">
      <w:pPr>
        <w:pStyle w:val="4"/>
        <w:bidi w:val="0"/>
        <w:rPr>
          <w:rFonts w:hint="eastAsia"/>
        </w:rPr>
      </w:pPr>
      <w:r>
        <w:rPr>
          <w:rFonts w:hint="eastAsia"/>
        </w:rPr>
        <w:t>【法制工作】</w:t>
      </w:r>
    </w:p>
    <w:p w14:paraId="5C49F3BD">
      <w:pPr>
        <w:rPr>
          <w:rFonts w:hint="eastAsia"/>
          <w:lang w:eastAsia="zh-CN"/>
        </w:rPr>
      </w:pPr>
      <w:r>
        <w:rPr>
          <w:rFonts w:hint="eastAsia"/>
        </w:rPr>
        <w:t>开展“六五”普法工作，组织开展</w:t>
      </w:r>
      <w:r>
        <w:rPr>
          <w:rFonts w:hint="eastAsia"/>
          <w:lang w:eastAsia="zh-CN"/>
        </w:rPr>
        <w:t>“</w:t>
      </w:r>
      <w:r>
        <w:t>3·15”、</w:t>
      </w:r>
      <w:r>
        <w:rPr>
          <w:rFonts w:hint="eastAsia"/>
          <w:lang w:eastAsia="zh-CN"/>
        </w:rPr>
        <w:t>“</w:t>
      </w:r>
      <w:r>
        <w:t>5·20”世界计量日、“质量月”、“12·4”</w:t>
      </w:r>
      <w:r>
        <w:rPr>
          <w:rFonts w:hint="eastAsia"/>
        </w:rPr>
        <w:t>法制宣传日等宣传活动。申购并安装《无纸化学法用法及考试系统》，配合普法办做好</w:t>
      </w:r>
      <w:r>
        <w:t>2013年度干部</w:t>
      </w:r>
      <w:r>
        <w:rPr>
          <w:rFonts w:hint="eastAsia"/>
        </w:rPr>
        <w:t>职工普法考试。行政执法出动执法人员</w:t>
      </w:r>
      <w:r>
        <w:t>788人次，</w:t>
      </w:r>
      <w:r>
        <w:rPr>
          <w:rFonts w:hint="eastAsia"/>
        </w:rPr>
        <w:t>立案</w:t>
      </w:r>
      <w:r>
        <w:rPr>
          <w:rFonts w:hint="eastAsia"/>
          <w:lang w:eastAsia="zh-CN"/>
        </w:rPr>
        <w:t>查</w:t>
      </w:r>
      <w:r>
        <w:rPr>
          <w:rFonts w:hint="eastAsia"/>
        </w:rPr>
        <w:t>处案件</w:t>
      </w:r>
      <w:r>
        <w:t>20宗，办结案件20宗，涉案货值累</w:t>
      </w:r>
      <w:r>
        <w:rPr>
          <w:rFonts w:hint="eastAsia"/>
        </w:rPr>
        <w:t>计</w:t>
      </w:r>
      <w:r>
        <w:t>33万元，罚没款到位16万元。完成《中国地理</w:t>
      </w:r>
      <w:r>
        <w:rPr>
          <w:rFonts w:hint="eastAsia"/>
        </w:rPr>
        <w:t>标志产品大典》关于“南雄板鸭”地理标志图片和内容的完善工作，有</w:t>
      </w:r>
      <w:r>
        <w:t>1个地理标志保护产品和4家</w:t>
      </w:r>
      <w:r>
        <w:rPr>
          <w:rFonts w:hint="eastAsia"/>
        </w:rPr>
        <w:t>允许使用标志企业</w:t>
      </w:r>
      <w:r>
        <w:rPr>
          <w:rFonts w:hint="eastAsia"/>
          <w:lang w:eastAsia="zh-CN"/>
        </w:rPr>
        <w:t>。</w:t>
      </w:r>
    </w:p>
    <w:p w14:paraId="04D0DEF3">
      <w:pPr>
        <w:pStyle w:val="4"/>
        <w:bidi w:val="0"/>
        <w:rPr>
          <w:rFonts w:hint="eastAsia"/>
        </w:rPr>
      </w:pPr>
      <w:r>
        <w:rPr>
          <w:rFonts w:hint="eastAsia"/>
        </w:rPr>
        <w:t>【工作机制建设】</w:t>
      </w:r>
    </w:p>
    <w:p w14:paraId="59BFAF1B">
      <w:pPr>
        <w:rPr>
          <w:rFonts w:hint="eastAsia"/>
        </w:rPr>
      </w:pPr>
      <w:r>
        <w:rPr>
          <w:rFonts w:hint="eastAsia"/>
        </w:rPr>
        <w:t>切实履行质监工作职责，全力推进大质量工作机制建设，提高质量工作总体水平。依靠地方政府，加强对质量工作的领导。按照地方政府对质量安全负总责的要求，依靠地方政府开展质量强市活动。建立部门协作机制和联席会议制度，加强质量信息交流，研究应对重大质量安全问题和突发事件的措施，开展联合整治和执法检</w:t>
      </w:r>
      <w:r>
        <w:rPr>
          <w:rFonts w:hint="eastAsia"/>
          <w:lang w:eastAsia="zh-CN"/>
        </w:rPr>
        <w:t>查</w:t>
      </w:r>
      <w:r>
        <w:rPr>
          <w:rFonts w:hint="eastAsia"/>
        </w:rPr>
        <w:t>，形成部门各负其职、配合协作的工作机制。</w:t>
      </w:r>
    </w:p>
    <w:p w14:paraId="39554374">
      <w:pPr>
        <w:pStyle w:val="4"/>
        <w:bidi w:val="0"/>
        <w:rPr>
          <w:rFonts w:hint="eastAsia"/>
        </w:rPr>
      </w:pPr>
      <w:r>
        <w:rPr>
          <w:rFonts w:hint="eastAsia"/>
        </w:rPr>
        <w:t>【技术机构建设】</w:t>
      </w:r>
    </w:p>
    <w:p w14:paraId="4EA054F8">
      <w:pPr>
        <w:rPr>
          <w:rFonts w:hint="eastAsia"/>
          <w:lang w:eastAsia="zh-CN"/>
        </w:rPr>
      </w:pPr>
      <w:r>
        <w:rPr>
          <w:rFonts w:hint="eastAsia"/>
        </w:rPr>
        <w:t>南雄市质量技术监督检测所加强量值传递工作，确保量值传递和产品质量理化工作，拓宽计量检定工作范围，提高经济和社会效益。完成强检计量器具</w:t>
      </w:r>
      <w:r>
        <w:t>4990台（件），其中：台案</w:t>
      </w:r>
      <w:r>
        <w:rPr>
          <w:rFonts w:hint="eastAsia"/>
        </w:rPr>
        <w:t>秤</w:t>
      </w:r>
      <w:r>
        <w:t>2493台（件），加油机253把，压力表244只，</w:t>
      </w:r>
      <w:r>
        <w:rPr>
          <w:rFonts w:hint="eastAsia"/>
        </w:rPr>
        <w:t>水表</w:t>
      </w:r>
      <w:r>
        <w:t>2000只。非强制检定的计量器具共279台</w:t>
      </w:r>
      <w:r>
        <w:rPr>
          <w:rFonts w:hint="eastAsia"/>
        </w:rPr>
        <w:t>（件）。广东省质量监督精细化工产品检验站项目已完成检验站大楼及附属设施工程、实验室装修工程、检测检验设备采购，下一步将开展安装、调试阶段工作</w:t>
      </w:r>
      <w:r>
        <w:rPr>
          <w:rFonts w:hint="eastAsia"/>
          <w:lang w:eastAsia="zh-CN"/>
        </w:rPr>
        <w:t>。</w:t>
      </w:r>
    </w:p>
    <w:p w14:paraId="46C495B3">
      <w:pPr>
        <w:pStyle w:val="4"/>
        <w:bidi w:val="0"/>
        <w:rPr>
          <w:rFonts w:hint="eastAsia"/>
        </w:rPr>
      </w:pPr>
      <w:r>
        <w:rPr>
          <w:rFonts w:hint="eastAsia"/>
        </w:rPr>
        <w:t>【执法监督】</w:t>
      </w:r>
    </w:p>
    <w:p w14:paraId="0326EE92">
      <w:r>
        <w:t>1、食品生产监管。加强食品巡</w:t>
      </w:r>
      <w:r>
        <w:rPr>
          <w:rFonts w:hint="eastAsia"/>
          <w:lang w:eastAsia="zh-CN"/>
        </w:rPr>
        <w:t>查</w:t>
      </w:r>
      <w:r>
        <w:t>，</w:t>
      </w:r>
      <w:r>
        <w:rPr>
          <w:rFonts w:hint="eastAsia"/>
        </w:rPr>
        <w:t>做好食品抽样检验，成立加强食品等产品质量安全监管工作领导小组，组织有关人员深入本辖区内食品加工企业和小作坊进行拉网式检</w:t>
      </w:r>
      <w:r>
        <w:rPr>
          <w:rFonts w:hint="eastAsia"/>
          <w:lang w:eastAsia="zh-CN"/>
        </w:rPr>
        <w:t>查</w:t>
      </w:r>
      <w:r>
        <w:rPr>
          <w:rFonts w:hint="eastAsia"/>
        </w:rPr>
        <w:t>，出动人员</w:t>
      </w:r>
      <w:r>
        <w:t>575人次，检</w:t>
      </w:r>
      <w:r>
        <w:rPr>
          <w:rFonts w:hint="eastAsia"/>
          <w:lang w:eastAsia="zh-CN"/>
        </w:rPr>
        <w:t>查</w:t>
      </w:r>
      <w:r>
        <w:t>食品企业和小作坊256家，没有发</w:t>
      </w:r>
      <w:r>
        <w:rPr>
          <w:rFonts w:hint="eastAsia"/>
        </w:rPr>
        <w:t>现大米加工企业生产的大米存在重金属“镉”超标的问题。米酒抽取样品中发现有</w:t>
      </w:r>
      <w:r>
        <w:t>5批次不合格，对</w:t>
      </w:r>
      <w:r>
        <w:rPr>
          <w:rFonts w:hint="eastAsia"/>
        </w:rPr>
        <w:t>所属作坊进行整改处理。对食品企业和小作坊进行</w:t>
      </w:r>
      <w:r>
        <w:t>258批次的产品质量监督抽</w:t>
      </w:r>
      <w:r>
        <w:rPr>
          <w:rFonts w:hint="eastAsia"/>
          <w:lang w:eastAsia="zh-CN"/>
        </w:rPr>
        <w:t>查</w:t>
      </w:r>
      <w:r>
        <w:t>检验和卫生检验，有5家5批次米酒检验不合格和6家大米标签检验不</w:t>
      </w:r>
      <w:r>
        <w:rPr>
          <w:rFonts w:hint="eastAsia"/>
        </w:rPr>
        <w:t>合格，产品质量监检合格率</w:t>
      </w:r>
      <w:r>
        <w:t>98%，较上年同期95</w:t>
      </w:r>
      <w:r>
        <w:rPr>
          <w:rFonts w:hint="eastAsia"/>
          <w:lang w:val="en-US" w:eastAsia="zh-CN"/>
        </w:rPr>
        <w:t>.</w:t>
      </w:r>
      <w:r>
        <w:t>6%的合格率有所提高。2013年有64家食品企</w:t>
      </w:r>
      <w:r>
        <w:rPr>
          <w:rFonts w:hint="eastAsia"/>
        </w:rPr>
        <w:t>业、小作坊，其中</w:t>
      </w:r>
      <w:r>
        <w:t>26家企业获得28张食品生产许</w:t>
      </w:r>
      <w:r>
        <w:rPr>
          <w:rFonts w:hint="eastAsia"/>
        </w:rPr>
        <w:t>可证，帮助</w:t>
      </w:r>
      <w:r>
        <w:t>10家食品生产企业换证，另有2家企</w:t>
      </w:r>
      <w:r>
        <w:rPr>
          <w:rFonts w:hint="eastAsia"/>
        </w:rPr>
        <w:t>业新办证。签订质量安全承诺书小作坊</w:t>
      </w:r>
      <w:r>
        <w:t>38家，劝</w:t>
      </w:r>
      <w:r>
        <w:rPr>
          <w:rFonts w:hint="eastAsia"/>
        </w:rPr>
        <w:t>退关闭小作坊</w:t>
      </w:r>
      <w:r>
        <w:t>2家。坚持每月15日开展“食品安</w:t>
      </w:r>
      <w:r>
        <w:rPr>
          <w:rFonts w:hint="eastAsia"/>
        </w:rPr>
        <w:t>全接待日”活动。</w:t>
      </w:r>
      <w:r>
        <w:t>5月11日在南雄三影塔广场启动</w:t>
      </w:r>
      <w:r>
        <w:rPr>
          <w:rFonts w:hint="eastAsia"/>
        </w:rPr>
        <w:t>“食品安全宣传周”仪式。</w:t>
      </w:r>
      <w:r>
        <w:t>5月24日召开南雄市大</w:t>
      </w:r>
      <w:r>
        <w:rPr>
          <w:rFonts w:hint="eastAsia"/>
        </w:rPr>
        <w:t>米及其他粮食制品重金属专项整治工作会议，</w:t>
      </w:r>
      <w:r>
        <w:t>20多</w:t>
      </w:r>
      <w:r>
        <w:rPr>
          <w:rFonts w:hint="eastAsia"/>
        </w:rPr>
        <w:t>家大米及其他粮食制品生产企业人员参会。</w:t>
      </w:r>
      <w:r>
        <w:t>6月26</w:t>
      </w:r>
      <w:r>
        <w:rPr>
          <w:rFonts w:hint="eastAsia"/>
        </w:rPr>
        <w:t>日组织</w:t>
      </w:r>
      <w:r>
        <w:t>30多家食品生产企业举办普法培训。食品</w:t>
      </w:r>
      <w:r>
        <w:rPr>
          <w:rFonts w:hint="eastAsia"/>
        </w:rPr>
        <w:t>监管人员深入乡镇、街道、社区广泛宣传《中华人民共和国食品安全法》，发放</w:t>
      </w:r>
      <w:r>
        <w:t>1200多份宣传资料。</w:t>
      </w:r>
    </w:p>
    <w:p w14:paraId="345C2EF1">
      <w:pPr>
        <w:rPr>
          <w:rFonts w:hint="eastAsia"/>
        </w:rPr>
      </w:pPr>
      <w:r>
        <w:t>2、特种设备安全监管。3月上旬举办一期锅炉</w:t>
      </w:r>
      <w:r>
        <w:rPr>
          <w:rFonts w:hint="eastAsia"/>
        </w:rPr>
        <w:t>司炉人员培训班，培训人员</w:t>
      </w:r>
      <w:r>
        <w:t>34人，提高司炉操作</w:t>
      </w:r>
      <w:r>
        <w:rPr>
          <w:rFonts w:hint="eastAsia"/>
        </w:rPr>
        <w:t>人员的安全技术和思想素质，夯实特种设备安全防范工作基础。在用特种设备</w:t>
      </w:r>
      <w:r>
        <w:t>362台（套），出动检</w:t>
      </w:r>
      <w:r>
        <w:rPr>
          <w:rFonts w:hint="eastAsia"/>
          <w:lang w:eastAsia="zh-CN"/>
        </w:rPr>
        <w:t>查</w:t>
      </w:r>
      <w:r>
        <w:rPr>
          <w:rFonts w:hint="eastAsia"/>
        </w:rPr>
        <w:t>人员</w:t>
      </w:r>
      <w:r>
        <w:t>263人次，检</w:t>
      </w:r>
      <w:r>
        <w:rPr>
          <w:rFonts w:hint="eastAsia"/>
          <w:lang w:eastAsia="zh-CN"/>
        </w:rPr>
        <w:t>查</w:t>
      </w:r>
      <w:r>
        <w:t>特种设备使用单位54家</w:t>
      </w:r>
      <w:r>
        <w:rPr>
          <w:rFonts w:hint="eastAsia"/>
        </w:rPr>
        <w:t>（次），检</w:t>
      </w:r>
      <w:r>
        <w:rPr>
          <w:rFonts w:hint="eastAsia"/>
          <w:lang w:eastAsia="zh-CN"/>
        </w:rPr>
        <w:t>查</w:t>
      </w:r>
      <w:r>
        <w:rPr>
          <w:rFonts w:hint="eastAsia"/>
        </w:rPr>
        <w:t>施工现场</w:t>
      </w:r>
      <w:r>
        <w:t>6起（次），检</w:t>
      </w:r>
      <w:r>
        <w:rPr>
          <w:rFonts w:hint="eastAsia"/>
          <w:lang w:eastAsia="zh-CN"/>
        </w:rPr>
        <w:t>查</w:t>
      </w:r>
      <w:r>
        <w:t>特种设备213台（次），发出《特种设备现场安全监督检</w:t>
      </w:r>
      <w:r>
        <w:rPr>
          <w:rFonts w:hint="eastAsia"/>
          <w:lang w:eastAsia="zh-CN"/>
        </w:rPr>
        <w:t>查</w:t>
      </w:r>
      <w:r>
        <w:rPr>
          <w:rFonts w:hint="eastAsia"/>
        </w:rPr>
        <w:t>记录》</w:t>
      </w:r>
      <w:r>
        <w:t>65份，发出《特种设备安全监察指令书》6</w:t>
      </w:r>
      <w:r>
        <w:rPr>
          <w:rFonts w:hint="eastAsia"/>
        </w:rPr>
        <w:t>份，排</w:t>
      </w:r>
      <w:r>
        <w:rPr>
          <w:rFonts w:hint="eastAsia"/>
          <w:lang w:eastAsia="zh-CN"/>
        </w:rPr>
        <w:t>查</w:t>
      </w:r>
      <w:r>
        <w:rPr>
          <w:rFonts w:hint="eastAsia"/>
        </w:rPr>
        <w:t>一般隐患设备</w:t>
      </w:r>
      <w:r>
        <w:t>12台（套），整改10台</w:t>
      </w:r>
      <w:r>
        <w:rPr>
          <w:rFonts w:hint="eastAsia"/>
        </w:rPr>
        <w:t>（套），排</w:t>
      </w:r>
      <w:r>
        <w:rPr>
          <w:rFonts w:hint="eastAsia"/>
          <w:lang w:eastAsia="zh-CN"/>
        </w:rPr>
        <w:t>查</w:t>
      </w:r>
      <w:r>
        <w:rPr>
          <w:rFonts w:hint="eastAsia"/>
        </w:rPr>
        <w:t>重大隐患设备</w:t>
      </w:r>
      <w:r>
        <w:t>15台（套），整改14台</w:t>
      </w:r>
      <w:r>
        <w:rPr>
          <w:rFonts w:hint="eastAsia"/>
        </w:rPr>
        <w:t>（套），处理群众特种设备安全投诉</w:t>
      </w:r>
      <w:r>
        <w:t>1起。组织开展</w:t>
      </w:r>
      <w:r>
        <w:rPr>
          <w:rFonts w:hint="eastAsia"/>
        </w:rPr>
        <w:t>“安全生产月”活动，围绕“强化安全基础，推动安全发展”主题开展系列宣教。对人员密集场所使用的电梯进行专项检</w:t>
      </w:r>
      <w:r>
        <w:rPr>
          <w:rFonts w:hint="eastAsia"/>
          <w:lang w:eastAsia="zh-CN"/>
        </w:rPr>
        <w:t>查</w:t>
      </w:r>
      <w:r>
        <w:rPr>
          <w:rFonts w:hint="eastAsia"/>
        </w:rPr>
        <w:t>，督促电梯维保单位认真履行电梯维保职责、提交《电梯产权使用管理责任书》及《电梯使用管理责任单位备案表》，明确电梯使用管理单位和电梯使用管理单位责任人及电梯产权所有者。深入重点危险源单位和人员密集场所进行安全检</w:t>
      </w:r>
      <w:r>
        <w:rPr>
          <w:rFonts w:hint="eastAsia"/>
          <w:lang w:eastAsia="zh-CN"/>
        </w:rPr>
        <w:t>查</w:t>
      </w:r>
      <w:r>
        <w:rPr>
          <w:rFonts w:hint="eastAsia"/>
        </w:rPr>
        <w:t>，重点检</w:t>
      </w:r>
      <w:r>
        <w:rPr>
          <w:rFonts w:hint="eastAsia"/>
          <w:lang w:eastAsia="zh-CN"/>
        </w:rPr>
        <w:t>查</w:t>
      </w:r>
      <w:r>
        <w:rPr>
          <w:rFonts w:hint="eastAsia"/>
        </w:rPr>
        <w:t>人员持证上岗、电梯维护保养记录及电梯维保合同的有效性、安全附件校验、安全技术档案管理、各项规章制度执行落实情况。</w:t>
      </w:r>
    </w:p>
    <w:p w14:paraId="767BFDC1">
      <w:pPr>
        <w:rPr>
          <w:rFonts w:hint="eastAsia"/>
        </w:rPr>
      </w:pPr>
      <w:r>
        <w:t>3、打假工作。强化食品安全专项打假，针对</w:t>
      </w:r>
      <w:r>
        <w:rPr>
          <w:rFonts w:hint="eastAsia"/>
        </w:rPr>
        <w:t>薄弱环节，始终保持高压态势，把打击以非食品原料加工食品、滥用食品添加剂人民群众反映强烈</w:t>
      </w:r>
      <w:r>
        <w:rPr>
          <w:rFonts w:hint="eastAsia"/>
          <w:lang w:eastAsia="zh-CN"/>
        </w:rPr>
        <w:t>、</w:t>
      </w:r>
      <w:r>
        <w:rPr>
          <w:rFonts w:hint="eastAsia"/>
        </w:rPr>
        <w:t>社会危害严重的食品制假售假违法行为作为稽</w:t>
      </w:r>
      <w:r>
        <w:rPr>
          <w:rFonts w:hint="eastAsia"/>
          <w:lang w:eastAsia="zh-CN"/>
        </w:rPr>
        <w:t>查</w:t>
      </w:r>
      <w:r>
        <w:rPr>
          <w:rFonts w:hint="eastAsia"/>
        </w:rPr>
        <w:t>执法的重点。根据上级部门安排部署，突出对重点区域、重点市场、重点食品和重点违法行为的</w:t>
      </w:r>
      <w:r>
        <w:rPr>
          <w:rFonts w:hint="eastAsia"/>
          <w:lang w:eastAsia="zh-CN"/>
        </w:rPr>
        <w:t>查</w:t>
      </w:r>
      <w:r>
        <w:rPr>
          <w:rFonts w:hint="eastAsia"/>
        </w:rPr>
        <w:t>处，对苗头性、典型性食品及时组织开展专项整治行动。加强与工商、食药、农业、公安等打假成员单位沟通联系，对重要信息、线索进行汇总、交换</w:t>
      </w:r>
      <w:r>
        <w:rPr>
          <w:rFonts w:hint="eastAsia"/>
          <w:lang w:eastAsia="zh-CN"/>
        </w:rPr>
        <w:t>、</w:t>
      </w:r>
      <w:r>
        <w:rPr>
          <w:rFonts w:hint="eastAsia"/>
        </w:rPr>
        <w:t>处理，保证信息的畅通，形成打假合力。通过多部门的联动，对一些案情较复杂的案件进行</w:t>
      </w:r>
      <w:r>
        <w:rPr>
          <w:rFonts w:hint="eastAsia"/>
          <w:lang w:eastAsia="zh-CN"/>
        </w:rPr>
        <w:t>查</w:t>
      </w:r>
      <w:r>
        <w:rPr>
          <w:rFonts w:hint="eastAsia"/>
        </w:rPr>
        <w:t>处，对违法犯罪行为有效震慑。推动将打假工作列入南雄市政府工作计划和政府工作考评标准，逐级签订《打假责任书》。打假办与南雄烟草专卖局召开年度专项整治总结与表彰大会，表彰一批先进单位与先进个人。</w:t>
      </w:r>
    </w:p>
    <w:p w14:paraId="373B4C8C">
      <w:pPr>
        <w:rPr>
          <w:rFonts w:hint="eastAsia"/>
        </w:rPr>
      </w:pPr>
      <w:r>
        <w:t>4、质量监督。完成2013年市级工业类产品</w:t>
      </w:r>
      <w:r>
        <w:rPr>
          <w:rFonts w:hint="eastAsia"/>
        </w:rPr>
        <w:t>（非食品）定期监督抽</w:t>
      </w:r>
      <w:r>
        <w:rPr>
          <w:rFonts w:hint="eastAsia"/>
          <w:lang w:eastAsia="zh-CN"/>
        </w:rPr>
        <w:t>查</w:t>
      </w:r>
      <w:r>
        <w:rPr>
          <w:rFonts w:hint="eastAsia"/>
        </w:rPr>
        <w:t>检验情况分析报告。组</w:t>
      </w:r>
      <w:r>
        <w:rPr>
          <w:rFonts w:hint="eastAsia"/>
          <w:lang w:val="en-US" w:eastAsia="zh-CN"/>
        </w:rPr>
        <w:t>织</w:t>
      </w:r>
      <w:r>
        <w:rPr>
          <w:rFonts w:hint="eastAsia"/>
        </w:rPr>
        <w:t>开展产品质量市级定期监督检验。完成定期监督检验</w:t>
      </w:r>
      <w:r>
        <w:t>17批次，合格17批次，批次合格率100%。落</w:t>
      </w:r>
      <w:r>
        <w:rPr>
          <w:rFonts w:hint="eastAsia"/>
        </w:rPr>
        <w:t>实质量状况分析制度，每季度按时完成市级定期监督抽</w:t>
      </w:r>
      <w:r>
        <w:rPr>
          <w:rFonts w:hint="eastAsia"/>
          <w:lang w:eastAsia="zh-CN"/>
        </w:rPr>
        <w:t>查</w:t>
      </w:r>
      <w:r>
        <w:rPr>
          <w:rFonts w:hint="eastAsia"/>
        </w:rPr>
        <w:t>质量状况分析。开展精细化工园企业巡</w:t>
      </w:r>
      <w:r>
        <w:rPr>
          <w:rFonts w:hint="eastAsia"/>
          <w:lang w:eastAsia="zh-CN"/>
        </w:rPr>
        <w:t>查</w:t>
      </w:r>
      <w:r>
        <w:rPr>
          <w:rFonts w:hint="eastAsia"/>
        </w:rPr>
        <w:t>和建档工作。继续对精细化工园区企业进行巡</w:t>
      </w:r>
      <w:r>
        <w:rPr>
          <w:rFonts w:hint="eastAsia"/>
          <w:lang w:eastAsia="zh-CN"/>
        </w:rPr>
        <w:t>查</w:t>
      </w:r>
      <w:r>
        <w:rPr>
          <w:rFonts w:hint="eastAsia"/>
        </w:rPr>
        <w:t>和企业建档，已对精细化工园区</w:t>
      </w:r>
      <w:r>
        <w:t>17家化工企业建立健</w:t>
      </w:r>
      <w:r>
        <w:rPr>
          <w:rFonts w:hint="eastAsia"/>
        </w:rPr>
        <w:t>全了质量档案。</w:t>
      </w:r>
    </w:p>
    <w:p w14:paraId="349BB7AC">
      <w:pPr>
        <w:pStyle w:val="4"/>
        <w:bidi w:val="0"/>
        <w:rPr>
          <w:rFonts w:hint="eastAsia"/>
        </w:rPr>
      </w:pPr>
      <w:r>
        <w:rPr>
          <w:rFonts w:hint="eastAsia"/>
        </w:rPr>
        <w:t>【质量管理】</w:t>
      </w:r>
    </w:p>
    <w:p w14:paraId="0868B762">
      <w:pPr>
        <w:rPr>
          <w:rFonts w:hint="eastAsia"/>
        </w:rPr>
      </w:pPr>
      <w:r>
        <w:t>1.促进企业素质。开展质量诚信体</w:t>
      </w:r>
      <w:r>
        <w:rPr>
          <w:rFonts w:hint="eastAsia"/>
        </w:rPr>
        <w:t>系建设工作，</w:t>
      </w:r>
      <w:r>
        <w:t>5家重点生产企业签订企业质量诚信</w:t>
      </w:r>
      <w:r>
        <w:rPr>
          <w:rFonts w:hint="eastAsia"/>
        </w:rPr>
        <w:t>建设承诺书。全面开展企业信用档案数据库建设，采集质量信用信息，完成企业质量信用档案数据信息表格的录入工作。</w:t>
      </w:r>
    </w:p>
    <w:p w14:paraId="4923563B">
      <w:r>
        <w:t>2.提高产品质量。推进名牌带动战略，做好省</w:t>
      </w:r>
      <w:r>
        <w:rPr>
          <w:rFonts w:hint="eastAsia"/>
        </w:rPr>
        <w:t>名牌产品调研和推荐工作。根据《韶关市质监局关</w:t>
      </w:r>
      <w:r>
        <w:rPr>
          <w:rFonts w:hint="eastAsia"/>
          <w:lang w:val="en-US" w:eastAsia="zh-CN"/>
        </w:rPr>
        <w:t>于</w:t>
      </w:r>
      <w:r>
        <w:rPr>
          <w:rFonts w:hint="eastAsia"/>
        </w:rPr>
        <w:t>推荐和培育</w:t>
      </w:r>
      <w:r>
        <w:t>2013年广东省名牌产品（工业类）</w:t>
      </w:r>
      <w:r>
        <w:rPr>
          <w:rFonts w:hint="eastAsia"/>
        </w:rPr>
        <w:t>的函》，搜集、梳理品牌资源，深入</w:t>
      </w:r>
      <w:r>
        <w:rPr>
          <w:rFonts w:hint="eastAsia"/>
          <w:lang w:val="en-US" w:eastAsia="zh-CN"/>
        </w:rPr>
        <w:t>企</w:t>
      </w:r>
      <w:r>
        <w:rPr>
          <w:rFonts w:hint="eastAsia"/>
        </w:rPr>
        <w:t>业，开展实地调研，全面、客观掌握南雄现有特色产品、具有自主知识产权产品实际情况，推荐韶能集团广东绿洲纸模制品有限公司和南雄市金叶包装材料有限公司</w:t>
      </w:r>
      <w:r>
        <w:t>2家企业申报省名牌。</w:t>
      </w:r>
    </w:p>
    <w:p w14:paraId="7A0F8D42">
      <w:pPr>
        <w:pStyle w:val="4"/>
        <w:bidi w:val="0"/>
        <w:rPr>
          <w:rFonts w:hint="eastAsia"/>
        </w:rPr>
      </w:pPr>
      <w:r>
        <w:rPr>
          <w:rFonts w:hint="eastAsia"/>
        </w:rPr>
        <w:t>【标准化与计量管理】</w:t>
      </w:r>
    </w:p>
    <w:p w14:paraId="69C8048F">
      <w:pPr>
        <w:rPr>
          <w:rFonts w:hint="eastAsia"/>
        </w:rPr>
      </w:pPr>
      <w:r>
        <w:t>1.标准化战略。深入企业</w:t>
      </w:r>
      <w:r>
        <w:rPr>
          <w:rFonts w:hint="eastAsia"/>
        </w:rPr>
        <w:t>推行采标工作，为企业提供采标服务指导，引导和帮扶有条件的企业采用国际和国外先进标准，申报</w:t>
      </w:r>
      <w:r>
        <w:t>3家企业3个产品采标材料。组织本辖区内的6家</w:t>
      </w:r>
      <w:r>
        <w:rPr>
          <w:rFonts w:hint="eastAsia"/>
        </w:rPr>
        <w:t>实验室开展实验室资质认证专项监督自</w:t>
      </w:r>
      <w:r>
        <w:rPr>
          <w:rFonts w:hint="eastAsia"/>
          <w:lang w:eastAsia="zh-CN"/>
        </w:rPr>
        <w:t>查</w:t>
      </w:r>
      <w:r>
        <w:rPr>
          <w:rFonts w:hint="eastAsia"/>
        </w:rPr>
        <w:t>自纠。</w:t>
      </w:r>
      <w:r>
        <w:rPr>
          <w:rFonts w:hint="eastAsia"/>
          <w:lang w:val="en-US" w:eastAsia="zh-CN"/>
        </w:rPr>
        <w:t>广</w:t>
      </w:r>
      <w:r>
        <w:rPr>
          <w:rFonts w:hint="eastAsia"/>
        </w:rPr>
        <w:t>东金友集团有限公司有机稻种植示范基地高分通过省检</w:t>
      </w:r>
      <w:r>
        <w:rPr>
          <w:rFonts w:hint="eastAsia"/>
          <w:lang w:eastAsia="zh-CN"/>
        </w:rPr>
        <w:t>查</w:t>
      </w:r>
      <w:r>
        <w:rPr>
          <w:rFonts w:hint="eastAsia"/>
        </w:rPr>
        <w:t>验收组验收。加强组织机构代码管理工作。代码证累计年检</w:t>
      </w:r>
      <w:r>
        <w:t>939家，证书发出899家，其中新</w:t>
      </w:r>
      <w:r>
        <w:rPr>
          <w:rFonts w:hint="eastAsia"/>
        </w:rPr>
        <w:t>办</w:t>
      </w:r>
      <w:r>
        <w:t>313家，换证446家，变更140家，扫描档案有</w:t>
      </w:r>
      <w:r>
        <w:rPr>
          <w:rFonts w:hint="eastAsia"/>
        </w:rPr>
        <w:t>效率达</w:t>
      </w:r>
      <w:r>
        <w:t>90%。数字证书办理6份。办理企业标准备</w:t>
      </w:r>
      <w:r>
        <w:rPr>
          <w:rFonts w:hint="eastAsia"/>
        </w:rPr>
        <w:t>案</w:t>
      </w:r>
      <w:r>
        <w:t>3个、产品执行标准登记9个，确保企业产品标</w:t>
      </w:r>
      <w:r>
        <w:rPr>
          <w:rFonts w:hint="eastAsia"/>
        </w:rPr>
        <w:t>准的现行有效性；办理商品条码注册</w:t>
      </w:r>
      <w:r>
        <w:t>6家、续展7</w:t>
      </w:r>
      <w:r>
        <w:rPr>
          <w:rFonts w:hint="eastAsia"/>
        </w:rPr>
        <w:t>家，胶片订制</w:t>
      </w:r>
      <w:r>
        <w:t>14张；接待企业标准咨询300多人</w:t>
      </w:r>
      <w:r>
        <w:rPr>
          <w:rFonts w:hint="eastAsia"/>
        </w:rPr>
        <w:t>次，逐步完善标准化管理数据库。</w:t>
      </w:r>
    </w:p>
    <w:p w14:paraId="0B13181B">
      <w:pPr>
        <w:rPr>
          <w:rFonts w:hint="eastAsia"/>
        </w:rPr>
      </w:pPr>
      <w:r>
        <w:t>2.计量管理。民生计量工作，对燃油加油机</w:t>
      </w:r>
      <w:r>
        <w:rPr>
          <w:rFonts w:hint="eastAsia"/>
          <w:lang w:eastAsia="zh-CN"/>
        </w:rPr>
        <w:t>、</w:t>
      </w:r>
      <w:r>
        <w:rPr>
          <w:rFonts w:hint="eastAsia"/>
        </w:rPr>
        <w:t>水表首次检定、液化气站、超市、机动车检测站进行计量监督检</w:t>
      </w:r>
      <w:r>
        <w:rPr>
          <w:rFonts w:hint="eastAsia"/>
          <w:lang w:eastAsia="zh-CN"/>
        </w:rPr>
        <w:t>查</w:t>
      </w:r>
      <w:r>
        <w:rPr>
          <w:rFonts w:hint="eastAsia"/>
        </w:rPr>
        <w:t>。出动检</w:t>
      </w:r>
      <w:r>
        <w:rPr>
          <w:rFonts w:hint="eastAsia"/>
          <w:lang w:eastAsia="zh-CN"/>
        </w:rPr>
        <w:t>查</w:t>
      </w:r>
      <w:r>
        <w:rPr>
          <w:rFonts w:hint="eastAsia"/>
        </w:rPr>
        <w:t>人员</w:t>
      </w:r>
      <w:r>
        <w:t>160人次，检</w:t>
      </w:r>
      <w:r>
        <w:rPr>
          <w:rFonts w:hint="eastAsia"/>
          <w:lang w:eastAsia="zh-CN"/>
        </w:rPr>
        <w:t>查</w:t>
      </w:r>
      <w:r>
        <w:t>加</w:t>
      </w:r>
      <w:r>
        <w:rPr>
          <w:rFonts w:hint="eastAsia"/>
        </w:rPr>
        <w:t>油机</w:t>
      </w:r>
      <w:r>
        <w:t>32批次，合格率为100%；对市内5家液化气</w:t>
      </w:r>
      <w:r>
        <w:rPr>
          <w:rFonts w:hint="eastAsia"/>
        </w:rPr>
        <w:t>充装单位的气瓶充装量进行</w:t>
      </w:r>
      <w:r>
        <w:t>20次监督检</w:t>
      </w:r>
      <w:r>
        <w:rPr>
          <w:rFonts w:hint="eastAsia"/>
          <w:lang w:eastAsia="zh-CN"/>
        </w:rPr>
        <w:t>查</w:t>
      </w:r>
      <w:r>
        <w:t>，检</w:t>
      </w:r>
      <w:r>
        <w:rPr>
          <w:rFonts w:hint="eastAsia"/>
          <w:lang w:eastAsia="zh-CN"/>
        </w:rPr>
        <w:t>查</w:t>
      </w:r>
      <w:r>
        <w:rPr>
          <w:rFonts w:hint="eastAsia"/>
        </w:rPr>
        <w:t>合格率为</w:t>
      </w:r>
      <w:r>
        <w:t>100%；定量包装抽</w:t>
      </w:r>
      <w:r>
        <w:rPr>
          <w:rFonts w:hint="eastAsia"/>
          <w:lang w:eastAsia="zh-CN"/>
        </w:rPr>
        <w:t>查</w:t>
      </w:r>
      <w:r>
        <w:t>5批次，重点抽</w:t>
      </w:r>
      <w:r>
        <w:rPr>
          <w:rFonts w:hint="eastAsia"/>
          <w:lang w:eastAsia="zh-CN"/>
        </w:rPr>
        <w:t>查</w:t>
      </w:r>
      <w:r>
        <w:rPr>
          <w:rFonts w:hint="eastAsia"/>
        </w:rPr>
        <w:t>食品、水泥，检</w:t>
      </w:r>
      <w:r>
        <w:rPr>
          <w:rFonts w:hint="eastAsia"/>
          <w:lang w:eastAsia="zh-CN"/>
        </w:rPr>
        <w:t>查</w:t>
      </w:r>
      <w:r>
        <w:rPr>
          <w:rFonts w:hint="eastAsia"/>
        </w:rPr>
        <w:t>合格率为</w:t>
      </w:r>
      <w:r>
        <w:t>100%。联合南雄市公</w:t>
      </w:r>
      <w:r>
        <w:rPr>
          <w:rFonts w:hint="eastAsia"/>
        </w:rPr>
        <w:t>安局、南雄市机动车安全检测站、南雄市瑞源投资实业有限公司召开</w:t>
      </w:r>
      <w:r>
        <w:t>2次联席会议，对机动车安检机</w:t>
      </w:r>
      <w:r>
        <w:rPr>
          <w:rFonts w:hint="eastAsia"/>
        </w:rPr>
        <w:t>构进行</w:t>
      </w:r>
      <w:r>
        <w:t>3次专项检</w:t>
      </w:r>
      <w:r>
        <w:rPr>
          <w:rFonts w:hint="eastAsia"/>
          <w:lang w:eastAsia="zh-CN"/>
        </w:rPr>
        <w:t>查</w:t>
      </w:r>
      <w:r>
        <w:t>，检</w:t>
      </w:r>
      <w:r>
        <w:rPr>
          <w:rFonts w:hint="eastAsia"/>
          <w:lang w:eastAsia="zh-CN"/>
        </w:rPr>
        <w:t>查</w:t>
      </w:r>
      <w:r>
        <w:t>中共出动执法人员16</w:t>
      </w:r>
      <w:r>
        <w:rPr>
          <w:rFonts w:hint="eastAsia"/>
        </w:rPr>
        <w:t>人（次），确保机动车安全检测工作质量。坚持“计量先行，节能为本”的原则，开展能源计量宣传，狠抓能源计量管理工作，帮扶、指导重点耗能企业建立能源计量管理体系，完善相关制度，促进节能降耗和污染减排。重点对全市</w:t>
      </w:r>
      <w:r>
        <w:t>3家年耗能5000</w:t>
      </w:r>
      <w:r>
        <w:rPr>
          <w:rFonts w:hint="eastAsia"/>
        </w:rPr>
        <w:t>吨标准煤的重点用能单位进行监督检</w:t>
      </w:r>
      <w:r>
        <w:rPr>
          <w:rFonts w:hint="eastAsia"/>
          <w:lang w:eastAsia="zh-CN"/>
        </w:rPr>
        <w:t>查</w:t>
      </w:r>
      <w:r>
        <w:rPr>
          <w:rFonts w:hint="eastAsia"/>
        </w:rPr>
        <w:t>，企业均能按《用能单位能源计量器具配备和管理通则》的各项要求配备计量器具，企业计量器具实行定期检定、校准，并都能正常运行。</w:t>
      </w:r>
    </w:p>
    <w:p w14:paraId="40331848">
      <w:pPr>
        <w:jc w:val="right"/>
        <w:rPr>
          <w:rFonts w:hint="eastAsia"/>
          <w:b/>
          <w:bCs/>
        </w:rPr>
      </w:pPr>
      <w:r>
        <w:rPr>
          <w:rFonts w:hint="eastAsia"/>
          <w:b/>
          <w:bCs/>
        </w:rPr>
        <w:t>（彭</w:t>
      </w:r>
      <w:r>
        <w:rPr>
          <w:rFonts w:hint="eastAsia"/>
          <w:b/>
          <w:bCs/>
          <w:lang w:val="en-US" w:eastAsia="zh-CN"/>
        </w:rPr>
        <w:t xml:space="preserve">  </w:t>
      </w:r>
      <w:r>
        <w:rPr>
          <w:rFonts w:hint="eastAsia"/>
          <w:b/>
          <w:bCs/>
        </w:rPr>
        <w:t>慧）</w:t>
      </w:r>
    </w:p>
    <w:p w14:paraId="484C4B0A">
      <w:pPr>
        <w:pStyle w:val="10"/>
        <w:bidi w:val="0"/>
        <w:rPr>
          <w:b/>
          <w:bCs/>
        </w:rPr>
      </w:pPr>
      <w:r>
        <w:rPr>
          <w:rFonts w:hint="eastAsia"/>
          <w:b/>
          <w:bCs/>
        </w:rPr>
        <w:t>附：；</w:t>
      </w:r>
      <w:r>
        <w:rPr>
          <w:b/>
          <w:bCs/>
        </w:rPr>
        <w:t>2013年市质监局领导班子成员名单</w:t>
      </w:r>
    </w:p>
    <w:p w14:paraId="3412F7D3">
      <w:pPr>
        <w:pStyle w:val="10"/>
        <w:bidi w:val="0"/>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张海南</w:t>
      </w:r>
    </w:p>
    <w:p w14:paraId="6D30860C">
      <w:pPr>
        <w:pStyle w:val="10"/>
        <w:bidi w:val="0"/>
        <w:rPr>
          <w:rFonts w:hint="eastAsia"/>
        </w:rPr>
      </w:pPr>
      <w:r>
        <w:rPr>
          <w:rFonts w:hint="eastAsia"/>
          <w:b/>
          <w:bCs/>
        </w:rPr>
        <w:t>副局长：</w:t>
      </w:r>
      <w:r>
        <w:rPr>
          <w:rFonts w:hint="eastAsia"/>
        </w:rPr>
        <w:t>黄哲勇</w:t>
      </w:r>
      <w:r>
        <w:rPr>
          <w:rFonts w:hint="eastAsia"/>
          <w:lang w:val="en-US" w:eastAsia="zh-CN"/>
        </w:rPr>
        <w:t xml:space="preserve">   </w:t>
      </w:r>
      <w:r>
        <w:rPr>
          <w:rFonts w:hint="eastAsia"/>
        </w:rPr>
        <w:t>廖发文</w:t>
      </w:r>
    </w:p>
    <w:p w14:paraId="77FCA45B">
      <w:pPr>
        <w:pStyle w:val="3"/>
        <w:bidi w:val="0"/>
        <w:rPr>
          <w:rFonts w:hint="eastAsia"/>
        </w:rPr>
      </w:pPr>
      <w:r>
        <w:rPr>
          <w:rFonts w:hint="eastAsia"/>
        </w:rPr>
        <w:t>工商行政管理</w:t>
      </w:r>
    </w:p>
    <w:p w14:paraId="73EC064C">
      <w:pPr>
        <w:pStyle w:val="4"/>
        <w:bidi w:val="0"/>
        <w:rPr>
          <w:rFonts w:hint="eastAsia"/>
        </w:rPr>
      </w:pPr>
      <w:r>
        <w:rPr>
          <w:rFonts w:hint="eastAsia"/>
        </w:rPr>
        <w:t>【概况】</w:t>
      </w:r>
    </w:p>
    <w:p w14:paraId="7B61B0AB">
      <w:r>
        <w:rPr>
          <w:rFonts w:hint="eastAsia"/>
        </w:rPr>
        <w:t>南雄市工商行政管理局（简称南雄工商局）是政府主管市场监管和行政执法的职能机构。</w:t>
      </w:r>
      <w:r>
        <w:t>2013年局机关设有职能股室8个，办公室（加挂信</w:t>
      </w:r>
      <w:r>
        <w:rPr>
          <w:rFonts w:hint="eastAsia"/>
        </w:rPr>
        <w:t>息中心牌子）、人事监察股（督察队）、法规股、登记注册股、企业监督管理股、经济检</w:t>
      </w:r>
      <w:r>
        <w:rPr>
          <w:rFonts w:hint="eastAsia"/>
          <w:lang w:eastAsia="zh-CN"/>
        </w:rPr>
        <w:t>查</w:t>
      </w:r>
      <w:r>
        <w:rPr>
          <w:rFonts w:hint="eastAsia"/>
        </w:rPr>
        <w:t>股（与消费者权益保护合署办公，加挂打击传销办公室牌子）</w:t>
      </w:r>
      <w:r>
        <w:rPr>
          <w:rFonts w:hint="eastAsia"/>
          <w:lang w:eastAsia="zh-CN"/>
        </w:rPr>
        <w:t>、</w:t>
      </w:r>
      <w:r>
        <w:rPr>
          <w:rFonts w:hint="eastAsia"/>
        </w:rPr>
        <w:t>商标广告</w:t>
      </w:r>
      <w:r>
        <w:rPr>
          <w:rFonts w:hint="eastAsia"/>
          <w:lang w:val="en-US" w:eastAsia="zh-CN"/>
        </w:rPr>
        <w:t>股</w:t>
      </w:r>
      <w:r>
        <w:rPr>
          <w:rFonts w:hint="eastAsia"/>
        </w:rPr>
        <w:t>、市场合同股，有行政直属单位经检大队，另有机关服务中心、消委会办公室、个体劳动者协会、私营企业协会。下设工商所</w:t>
      </w:r>
      <w:r>
        <w:t>7个，雄州</w:t>
      </w:r>
      <w:r>
        <w:rPr>
          <w:rFonts w:hint="eastAsia"/>
          <w:lang w:eastAsia="zh-CN"/>
        </w:rPr>
        <w:t>、</w:t>
      </w:r>
      <w:r>
        <w:rPr>
          <w:rFonts w:hint="eastAsia"/>
        </w:rPr>
        <w:t>湖口、珠玑、水口、乌迳、黄坑、澜河。系统人数</w:t>
      </w:r>
      <w:r>
        <w:t>186人，在职人数119人，离休干部3人，退休干</w:t>
      </w:r>
      <w:r>
        <w:rPr>
          <w:rFonts w:hint="eastAsia"/>
        </w:rPr>
        <w:t>部</w:t>
      </w:r>
      <w:r>
        <w:t>64人；机关39人，基层工商所80人。</w:t>
      </w:r>
    </w:p>
    <w:p w14:paraId="0CAB6252">
      <w:pPr>
        <w:pStyle w:val="4"/>
        <w:bidi w:val="0"/>
        <w:rPr>
          <w:rFonts w:hint="eastAsia"/>
        </w:rPr>
      </w:pPr>
      <w:r>
        <w:rPr>
          <w:rFonts w:hint="eastAsia"/>
        </w:rPr>
        <w:t>【工商监管与执法】</w:t>
      </w:r>
    </w:p>
    <w:p w14:paraId="3AED39C5">
      <w:r>
        <w:rPr>
          <w:rFonts w:hint="eastAsia"/>
        </w:rPr>
        <w:t>以“严管”为目标，服务市场经济秩序取得新成效。</w:t>
      </w:r>
      <w:r>
        <w:t>1、以网格化监管为平台，</w:t>
      </w:r>
      <w:r>
        <w:rPr>
          <w:rFonts w:hint="eastAsia"/>
        </w:rPr>
        <w:t>推进监管执法工作。全面落实网格化监管，深入开展整顿规范市场经济秩序。</w:t>
      </w:r>
      <w:r>
        <w:rPr>
          <w:rFonts w:hint="eastAsia"/>
          <w:lang w:eastAsia="zh-CN"/>
        </w:rPr>
        <w:t>查</w:t>
      </w:r>
      <w:r>
        <w:rPr>
          <w:rFonts w:hint="eastAsia"/>
        </w:rPr>
        <w:t>办案件</w:t>
      </w:r>
      <w:r>
        <w:t>105宗，罚没</w:t>
      </w:r>
      <w:r>
        <w:rPr>
          <w:rFonts w:hint="eastAsia"/>
          <w:lang w:val="en-US" w:eastAsia="zh-CN"/>
        </w:rPr>
        <w:t>入</w:t>
      </w:r>
      <w:r>
        <w:rPr>
          <w:rFonts w:hint="eastAsia"/>
        </w:rPr>
        <w:t>库</w:t>
      </w:r>
      <w:r>
        <w:t>44.92万元。一是做好流通环节食品安全监</w:t>
      </w:r>
      <w:r>
        <w:rPr>
          <w:rFonts w:hint="eastAsia"/>
        </w:rPr>
        <w:t>管。结合“食品安全示店”、“百城万店无假货”创建活动，以及开展食品安全宣传周活动，加强流通环节食品质量监管工作。</w:t>
      </w:r>
      <w:r>
        <w:t>2013年办理食品流通许</w:t>
      </w:r>
      <w:r>
        <w:rPr>
          <w:rFonts w:hint="eastAsia"/>
        </w:rPr>
        <w:t>可登记</w:t>
      </w:r>
      <w:r>
        <w:t>617宗、流通环节食品（乳制品）抽检121</w:t>
      </w:r>
      <w:r>
        <w:rPr>
          <w:rFonts w:hint="eastAsia"/>
        </w:rPr>
        <w:t>个批次、协助食安委开展风险抽检</w:t>
      </w:r>
      <w:r>
        <w:t>21批次，组织</w:t>
      </w:r>
      <w:r>
        <w:rPr>
          <w:rFonts w:hint="eastAsia"/>
        </w:rPr>
        <w:t>食品安全宣传咨询活动</w:t>
      </w:r>
      <w:r>
        <w:t>3次，组织开展肉制品市</w:t>
      </w:r>
      <w:r>
        <w:rPr>
          <w:rFonts w:hint="eastAsia"/>
        </w:rPr>
        <w:t>场、酒类市场及节日食品市场等专项整治行动</w:t>
      </w:r>
      <w:r>
        <w:t>38</w:t>
      </w:r>
      <w:r>
        <w:rPr>
          <w:rFonts w:hint="eastAsia"/>
        </w:rPr>
        <w:t>次，</w:t>
      </w:r>
      <w:r>
        <w:rPr>
          <w:rFonts w:hint="eastAsia"/>
          <w:lang w:eastAsia="zh-CN"/>
        </w:rPr>
        <w:t>查</w:t>
      </w:r>
      <w:r>
        <w:rPr>
          <w:rFonts w:hint="eastAsia"/>
        </w:rPr>
        <w:t>办食品案</w:t>
      </w:r>
      <w:r>
        <w:t>10宗。二是开展禽流感防控工作。</w:t>
      </w:r>
      <w:r>
        <w:rPr>
          <w:rFonts w:hint="eastAsia"/>
        </w:rPr>
        <w:t>通过召开专题会议、落实工作责任、细化工作方案等，对防控工作进行部署；做到明确宣传内容、宣传对象、宣传方式，加强禽流感防控知识宣传工作；落实市场准入、痕迹管理、工作督</w:t>
      </w:r>
      <w:r>
        <w:rPr>
          <w:rFonts w:hint="eastAsia"/>
          <w:lang w:eastAsia="zh-CN"/>
        </w:rPr>
        <w:t>查</w:t>
      </w:r>
      <w:r>
        <w:rPr>
          <w:rFonts w:hint="eastAsia"/>
        </w:rPr>
        <w:t>等制度，建立健全市场禽类经营户档案，全面启动“鸡户口”制度；建立信息报送制度、畅通投诉渠道、加强与相关部门的沟通协调等，营造齐抓共管的防控工作机制，确保各项防控措施落实到位。三是推进市场监管与专项整治。以整顿农资市场为重点，推行“两帐两票、一卡一书”制度，加大农资商品检测力度，开展“红盾护农”行动，抽检化肥样品</w:t>
      </w:r>
      <w:r>
        <w:t>48个，</w:t>
      </w:r>
      <w:r>
        <w:rPr>
          <w:rFonts w:hint="eastAsia"/>
          <w:lang w:eastAsia="zh-CN"/>
        </w:rPr>
        <w:t>查</w:t>
      </w:r>
      <w:r>
        <w:t>办农资案6宗；以校园周边食品、网吧游</w:t>
      </w:r>
      <w:r>
        <w:rPr>
          <w:rFonts w:hint="eastAsia"/>
        </w:rPr>
        <w:t>戏室、高考期间等市场为重点，开展整治校园及周边环境秩序整治专项行动</w:t>
      </w:r>
      <w:r>
        <w:t>13次，抽检食品49批</w:t>
      </w:r>
      <w:r>
        <w:rPr>
          <w:rFonts w:hint="eastAsia"/>
        </w:rPr>
        <w:t>次，取缔黑网吧</w:t>
      </w:r>
      <w:r>
        <w:t>4间；开展整治虚假宣传广告、非</w:t>
      </w:r>
      <w:r>
        <w:rPr>
          <w:rFonts w:hint="eastAsia"/>
        </w:rPr>
        <w:t>法集资广告、户外广告专项行动</w:t>
      </w:r>
      <w:r>
        <w:t>16次，立案</w:t>
      </w:r>
      <w:r>
        <w:rPr>
          <w:rFonts w:hint="eastAsia"/>
          <w:lang w:eastAsia="zh-CN"/>
        </w:rPr>
        <w:t>查</w:t>
      </w:r>
      <w:r>
        <w:t>处</w:t>
      </w:r>
      <w:r>
        <w:rPr>
          <w:rFonts w:hint="eastAsia"/>
        </w:rPr>
        <w:t>违法广告案</w:t>
      </w:r>
      <w:r>
        <w:t>11宗；开展打击销售假冒侵权商品行</w:t>
      </w:r>
      <w:r>
        <w:rPr>
          <w:rFonts w:hint="eastAsia"/>
        </w:rPr>
        <w:t>为专项行动</w:t>
      </w:r>
      <w:r>
        <w:t>9次，</w:t>
      </w:r>
      <w:r>
        <w:rPr>
          <w:rFonts w:hint="eastAsia"/>
          <w:lang w:eastAsia="zh-CN"/>
        </w:rPr>
        <w:t>查</w:t>
      </w:r>
      <w:r>
        <w:t>办销售假冒侵权商品案11宗；</w:t>
      </w:r>
      <w:r>
        <w:rPr>
          <w:rFonts w:hint="eastAsia"/>
        </w:rPr>
        <w:t>组织开展节日旅游市场整治、打击“黑心棉”、流通领域玩具、“问题鱼翅”、高危重点行业安全、餐饮场所燃气安全、电动车市场、卷烟市场、清理无照经营、商品抽检后续处理专项行动</w:t>
      </w:r>
      <w:r>
        <w:t>58次，</w:t>
      </w:r>
      <w:r>
        <w:rPr>
          <w:rFonts w:hint="eastAsia"/>
          <w:lang w:eastAsia="zh-CN"/>
        </w:rPr>
        <w:t>查</w:t>
      </w:r>
      <w:r>
        <w:t>办</w:t>
      </w:r>
      <w:r>
        <w:rPr>
          <w:rFonts w:hint="eastAsia"/>
        </w:rPr>
        <w:t>无照经营案</w:t>
      </w:r>
      <w:r>
        <w:t>11宗，书面通报相关部门87宗、指导</w:t>
      </w:r>
      <w:r>
        <w:rPr>
          <w:rFonts w:hint="eastAsia"/>
        </w:rPr>
        <w:t>办照</w:t>
      </w:r>
      <w:r>
        <w:t>46宗。</w:t>
      </w:r>
    </w:p>
    <w:p w14:paraId="2398E101">
      <w:r>
        <w:t>2、以“两建”工作为契机，推进监管机制创</w:t>
      </w:r>
      <w:r>
        <w:rPr>
          <w:rFonts w:hint="eastAsia"/>
        </w:rPr>
        <w:t>新。结合市场监管体系建设，推进流通环节食品安全监管体系建设，通过落实网格化监管责任制，深入推进食品安全“信誉通”电子信息追溯系统、食品安全示范店创建等，创新长效监管机制，进一步强化监管效能；结合社会信用体系建设，积极推进“以经济户口为基础、以落实辖区监管责任为核心</w:t>
      </w:r>
      <w:r>
        <w:rPr>
          <w:rFonts w:hint="eastAsia"/>
          <w:lang w:eastAsia="zh-CN"/>
        </w:rPr>
        <w:t>、</w:t>
      </w:r>
      <w:r>
        <w:rPr>
          <w:rFonts w:hint="eastAsia"/>
        </w:rPr>
        <w:t>以信息化建设为支撑、以信用分类监管为手段和以提高监管效能为目标”的企业信用分类监管体系建设，如开展“守合同重信用企业”评选活动，评出</w:t>
      </w:r>
      <w:r>
        <w:t>2户“守合同重信用”企业；充分发挥消协、个私</w:t>
      </w:r>
      <w:r>
        <w:rPr>
          <w:rFonts w:hint="eastAsia"/>
        </w:rPr>
        <w:t>协联系企业的纽带作用，开设“道德诚信讲堂”，试行实施“先行赔付”机制，推进“两新”组织党建工作，引导和鼓励经营户诚信经营，</w:t>
      </w:r>
      <w:r>
        <w:t>2013年举</w:t>
      </w:r>
      <w:r>
        <w:rPr>
          <w:rFonts w:hint="eastAsia"/>
        </w:rPr>
        <w:t>办</w:t>
      </w:r>
      <w:r>
        <w:t>1期个体工商户再就业技能培训讲座。</w:t>
      </w:r>
    </w:p>
    <w:p w14:paraId="659022D6">
      <w:pPr>
        <w:pStyle w:val="4"/>
        <w:bidi w:val="0"/>
        <w:rPr>
          <w:rFonts w:hint="eastAsia"/>
        </w:rPr>
      </w:pPr>
      <w:r>
        <w:rPr>
          <w:rFonts w:hint="eastAsia"/>
        </w:rPr>
        <w:t>【工商登记与服务】</w:t>
      </w:r>
    </w:p>
    <w:p w14:paraId="4D722E6C">
      <w:pPr>
        <w:rPr>
          <w:rFonts w:hint="eastAsia"/>
          <w:lang w:eastAsia="zh-CN"/>
        </w:rPr>
      </w:pPr>
      <w:r>
        <w:rPr>
          <w:rFonts w:hint="eastAsia"/>
        </w:rPr>
        <w:t>立足工商职能，服务地方经济发展取得新的进步。</w:t>
      </w:r>
      <w:r>
        <w:t>1.立足工商登记职能，推进</w:t>
      </w:r>
      <w:r>
        <w:rPr>
          <w:rFonts w:hint="eastAsia"/>
        </w:rPr>
        <w:t>服务窗口建设。推进“一个窗口许可”，为群众提供“一站式”服务，设立绿色窗口，全面推进“</w:t>
      </w:r>
      <w:r>
        <w:t>AB</w:t>
      </w:r>
      <w:r>
        <w:rPr>
          <w:rFonts w:hint="eastAsia"/>
          <w:lang w:eastAsia="zh-CN"/>
        </w:rPr>
        <w:t>岗</w:t>
      </w:r>
      <w:r>
        <w:t>服务”、“预约服务”“延时服务”举措，促</w:t>
      </w:r>
      <w:r>
        <w:rPr>
          <w:rFonts w:hint="eastAsia"/>
        </w:rPr>
        <w:t>进各类市场主体发展。</w:t>
      </w:r>
      <w:r>
        <w:t>2013年新发展各类市场经营</w:t>
      </w:r>
      <w:r>
        <w:rPr>
          <w:rFonts w:hint="eastAsia"/>
        </w:rPr>
        <w:t>主体</w:t>
      </w:r>
      <w:r>
        <w:t>2136户，其中，国有、集体企业21户（含分</w:t>
      </w:r>
      <w:r>
        <w:rPr>
          <w:rFonts w:hint="eastAsia"/>
        </w:rPr>
        <w:t>支机构），有限公司</w:t>
      </w:r>
      <w:r>
        <w:t>101户（含分公司），个人独</w:t>
      </w:r>
      <w:r>
        <w:rPr>
          <w:rFonts w:hint="eastAsia"/>
        </w:rPr>
        <w:t>资、合伙企业</w:t>
      </w:r>
      <w:r>
        <w:t>21户，农民专业合作社179户。个</w:t>
      </w:r>
      <w:r>
        <w:rPr>
          <w:rFonts w:hint="eastAsia"/>
        </w:rPr>
        <w:t>体工商户</w:t>
      </w:r>
      <w:r>
        <w:t>1814户。目前国有、集体企业306户</w:t>
      </w:r>
      <w:r>
        <w:rPr>
          <w:rFonts w:hint="eastAsia"/>
        </w:rPr>
        <w:t>（含分支机构），有限公司</w:t>
      </w:r>
      <w:r>
        <w:t>804户（含分公司），个</w:t>
      </w:r>
      <w:r>
        <w:rPr>
          <w:rFonts w:hint="eastAsia"/>
        </w:rPr>
        <w:t>人独资、合伙企业</w:t>
      </w:r>
      <w:r>
        <w:t>239户，农民专业合作社401</w:t>
      </w:r>
      <w:r>
        <w:rPr>
          <w:rFonts w:hint="eastAsia"/>
        </w:rPr>
        <w:t>户，个体工商户</w:t>
      </w:r>
      <w:r>
        <w:t>9066户</w:t>
      </w:r>
      <w:r>
        <w:rPr>
          <w:rFonts w:hint="eastAsia"/>
          <w:lang w:eastAsia="zh-CN"/>
        </w:rPr>
        <w:t>。</w:t>
      </w:r>
    </w:p>
    <w:p w14:paraId="2C3FA58C">
      <w:pPr>
        <w:rPr>
          <w:rFonts w:hint="eastAsia"/>
          <w:lang w:eastAsia="zh-CN"/>
        </w:rPr>
      </w:pPr>
      <w:r>
        <w:t>2.探索商事登记改革制度，营造高效服务环</w:t>
      </w:r>
      <w:r>
        <w:rPr>
          <w:rFonts w:hint="eastAsia"/>
        </w:rPr>
        <w:t>境。一是清理规范企业登记前置审批许可事项。按照有关规定，精减部分企业登记前置审批许可事项，降低准入门槛。</w:t>
      </w:r>
      <w:r>
        <w:t>2013年向相关企业发出《预警</w:t>
      </w:r>
      <w:r>
        <w:rPr>
          <w:rFonts w:hint="eastAsia"/>
        </w:rPr>
        <w:t>通知书》或口头预警</w:t>
      </w:r>
      <w:r>
        <w:t>61份（次），规范和纠正涉及</w:t>
      </w:r>
      <w:r>
        <w:rPr>
          <w:rFonts w:hint="eastAsia"/>
        </w:rPr>
        <w:t>各类前置许可或其他登记事项</w:t>
      </w:r>
      <w:r>
        <w:t>48户。二是探索</w:t>
      </w:r>
      <w:r>
        <w:rPr>
          <w:rFonts w:hint="eastAsia"/>
          <w:lang w:eastAsia="zh-CN"/>
        </w:rPr>
        <w:t>‘</w:t>
      </w:r>
      <w:r>
        <w:rPr>
          <w:rFonts w:hint="eastAsia"/>
          <w:lang w:val="en-US" w:eastAsia="zh-CN"/>
        </w:rPr>
        <w:t>一</w:t>
      </w:r>
      <w:r>
        <w:rPr>
          <w:rFonts w:hint="eastAsia"/>
        </w:rPr>
        <w:t>址多照”登记改革模式。放宽企业登记场所条件，允许“一址多照”。已审批该类企业</w:t>
      </w:r>
      <w:r>
        <w:t>28家，审</w:t>
      </w:r>
      <w:r>
        <w:rPr>
          <w:rFonts w:hint="eastAsia"/>
        </w:rPr>
        <w:t>批“一照多址”企业</w:t>
      </w:r>
      <w:r>
        <w:t>1家。三是推进企业登记方式</w:t>
      </w:r>
      <w:r>
        <w:rPr>
          <w:rFonts w:hint="eastAsia"/>
        </w:rPr>
        <w:t>改革。推行网上登记咨询、网上</w:t>
      </w:r>
      <w:r>
        <w:rPr>
          <w:rFonts w:hint="eastAsia"/>
          <w:lang w:eastAsia="zh-CN"/>
        </w:rPr>
        <w:t>查</w:t>
      </w:r>
      <w:r>
        <w:rPr>
          <w:rFonts w:hint="eastAsia"/>
        </w:rPr>
        <w:t>询服务，推行“网上申请、双向快递”登记服务，在“网上注册大厅”受理、办结各类登记业务</w:t>
      </w:r>
      <w:r>
        <w:t>217宗，网上年检</w:t>
      </w:r>
      <w:r>
        <w:rPr>
          <w:rFonts w:hint="eastAsia"/>
        </w:rPr>
        <w:t>预审</w:t>
      </w:r>
      <w:r>
        <w:t>1055户，接受咨询1000多人（次），</w:t>
      </w:r>
      <w:r>
        <w:rPr>
          <w:rFonts w:hint="eastAsia"/>
          <w:lang w:eastAsia="zh-CN"/>
        </w:rPr>
        <w:t>查</w:t>
      </w:r>
      <w:r>
        <w:t>询企</w:t>
      </w:r>
      <w:r>
        <w:rPr>
          <w:rFonts w:hint="eastAsia"/>
        </w:rPr>
        <w:t>业档案</w:t>
      </w:r>
      <w:r>
        <w:t>185人次</w:t>
      </w:r>
      <w:r>
        <w:rPr>
          <w:rFonts w:hint="eastAsia"/>
          <w:lang w:eastAsia="zh-CN"/>
        </w:rPr>
        <w:t>。</w:t>
      </w:r>
    </w:p>
    <w:p w14:paraId="31452C90">
      <w:r>
        <w:t>3.构建服务平台。一是加大扶持力度，促进园</w:t>
      </w:r>
      <w:r>
        <w:rPr>
          <w:rFonts w:hint="eastAsia"/>
        </w:rPr>
        <w:t>区经济发展。对政府招商引资的重点企业及进驻工业园区企业，主动介入，全程提供优质、快捷、跟踪等服务。</w:t>
      </w:r>
      <w:r>
        <w:t>2013年为6家园区外招商引资企业提供</w:t>
      </w:r>
      <w:r>
        <w:rPr>
          <w:rFonts w:hint="eastAsia"/>
        </w:rPr>
        <w:t>优质服务，深入挂点企业走访</w:t>
      </w:r>
      <w:r>
        <w:t>35人次，8户企业顺</w:t>
      </w:r>
      <w:r>
        <w:rPr>
          <w:rFonts w:hint="eastAsia"/>
        </w:rPr>
        <w:t>利落户珠玑工业园，目前落户珠玑工业园的精细化工生产企业</w:t>
      </w:r>
      <w:r>
        <w:t>109户。二是拓宽融资渠道，破解企业</w:t>
      </w:r>
      <w:r>
        <w:rPr>
          <w:rFonts w:hint="eastAsia"/>
        </w:rPr>
        <w:t>发展瓶颈。开展动产抵押、股权质押登记，支持小额贷款公司、担保公司规范发展，为</w:t>
      </w:r>
      <w:r>
        <w:t>29家企业办</w:t>
      </w:r>
      <w:r>
        <w:rPr>
          <w:rFonts w:hint="eastAsia"/>
        </w:rPr>
        <w:t>理动产抵押物登记，帮助企业融资</w:t>
      </w:r>
      <w:r>
        <w:t>14702.89万元。</w:t>
      </w:r>
      <w:r>
        <w:rPr>
          <w:rFonts w:hint="eastAsia"/>
        </w:rPr>
        <w:t>三是推进行政指导，引导新农经济发展。推进品牌战略，宣传和鼓励企业申请注册商标；加大指导工作力度，引导和支持发展农民专业合作社。</w:t>
      </w:r>
      <w:r>
        <w:t>2013年</w:t>
      </w:r>
      <w:r>
        <w:rPr>
          <w:rFonts w:hint="eastAsia"/>
        </w:rPr>
        <w:t>受理商标注册咨询</w:t>
      </w:r>
      <w:r>
        <w:t>80件，新增注册商标70件，发</w:t>
      </w:r>
      <w:r>
        <w:rPr>
          <w:rFonts w:hint="eastAsia"/>
        </w:rPr>
        <w:t>展农民专业合作社</w:t>
      </w:r>
      <w:r>
        <w:t>179户，个体工</w:t>
      </w:r>
      <w:r>
        <w:rPr>
          <w:rFonts w:hint="eastAsia"/>
          <w:lang w:val="en-US" w:eastAsia="zh-CN"/>
        </w:rPr>
        <w:t>商</w:t>
      </w:r>
      <w:r>
        <w:t>户升级为企业14户，目前全市有效商标399件，农民专业合作社</w:t>
      </w:r>
      <w:r>
        <w:rPr>
          <w:rFonts w:hint="eastAsia"/>
        </w:rPr>
        <w:t>达</w:t>
      </w:r>
      <w:r>
        <w:t>401户（其中分支机构5户），成员</w:t>
      </w:r>
      <w:r>
        <w:rPr>
          <w:rFonts w:hint="eastAsia"/>
          <w:lang w:val="en-US" w:eastAsia="zh-CN"/>
        </w:rPr>
        <w:t>7</w:t>
      </w:r>
      <w:r>
        <w:t>744人，出</w:t>
      </w:r>
      <w:r>
        <w:rPr>
          <w:rFonts w:hint="eastAsia"/>
        </w:rPr>
        <w:t>资总额</w:t>
      </w:r>
      <w:r>
        <w:t>7087.145万元，对比2012年底分别增长80.63%、31.72%和71.4%。</w:t>
      </w:r>
    </w:p>
    <w:p w14:paraId="61FFA43A">
      <w:r>
        <w:t>4.推进消保维权工作。一是加强消费教育引导</w:t>
      </w:r>
      <w:r>
        <w:rPr>
          <w:rFonts w:hint="eastAsia"/>
        </w:rPr>
        <w:t>工作。以“</w:t>
      </w:r>
      <w:r>
        <w:t>3.15国际消费者权益保护日”为契机，</w:t>
      </w:r>
      <w:r>
        <w:rPr>
          <w:rFonts w:hint="eastAsia"/>
        </w:rPr>
        <w:t>通过集中销毁假冒伪劣商品活动、组织现场宣传咨询活动、设立消费维权服务站，活动中张贴海报</w:t>
      </w:r>
      <w:r>
        <w:t>30</w:t>
      </w:r>
      <w:r>
        <w:rPr>
          <w:rFonts w:hint="eastAsia"/>
        </w:rPr>
        <w:t>张、发放宣传资料</w:t>
      </w:r>
      <w:r>
        <w:t>3100份，接待咨询1000多人次。</w:t>
      </w:r>
      <w:r>
        <w:rPr>
          <w:rFonts w:hint="eastAsia"/>
        </w:rPr>
        <w:t>二是推进消费维权“五进”工作。</w:t>
      </w:r>
      <w:r>
        <w:t>2013年分别在</w:t>
      </w:r>
      <w:r>
        <w:rPr>
          <w:rFonts w:hint="eastAsia"/>
        </w:rPr>
        <w:t>电信南雄分公司、珠玑古巷建立消费维权服务站，目前有</w:t>
      </w:r>
      <w:r>
        <w:t>6家设立消费维权服务站。三是试点推行</w:t>
      </w:r>
      <w:r>
        <w:rPr>
          <w:rFonts w:hint="eastAsia"/>
        </w:rPr>
        <w:t>“先行赔付”维权机制。以点带面、先行先试的工作思路，鼓励和引导市内各大商场、市场逐步推行“先行赔付”。目前拟在南雄市国泰家私城试行实施“先行赔付”机制。四是通过</w:t>
      </w:r>
      <w:r>
        <w:t>12315投诉举报平台</w:t>
      </w:r>
      <w:r>
        <w:rPr>
          <w:rFonts w:hint="eastAsia"/>
          <w:lang w:eastAsia="zh-CN"/>
        </w:rPr>
        <w:t>、</w:t>
      </w:r>
      <w:r>
        <w:rPr>
          <w:rFonts w:hint="eastAsia"/>
        </w:rPr>
        <w:t>维权服务站及消委会申诉平台，受理申诉举报及调解消费纠纷，成功调解消费纠纷</w:t>
      </w:r>
      <w:r>
        <w:t>45宗，为消费者</w:t>
      </w:r>
      <w:r>
        <w:rPr>
          <w:rFonts w:hint="eastAsia"/>
        </w:rPr>
        <w:t>挽回经济损失</w:t>
      </w:r>
      <w:r>
        <w:t>13万多元。五是加强消费维权工作</w:t>
      </w:r>
      <w:r>
        <w:rPr>
          <w:rFonts w:hint="eastAsia"/>
        </w:rPr>
        <w:t>机制建设。通过网络问政、民生热线及市长信箱</w:t>
      </w:r>
      <w:r>
        <w:rPr>
          <w:rFonts w:hint="eastAsia"/>
          <w:lang w:eastAsia="zh-CN"/>
        </w:rPr>
        <w:t>、</w:t>
      </w:r>
      <w:r>
        <w:rPr>
          <w:rFonts w:hint="eastAsia"/>
        </w:rPr>
        <w:t>连心楼、电子监察等平台，确保消费维权工作效能。回复人大建议</w:t>
      </w:r>
      <w:r>
        <w:t>5条、政协提案3件、网络问政6条、网上咨询74条。</w:t>
      </w:r>
    </w:p>
    <w:p w14:paraId="131AE5E1">
      <w:pPr>
        <w:pStyle w:val="4"/>
        <w:bidi w:val="0"/>
        <w:rPr>
          <w:rFonts w:hint="eastAsia"/>
        </w:rPr>
      </w:pPr>
      <w:r>
        <w:rPr>
          <w:rFonts w:hint="eastAsia"/>
        </w:rPr>
        <w:t>【工商队伍建设】</w:t>
      </w:r>
    </w:p>
    <w:p w14:paraId="1ECDAD8F">
      <w:pPr>
        <w:rPr>
          <w:rFonts w:hint="eastAsia"/>
        </w:rPr>
      </w:pPr>
      <w:r>
        <w:rPr>
          <w:rFonts w:hint="eastAsia"/>
        </w:rPr>
        <w:t>以</w:t>
      </w:r>
      <w:r>
        <w:rPr>
          <w:rFonts w:hint="eastAsia"/>
          <w:lang w:val="en-US" w:eastAsia="zh-CN"/>
        </w:rPr>
        <w:t>中央</w:t>
      </w:r>
      <w:r>
        <w:rPr>
          <w:rFonts w:hint="eastAsia"/>
        </w:rPr>
        <w:t>八项规定为切入点，加强学习教育与培训，营造良好人文环境，工商队伍呈现新形象。</w:t>
      </w:r>
      <w:r>
        <w:t>1.开展各类主题活动，扎实推进队伍</w:t>
      </w:r>
      <w:r>
        <w:rPr>
          <w:rFonts w:hint="eastAsia"/>
        </w:rPr>
        <w:t>作风建设。在系统内积极开展“面向基层、整顿作风、服务群众”主题实践教育活动、整治“庸懒散奢”问题专项活动、纪律教育学习月活动、落实</w:t>
      </w:r>
      <w:r>
        <w:rPr>
          <w:rFonts w:hint="eastAsia"/>
          <w:lang w:val="en-US" w:eastAsia="zh-CN"/>
        </w:rPr>
        <w:t>中央</w:t>
      </w:r>
      <w:r>
        <w:rPr>
          <w:rFonts w:hint="eastAsia"/>
        </w:rPr>
        <w:t>八项规定切实纠正“四风”活动、民主评议政风行风活动等系列活动。自开展活动以来，组织观看机关作风暗访片、参观预防职务犯罪警示教育展、“道德讲堂”展示活动、收看《“廉洁南雄”系列专题报道》</w:t>
      </w:r>
      <w:r>
        <w:t>6期；修订完善纪律作风行为规</w:t>
      </w:r>
      <w:r>
        <w:rPr>
          <w:rFonts w:hint="eastAsia"/>
        </w:rPr>
        <w:t>定、公务用车、下乡制度；向社会各界发放近</w:t>
      </w:r>
      <w:r>
        <w:t>800</w:t>
      </w:r>
      <w:r>
        <w:rPr>
          <w:rFonts w:hint="eastAsia"/>
        </w:rPr>
        <w:t>份征求意见表，收集</w:t>
      </w:r>
      <w:r>
        <w:t>20多条意见，落实整改措施；</w:t>
      </w:r>
      <w:r>
        <w:rPr>
          <w:rFonts w:hint="eastAsia"/>
        </w:rPr>
        <w:t>参加韶关市工商系统“为民、务实、清廉”主题诗歌朗诵比赛，荣获三等奖；雄州、珠玑所与省局有关处室开展“三联系一转换”活动。</w:t>
      </w:r>
    </w:p>
    <w:p w14:paraId="3C2114A9">
      <w:pPr>
        <w:rPr>
          <w:rFonts w:hint="eastAsia"/>
        </w:rPr>
      </w:pPr>
      <w:r>
        <w:t>2.落实党风廉政</w:t>
      </w:r>
      <w:r>
        <w:rPr>
          <w:rFonts w:hint="eastAsia"/>
          <w:lang w:val="en-US" w:eastAsia="zh-CN"/>
        </w:rPr>
        <w:t>建设</w:t>
      </w:r>
      <w:r>
        <w:t>责任制，扎实推进领导班子建</w:t>
      </w:r>
      <w:r>
        <w:rPr>
          <w:rFonts w:hint="eastAsia"/>
        </w:rPr>
        <w:t>设。</w:t>
      </w:r>
      <w:r>
        <w:t>2013年班子切实把党风廉政建设和反腐倡廉工</w:t>
      </w:r>
      <w:r>
        <w:rPr>
          <w:rFonts w:hint="eastAsia"/>
        </w:rPr>
        <w:t>作列入年度目标责任制中和年度考核中，定期对领导班子成员进行民主评议、民主测评，自觉接受群众监督。一是坚持党组中心组学习制度。每月至少组织一次党组中心组学习会，在重大会议后及时组织中心理论组学习会，进行传达学习会议精神</w:t>
      </w:r>
      <w:r>
        <w:rPr>
          <w:rFonts w:hint="eastAsia"/>
          <w:lang w:eastAsia="zh-CN"/>
        </w:rPr>
        <w:t>；</w:t>
      </w:r>
      <w:r>
        <w:rPr>
          <w:rFonts w:hint="eastAsia"/>
          <w:lang w:val="en-US" w:eastAsia="zh-CN"/>
        </w:rPr>
        <w:t>二</w:t>
      </w:r>
      <w:r>
        <w:rPr>
          <w:rFonts w:hint="eastAsia"/>
        </w:rPr>
        <w:t>是组织召开民主生活会。组织召开以“为民务实清廉”为主题的民主生活会，自觉对照检</w:t>
      </w:r>
      <w:r>
        <w:rPr>
          <w:rFonts w:hint="eastAsia"/>
          <w:lang w:eastAsia="zh-CN"/>
        </w:rPr>
        <w:t>查</w:t>
      </w:r>
      <w:r>
        <w:rPr>
          <w:rFonts w:hint="eastAsia"/>
        </w:rPr>
        <w:t>“四风”问题，对照中央、省委和市委的要求进行</w:t>
      </w:r>
      <w:r>
        <w:rPr>
          <w:rFonts w:hint="eastAsia"/>
          <w:lang w:eastAsia="zh-CN"/>
        </w:rPr>
        <w:t>查</w:t>
      </w:r>
      <w:r>
        <w:rPr>
          <w:rFonts w:hint="eastAsia"/>
        </w:rPr>
        <w:t>漏补缺，及时“补课”；三是落实党风廉政建设责任制“五个一”活动，即班子成员对分管部门的党风廉政建设工作进行一次安排部署、听取一次情况汇报、讲一节廉政教育课、开展一次廉政谈话、进行</w:t>
      </w:r>
      <w:r>
        <w:rPr>
          <w:rFonts w:hint="eastAsia"/>
          <w:lang w:val="en-US" w:eastAsia="zh-CN"/>
        </w:rPr>
        <w:t>一</w:t>
      </w:r>
      <w:r>
        <w:rPr>
          <w:rFonts w:hint="eastAsia"/>
        </w:rPr>
        <w:t>次专题调研。领导班子已上一堂以“严纪律、正作风、促廉洁”为主题的党课。</w:t>
      </w:r>
    </w:p>
    <w:p w14:paraId="01E59BE8">
      <w:pPr>
        <w:rPr>
          <w:rFonts w:hint="eastAsia"/>
        </w:rPr>
      </w:pPr>
      <w:r>
        <w:t>3、结合文明单位创建，推进工商规范化建设。</w:t>
      </w:r>
      <w:r>
        <w:rPr>
          <w:rFonts w:hint="eastAsia"/>
          <w:lang w:val="en-US" w:eastAsia="zh-CN"/>
        </w:rPr>
        <w:t>一</w:t>
      </w:r>
      <w:r>
        <w:rPr>
          <w:rFonts w:hint="eastAsia"/>
        </w:rPr>
        <w:t>是推动法治工商建设。结合“六五”普法</w:t>
      </w:r>
      <w:r>
        <w:rPr>
          <w:rFonts w:hint="eastAsia"/>
          <w:lang w:val="en-US" w:eastAsia="zh-CN"/>
        </w:rPr>
        <w:t>工</w:t>
      </w:r>
      <w:r>
        <w:t>作，</w:t>
      </w:r>
      <w:r>
        <w:rPr>
          <w:rFonts w:hint="eastAsia"/>
        </w:rPr>
        <w:t>通过组织法规培训、参加工商法制网络教学、以考促学、现场教学，以案说法等多种形式，督促和引导执法人员学法用法，执法守法，不断提升依法行政能力；在执法中引入批评教育，行政建议，引导和预警等柔性手段，通过实行案件核审制度、说理式处罚文书、规范自由裁量权等，规范执法行为。同时落实回访制度，实施行政处罚结果公示制度，接受社会监督。全年发出行政告诫书</w:t>
      </w:r>
      <w:r>
        <w:t>23份。二是</w:t>
      </w:r>
      <w:r>
        <w:rPr>
          <w:rFonts w:hint="eastAsia"/>
        </w:rPr>
        <w:t>推进廉政文化建设。结合工商规范化建设、文明单位及“廉洁南雄”创建等工作，推进文明用语、廉洁文化上墙面、台面、桌面，如悬挂文明宣传图片、设置“青年文明示范岗”或“窗口文明示范岗”等提示牌、电脑桌面要求以一幅廉政图片为背景。同时在办公场所醒目地方设置廉政格言警句，建立工商廉政文化长廊，营造工商廉政文化氛围。</w:t>
      </w:r>
    </w:p>
    <w:p w14:paraId="481FAD23">
      <w:pPr>
        <w:jc w:val="right"/>
        <w:rPr>
          <w:rFonts w:hint="eastAsia"/>
          <w:b/>
          <w:bCs/>
        </w:rPr>
      </w:pPr>
      <w:r>
        <w:rPr>
          <w:rFonts w:hint="eastAsia"/>
          <w:b/>
          <w:bCs/>
          <w:lang w:eastAsia="zh-CN"/>
        </w:rPr>
        <w:t>（</w:t>
      </w:r>
      <w:r>
        <w:rPr>
          <w:rFonts w:hint="eastAsia"/>
          <w:b/>
          <w:bCs/>
        </w:rPr>
        <w:t>王丽娜）</w:t>
      </w:r>
    </w:p>
    <w:p w14:paraId="3EFE31BB">
      <w:pPr>
        <w:pStyle w:val="10"/>
        <w:bidi w:val="0"/>
        <w:rPr>
          <w:b/>
          <w:bCs/>
        </w:rPr>
      </w:pPr>
      <w:r>
        <w:rPr>
          <w:rFonts w:hint="eastAsia"/>
          <w:b/>
          <w:bCs/>
        </w:rPr>
        <w:t>附：</w:t>
      </w:r>
      <w:r>
        <w:rPr>
          <w:b/>
          <w:bCs/>
        </w:rPr>
        <w:t>2013年市工商局领导班子成员名单</w:t>
      </w:r>
    </w:p>
    <w:p w14:paraId="06C6FFCE">
      <w:pPr>
        <w:pStyle w:val="10"/>
        <w:bidi w:val="0"/>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谭志良</w:t>
      </w:r>
    </w:p>
    <w:p w14:paraId="5F32A29A">
      <w:pPr>
        <w:pStyle w:val="10"/>
        <w:bidi w:val="0"/>
        <w:rPr>
          <w:rFonts w:hint="eastAsia"/>
        </w:rPr>
      </w:pPr>
      <w:r>
        <w:rPr>
          <w:rFonts w:hint="eastAsia"/>
          <w:b/>
          <w:bCs/>
        </w:rPr>
        <w:t>副局长：</w:t>
      </w:r>
      <w:r>
        <w:rPr>
          <w:rFonts w:hint="eastAsia"/>
        </w:rPr>
        <w:t>熊文荣</w:t>
      </w:r>
      <w:r>
        <w:rPr>
          <w:rFonts w:hint="eastAsia"/>
          <w:lang w:val="en-US" w:eastAsia="zh-CN"/>
        </w:rPr>
        <w:t xml:space="preserve">   </w:t>
      </w:r>
      <w:r>
        <w:rPr>
          <w:rFonts w:hint="eastAsia"/>
        </w:rPr>
        <w:t>廖国红</w:t>
      </w:r>
    </w:p>
    <w:p w14:paraId="1F572D8C">
      <w:pPr>
        <w:pStyle w:val="3"/>
        <w:bidi w:val="0"/>
        <w:rPr>
          <w:rFonts w:hint="default"/>
          <w:lang w:val="en-US" w:eastAsia="zh-CN"/>
        </w:rPr>
      </w:pPr>
      <w:r>
        <w:rPr>
          <w:rFonts w:hint="eastAsia"/>
          <w:lang w:val="en-US" w:eastAsia="zh-CN"/>
        </w:rPr>
        <w:t>国土资源管理</w:t>
      </w:r>
    </w:p>
    <w:p w14:paraId="55C3957D">
      <w:pPr>
        <w:pStyle w:val="4"/>
        <w:bidi w:val="0"/>
        <w:rPr>
          <w:rFonts w:hint="eastAsia"/>
        </w:rPr>
      </w:pPr>
      <w:r>
        <w:rPr>
          <w:rFonts w:hint="eastAsia"/>
        </w:rPr>
        <w:t>【概况】</w:t>
      </w:r>
    </w:p>
    <w:p w14:paraId="7FD883D9">
      <w:pPr>
        <w:rPr>
          <w:rFonts w:hint="eastAsia"/>
        </w:rPr>
      </w:pPr>
      <w:r>
        <w:rPr>
          <w:rFonts w:hint="eastAsia"/>
        </w:rPr>
        <w:t>南雄市国土局</w:t>
      </w:r>
      <w:r>
        <w:t>1986年成立，2001年国土</w:t>
      </w:r>
      <w:r>
        <w:rPr>
          <w:rFonts w:hint="eastAsia"/>
        </w:rPr>
        <w:t>局与地矿局合并组建国土资源局。现有在编干部职工</w:t>
      </w:r>
      <w:r>
        <w:t>65人，内设办公室、人事监察股、规划用地股</w:t>
      </w:r>
      <w:r>
        <w:rPr>
          <w:rFonts w:hint="eastAsia"/>
          <w:lang w:eastAsia="zh-CN"/>
        </w:rPr>
        <w:t>、</w:t>
      </w:r>
      <w:r>
        <w:rPr>
          <w:rFonts w:hint="eastAsia"/>
        </w:rPr>
        <w:t>土地市场管理股、地籍管理股、地质矿产资源管理股、执法监察大队、耕地保护股、测绘管理股，下辖土地整理中心、土地储备中心、国土资源信息中心、国土资源测绘队</w:t>
      </w:r>
      <w:r>
        <w:t>4个下属事业单位和18个镇</w:t>
      </w:r>
      <w:r>
        <w:rPr>
          <w:rFonts w:hint="eastAsia"/>
        </w:rPr>
        <w:t>（街道）国土资源所。</w:t>
      </w:r>
      <w:r>
        <w:t>2013年，被评为经济社会发</w:t>
      </w:r>
      <w:r>
        <w:rPr>
          <w:rFonts w:hint="eastAsia"/>
        </w:rPr>
        <w:t>展重大贡献先进单位。</w:t>
      </w:r>
    </w:p>
    <w:p w14:paraId="15A19724">
      <w:pPr>
        <w:pStyle w:val="4"/>
        <w:bidi w:val="0"/>
        <w:rPr>
          <w:rFonts w:hint="eastAsia"/>
        </w:rPr>
      </w:pPr>
      <w:r>
        <w:rPr>
          <w:rFonts w:hint="eastAsia"/>
        </w:rPr>
        <w:t>【用地报批与征地】</w:t>
      </w:r>
    </w:p>
    <w:p w14:paraId="3C9F11C6">
      <w:pPr>
        <w:rPr>
          <w:rFonts w:hint="eastAsia"/>
        </w:rPr>
      </w:pPr>
      <w:r>
        <w:rPr>
          <w:rFonts w:hint="eastAsia"/>
        </w:rPr>
        <w:t>主动跟踪</w:t>
      </w:r>
      <w:r>
        <w:rPr>
          <w:rFonts w:hint="eastAsia"/>
          <w:lang w:val="en-US" w:eastAsia="zh-CN"/>
        </w:rPr>
        <w:t>已</w:t>
      </w:r>
      <w:r>
        <w:rPr>
          <w:rFonts w:hint="eastAsia"/>
        </w:rPr>
        <w:t>上报用地批次，加大“跑部进厅”力度，获批</w:t>
      </w:r>
      <w:r>
        <w:t>3个用地批次，解决30公顷用地。完成铁路站场32公顷、教场桥3.67</w:t>
      </w:r>
      <w:r>
        <w:rPr>
          <w:rFonts w:hint="eastAsia"/>
        </w:rPr>
        <w:t>公顷、奥威斯山塘</w:t>
      </w:r>
      <w:r>
        <w:t>2.67公顷，水南村14.73公顷项</w:t>
      </w:r>
      <w:r>
        <w:rPr>
          <w:rFonts w:hint="eastAsia"/>
        </w:rPr>
        <w:t>目征地。</w:t>
      </w:r>
    </w:p>
    <w:p w14:paraId="49184DDF">
      <w:pPr>
        <w:pStyle w:val="4"/>
        <w:bidi w:val="0"/>
        <w:rPr>
          <w:rFonts w:hint="eastAsia"/>
        </w:rPr>
      </w:pPr>
      <w:r>
        <w:rPr>
          <w:rFonts w:hint="eastAsia"/>
        </w:rPr>
        <w:t>【土地供应】</w:t>
      </w:r>
    </w:p>
    <w:p w14:paraId="34138900">
      <w:r>
        <w:rPr>
          <w:rFonts w:hint="eastAsia"/>
        </w:rPr>
        <w:t>执行《招标拍卖挂牌出让国有建设用地使用权规定》，实行网上招拍挂出让公开挂牌交易。划拨国有建设用地</w:t>
      </w:r>
      <w:r>
        <w:t>8宗，面积1公顷；出让</w:t>
      </w:r>
      <w:r>
        <w:rPr>
          <w:rFonts w:hint="eastAsia"/>
        </w:rPr>
        <w:t>国有建设用地</w:t>
      </w:r>
      <w:r>
        <w:t>184宗，面积48.1公顷，出让总价</w:t>
      </w:r>
      <w:r>
        <w:rPr>
          <w:rFonts w:hint="eastAsia"/>
        </w:rPr>
        <w:t>款</w:t>
      </w:r>
      <w:r>
        <w:t>3.81亿元。其中招拍挂出让19宗，总面积47.7</w:t>
      </w:r>
      <w:r>
        <w:rPr>
          <w:rFonts w:hint="eastAsia"/>
        </w:rPr>
        <w:t>公顷，出让价款</w:t>
      </w:r>
      <w:r>
        <w:t>37729万元，划</w:t>
      </w:r>
      <w:r>
        <w:rPr>
          <w:rFonts w:hint="eastAsia"/>
          <w:lang w:val="en-US" w:eastAsia="zh-CN"/>
        </w:rPr>
        <w:t>拨</w:t>
      </w:r>
      <w:r>
        <w:t>土地补办出让165宗，面积0.4公顷，出让价款387.8863万元。</w:t>
      </w:r>
      <w:r>
        <w:rPr>
          <w:rFonts w:hint="eastAsia"/>
        </w:rPr>
        <w:t>批准个人建房</w:t>
      </w:r>
      <w:r>
        <w:t>44户，批准面积0.47139公顷。</w:t>
      </w:r>
    </w:p>
    <w:p w14:paraId="3E9F09C5">
      <w:pPr>
        <w:pStyle w:val="4"/>
        <w:bidi w:val="0"/>
        <w:rPr>
          <w:rFonts w:hint="eastAsia"/>
        </w:rPr>
      </w:pPr>
      <w:r>
        <w:rPr>
          <w:rFonts w:hint="eastAsia"/>
        </w:rPr>
        <w:t>【城乡建设用地增减挂钩】</w:t>
      </w:r>
    </w:p>
    <w:p w14:paraId="2A1F6739">
      <w:pPr>
        <w:rPr>
          <w:rFonts w:hint="eastAsia"/>
          <w:lang w:eastAsia="zh-CN"/>
        </w:rPr>
      </w:pPr>
      <w:r>
        <w:rPr>
          <w:rFonts w:hint="eastAsia"/>
        </w:rPr>
        <w:t>城乡建设用地增减挂钩工作走在全省前列，广东省首次城乡建设用地增减挂钩试点现场会在南雄市召开。扎实做好雄州街道项目区实施规划的调整并获得省国土资源厅批复，拆旧区调整为</w:t>
      </w:r>
      <w:r>
        <w:t>104.11公顷，调出43.35公顷以</w:t>
      </w:r>
      <w:r>
        <w:rPr>
          <w:rFonts w:hint="eastAsia"/>
        </w:rPr>
        <w:t>“先拆旧后建新”模式用于百顺镇项目拆旧区，增加</w:t>
      </w:r>
      <w:r>
        <w:t>5.79公顷建新区指标。完成雄州街道项目区复</w:t>
      </w:r>
      <w:r>
        <w:rPr>
          <w:rFonts w:hint="eastAsia"/>
        </w:rPr>
        <w:t>垦任务，复垦规模</w:t>
      </w:r>
      <w:r>
        <w:t>98公顷，复垦成农用地97公</w:t>
      </w:r>
      <w:r>
        <w:rPr>
          <w:rFonts w:hint="eastAsia"/>
        </w:rPr>
        <w:t>顷，申请归还雄州街道项目区周转指标</w:t>
      </w:r>
      <w:r>
        <w:t>91</w:t>
      </w:r>
      <w:r>
        <w:rPr>
          <w:rFonts w:hint="eastAsia"/>
          <w:lang w:val="en-US" w:eastAsia="zh-CN"/>
        </w:rPr>
        <w:t>.</w:t>
      </w:r>
      <w:r>
        <w:t>85公</w:t>
      </w:r>
      <w:r>
        <w:rPr>
          <w:rFonts w:hint="eastAsia"/>
        </w:rPr>
        <w:t>顷，其中耕地</w:t>
      </w:r>
      <w:r>
        <w:t>1.79公顷</w:t>
      </w:r>
      <w:r>
        <w:rPr>
          <w:rFonts w:hint="eastAsia"/>
          <w:lang w:eastAsia="zh-CN"/>
        </w:rPr>
        <w:t>。</w:t>
      </w:r>
    </w:p>
    <w:p w14:paraId="240AFCFD">
      <w:pPr>
        <w:pStyle w:val="4"/>
        <w:bidi w:val="0"/>
        <w:rPr>
          <w:rFonts w:hint="eastAsia"/>
        </w:rPr>
      </w:pPr>
      <w:r>
        <w:rPr>
          <w:rFonts w:hint="eastAsia"/>
        </w:rPr>
        <w:t>【耕地保护】</w:t>
      </w:r>
    </w:p>
    <w:p w14:paraId="4B0C260F">
      <w:pPr>
        <w:rPr>
          <w:rFonts w:hint="eastAsia"/>
        </w:rPr>
      </w:pPr>
      <w:r>
        <w:rPr>
          <w:rFonts w:hint="eastAsia"/>
        </w:rPr>
        <w:t>坚持耕地占补平衡原则，大力开展土地开发整理。完成《南雄市土地整</w:t>
      </w:r>
      <w:r>
        <w:rPr>
          <w:rFonts w:hint="eastAsia"/>
          <w:lang w:eastAsia="zh-CN"/>
        </w:rPr>
        <w:t>治</w:t>
      </w:r>
      <w:r>
        <w:rPr>
          <w:rFonts w:hint="eastAsia"/>
        </w:rPr>
        <w:t>规划（</w:t>
      </w:r>
      <w:r>
        <w:t>2011</w:t>
      </w:r>
      <w:r>
        <w:rPr>
          <w:rFonts w:hint="eastAsia"/>
          <w:lang w:val="en-US" w:eastAsia="zh-CN"/>
        </w:rPr>
        <w:t>-</w:t>
      </w:r>
      <w:r>
        <w:t>2015年）》编制，获得市人民政府批复同意。编</w:t>
      </w:r>
      <w:r>
        <w:rPr>
          <w:rFonts w:hint="eastAsia"/>
        </w:rPr>
        <w:t>制</w:t>
      </w:r>
      <w:r>
        <w:t>2012年第一批灾毁基本农田垦复项目实施方案，</w:t>
      </w:r>
      <w:r>
        <w:rPr>
          <w:rFonts w:hint="eastAsia"/>
        </w:rPr>
        <w:t>争取省级补助资金</w:t>
      </w:r>
      <w:r>
        <w:t>28万元。被国家列入“全国高</w:t>
      </w:r>
      <w:r>
        <w:rPr>
          <w:rFonts w:hint="eastAsia"/>
        </w:rPr>
        <w:t>标准基本农田建设示范县”，</w:t>
      </w:r>
      <w:r>
        <w:t>2012年至2015年南雄</w:t>
      </w:r>
      <w:r>
        <w:rPr>
          <w:rFonts w:hint="eastAsia"/>
        </w:rPr>
        <w:t>市高标准基本农田建设任务</w:t>
      </w:r>
      <w:r>
        <w:t>10240公顷，建设资金2.304亿元，2012年和2013年项目已进入施工阶</w:t>
      </w:r>
      <w:r>
        <w:rPr>
          <w:rFonts w:hint="eastAsia"/>
        </w:rPr>
        <w:t>段，</w:t>
      </w:r>
      <w:r>
        <w:t>2014年项目进入测量、规划设计及招投标前期</w:t>
      </w:r>
      <w:r>
        <w:rPr>
          <w:rFonts w:hint="eastAsia"/>
        </w:rPr>
        <w:t>工作。</w:t>
      </w:r>
    </w:p>
    <w:p w14:paraId="0B543A75">
      <w:pPr>
        <w:pStyle w:val="4"/>
        <w:bidi w:val="0"/>
        <w:rPr>
          <w:rFonts w:hint="eastAsia"/>
        </w:rPr>
      </w:pPr>
      <w:r>
        <w:rPr>
          <w:rFonts w:hint="eastAsia"/>
        </w:rPr>
        <w:t>【土地登记】</w:t>
      </w:r>
    </w:p>
    <w:p w14:paraId="20542583">
      <w:pPr>
        <w:rPr>
          <w:rFonts w:hint="eastAsia"/>
        </w:rPr>
      </w:pPr>
      <w:r>
        <w:rPr>
          <w:rFonts w:hint="eastAsia"/>
        </w:rPr>
        <w:t>严把土地登记关，颁发国有土地使用证</w:t>
      </w:r>
      <w:r>
        <w:t>3037本，集体土地使用证42本。完成2012年</w:t>
      </w:r>
      <w:r>
        <w:rPr>
          <w:rFonts w:hint="eastAsia"/>
        </w:rPr>
        <w:t>度土地利用现状变更调</w:t>
      </w:r>
      <w:r>
        <w:rPr>
          <w:rFonts w:hint="eastAsia"/>
          <w:lang w:eastAsia="zh-CN"/>
        </w:rPr>
        <w:t>查</w:t>
      </w:r>
      <w:r>
        <w:rPr>
          <w:rFonts w:hint="eastAsia"/>
        </w:rPr>
        <w:t>，完成对土地利用现状数据库的变更。开展农村宅基地调</w:t>
      </w:r>
      <w:r>
        <w:rPr>
          <w:rFonts w:hint="eastAsia"/>
          <w:lang w:eastAsia="zh-CN"/>
        </w:rPr>
        <w:t>查</w:t>
      </w:r>
      <w:r>
        <w:rPr>
          <w:rFonts w:hint="eastAsia"/>
        </w:rPr>
        <w:t>登记，完成大部分乡镇农村宅基地调</w:t>
      </w:r>
      <w:r>
        <w:rPr>
          <w:rFonts w:hint="eastAsia"/>
          <w:lang w:eastAsia="zh-CN"/>
        </w:rPr>
        <w:t>查</w:t>
      </w:r>
      <w:r>
        <w:rPr>
          <w:rFonts w:hint="eastAsia"/>
        </w:rPr>
        <w:t>登记外业工作，在古市镇修仁村和湖口镇承平村开展农村宅基地调</w:t>
      </w:r>
      <w:r>
        <w:rPr>
          <w:rFonts w:hint="eastAsia"/>
          <w:lang w:eastAsia="zh-CN"/>
        </w:rPr>
        <w:t>查</w:t>
      </w:r>
      <w:r>
        <w:rPr>
          <w:rFonts w:hint="eastAsia"/>
        </w:rPr>
        <w:t>登记和已发证宅基地建库试点工作。</w:t>
      </w:r>
    </w:p>
    <w:p w14:paraId="539CD455">
      <w:pPr>
        <w:pStyle w:val="4"/>
        <w:bidi w:val="0"/>
        <w:rPr>
          <w:rFonts w:hint="eastAsia"/>
        </w:rPr>
      </w:pPr>
      <w:r>
        <w:rPr>
          <w:rFonts w:hint="eastAsia"/>
        </w:rPr>
        <w:t>【土地规划和土地测绘】</w:t>
      </w:r>
    </w:p>
    <w:p w14:paraId="7E5B2CC7">
      <w:r>
        <w:rPr>
          <w:rFonts w:hint="eastAsia"/>
        </w:rPr>
        <w:t>完成全安镇、雄州街道、珠玑镇、华电项目涉及土地利用总体规划修改获韶关市政府批复和省国土资源厅备案。成功创建“省节约集约模范县”，推进创建“全国节约集约模范县”。收集南雄市</w:t>
      </w:r>
      <w:r>
        <w:t>2015年前需规划建设的项目资料75宗。完成县级数字城市地理空间框架建设项目应</w:t>
      </w:r>
      <w:r>
        <w:rPr>
          <w:rFonts w:hint="eastAsia"/>
        </w:rPr>
        <w:t>用示范系统建设的初步调研、项目设计书上报评审和经费落实情况及招投标等工作。在省国土资源厅的支持，拍摄城区约</w:t>
      </w:r>
      <w:r>
        <w:t>100平方公里1：2000正射影</w:t>
      </w:r>
      <w:r>
        <w:rPr>
          <w:rFonts w:hint="eastAsia"/>
        </w:rPr>
        <w:t>像图外业成果，完成南雄市行政范围内国家等级三角点、水准点和</w:t>
      </w:r>
      <w:r>
        <w:t>GPS点的普</w:t>
      </w:r>
      <w:r>
        <w:rPr>
          <w:rFonts w:hint="eastAsia"/>
          <w:lang w:eastAsia="zh-CN"/>
        </w:rPr>
        <w:t>查</w:t>
      </w:r>
      <w:r>
        <w:t>登记。</w:t>
      </w:r>
    </w:p>
    <w:p w14:paraId="293E71B0">
      <w:pPr>
        <w:pStyle w:val="4"/>
        <w:bidi w:val="0"/>
        <w:rPr>
          <w:rFonts w:hint="eastAsia"/>
        </w:rPr>
      </w:pPr>
      <w:r>
        <w:rPr>
          <w:rFonts w:hint="eastAsia"/>
        </w:rPr>
        <w:t>【土地执法监察】</w:t>
      </w:r>
    </w:p>
    <w:p w14:paraId="0696D863">
      <w:pPr>
        <w:rPr>
          <w:rFonts w:hint="eastAsia"/>
        </w:rPr>
      </w:pPr>
      <w:r>
        <w:rPr>
          <w:rFonts w:hint="eastAsia"/>
        </w:rPr>
        <w:t>加强土地、矿产动态巡</w:t>
      </w:r>
      <w:r>
        <w:rPr>
          <w:rFonts w:hint="eastAsia"/>
          <w:lang w:eastAsia="zh-CN"/>
        </w:rPr>
        <w:t>查</w:t>
      </w:r>
      <w:r>
        <w:rPr>
          <w:rFonts w:hint="eastAsia"/>
        </w:rPr>
        <w:t>力度，巡</w:t>
      </w:r>
      <w:r>
        <w:rPr>
          <w:rFonts w:hint="eastAsia"/>
          <w:lang w:eastAsia="zh-CN"/>
        </w:rPr>
        <w:t>查</w:t>
      </w:r>
      <w:r>
        <w:rPr>
          <w:rFonts w:hint="eastAsia"/>
        </w:rPr>
        <w:t>发现违法用地</w:t>
      </w:r>
      <w:r>
        <w:t>236宗，面积6.47公顷，其中</w:t>
      </w:r>
      <w:r>
        <w:rPr>
          <w:rFonts w:hint="eastAsia"/>
        </w:rPr>
        <w:t>耕地面积</w:t>
      </w:r>
      <w:r>
        <w:t>3.69公顷。立案</w:t>
      </w:r>
      <w:r>
        <w:rPr>
          <w:rFonts w:hint="eastAsia"/>
          <w:lang w:eastAsia="zh-CN"/>
        </w:rPr>
        <w:t>查</w:t>
      </w:r>
      <w:r>
        <w:t>处39宗，面积2.92公</w:t>
      </w:r>
      <w:r>
        <w:rPr>
          <w:rFonts w:hint="eastAsia"/>
        </w:rPr>
        <w:t>顷，其中耕地面积为</w:t>
      </w:r>
      <w:r>
        <w:t>0.85公顷。下达《责令停止</w:t>
      </w:r>
      <w:r>
        <w:rPr>
          <w:rFonts w:hint="eastAsia"/>
        </w:rPr>
        <w:t>违法行为通知书》</w:t>
      </w:r>
      <w:r>
        <w:t>412份。同时，做好2012年度卫</w:t>
      </w:r>
      <w:r>
        <w:rPr>
          <w:rFonts w:hint="eastAsia"/>
        </w:rPr>
        <w:t>片执法检</w:t>
      </w:r>
      <w:r>
        <w:rPr>
          <w:rFonts w:hint="eastAsia"/>
          <w:lang w:eastAsia="zh-CN"/>
        </w:rPr>
        <w:t>查</w:t>
      </w:r>
      <w:r>
        <w:rPr>
          <w:rFonts w:hint="eastAsia"/>
        </w:rPr>
        <w:t>工作，取得矿产卫片图斑为零的好成绩，卫片执法检</w:t>
      </w:r>
      <w:r>
        <w:rPr>
          <w:rFonts w:hint="eastAsia"/>
          <w:lang w:eastAsia="zh-CN"/>
        </w:rPr>
        <w:t>查</w:t>
      </w:r>
      <w:r>
        <w:rPr>
          <w:rFonts w:hint="eastAsia"/>
        </w:rPr>
        <w:t>立案</w:t>
      </w:r>
      <w:r>
        <w:t>17宗，落实罚款47047元。</w:t>
      </w:r>
      <w:r>
        <w:rPr>
          <w:rFonts w:hint="eastAsia"/>
        </w:rPr>
        <w:t>保持对“两违”整治的高压态势，依法拆除违法用地建房</w:t>
      </w:r>
      <w:r>
        <w:t>26宗，0.36公顷。扎实做好国土资源信访</w:t>
      </w:r>
      <w:r>
        <w:rPr>
          <w:rFonts w:hint="eastAsia"/>
        </w:rPr>
        <w:t>排</w:t>
      </w:r>
      <w:r>
        <w:rPr>
          <w:rFonts w:hint="eastAsia"/>
          <w:lang w:eastAsia="zh-CN"/>
        </w:rPr>
        <w:t>查</w:t>
      </w:r>
      <w:r>
        <w:rPr>
          <w:rFonts w:hint="eastAsia"/>
        </w:rPr>
        <w:t>。受理群众来电来信来访</w:t>
      </w:r>
      <w:r>
        <w:t>70宗，接待群众来</w:t>
      </w:r>
      <w:r>
        <w:rPr>
          <w:rFonts w:hint="eastAsia"/>
        </w:rPr>
        <w:t>访</w:t>
      </w:r>
      <w:r>
        <w:t>98人次，对所反映的问题全部认真负责地进行</w:t>
      </w:r>
      <w:r>
        <w:rPr>
          <w:rFonts w:hint="eastAsia"/>
        </w:rPr>
        <w:t>处理，及时将处理情况和结果回复信访人。</w:t>
      </w:r>
    </w:p>
    <w:p w14:paraId="502E7AFC">
      <w:pPr>
        <w:pStyle w:val="4"/>
        <w:bidi w:val="0"/>
        <w:rPr>
          <w:rFonts w:hint="eastAsia"/>
        </w:rPr>
      </w:pPr>
      <w:r>
        <w:rPr>
          <w:rFonts w:hint="eastAsia"/>
        </w:rPr>
        <w:t>【矿产资源管理和地质</w:t>
      </w:r>
      <w:r>
        <w:rPr>
          <w:rFonts w:hint="eastAsia"/>
          <w:lang w:val="en-US" w:eastAsia="zh-CN"/>
        </w:rPr>
        <w:t>灾害</w:t>
      </w:r>
      <w:r>
        <w:rPr>
          <w:rFonts w:hint="eastAsia"/>
        </w:rPr>
        <w:t>防治】</w:t>
      </w:r>
    </w:p>
    <w:p w14:paraId="062FCF33">
      <w:pPr>
        <w:rPr>
          <w:rFonts w:hint="eastAsia"/>
          <w:lang w:eastAsia="zh-CN"/>
        </w:rPr>
      </w:pPr>
      <w:r>
        <w:rPr>
          <w:rFonts w:hint="eastAsia"/>
        </w:rPr>
        <w:t>加强矿山储量动态监测管理，督促矿山做好储量年报，征收矿产资源补偿费</w:t>
      </w:r>
      <w:r>
        <w:t>14.8万元。编制《南雄市矿产资源总</w:t>
      </w:r>
      <w:r>
        <w:rPr>
          <w:rFonts w:hint="eastAsia"/>
        </w:rPr>
        <w:t>体规划编制工作（初稿）》和《南雄市</w:t>
      </w:r>
      <w:r>
        <w:t>2013年度地</w:t>
      </w:r>
      <w:r>
        <w:rPr>
          <w:rFonts w:hint="eastAsia"/>
        </w:rPr>
        <w:t>质灾害防治方案》，向上级部门争取到澜河镇杉木岭泥石流治理资金</w:t>
      </w:r>
      <w:r>
        <w:t>70万元。开展地质灾害危险区</w:t>
      </w:r>
      <w:r>
        <w:rPr>
          <w:rFonts w:hint="eastAsia"/>
          <w:lang w:eastAsia="zh-CN"/>
        </w:rPr>
        <w:t>、</w:t>
      </w:r>
      <w:r>
        <w:rPr>
          <w:rFonts w:hint="eastAsia"/>
        </w:rPr>
        <w:t>隐患点的巡</w:t>
      </w:r>
      <w:r>
        <w:rPr>
          <w:rFonts w:hint="eastAsia"/>
          <w:lang w:eastAsia="zh-CN"/>
        </w:rPr>
        <w:t>查</w:t>
      </w:r>
      <w:r>
        <w:rPr>
          <w:rFonts w:hint="eastAsia"/>
        </w:rPr>
        <w:t>，日常巡</w:t>
      </w:r>
      <w:r>
        <w:rPr>
          <w:rFonts w:hint="eastAsia"/>
          <w:lang w:eastAsia="zh-CN"/>
        </w:rPr>
        <w:t>查</w:t>
      </w:r>
      <w:r>
        <w:t>30人次，开展汛期巡</w:t>
      </w:r>
      <w:r>
        <w:rPr>
          <w:rFonts w:hint="eastAsia"/>
          <w:lang w:eastAsia="zh-CN"/>
        </w:rPr>
        <w:t>查</w:t>
      </w:r>
      <w:r>
        <w:rPr>
          <w:rFonts w:hint="eastAsia"/>
        </w:rPr>
        <w:t>和应急调</w:t>
      </w:r>
      <w:r>
        <w:rPr>
          <w:rFonts w:hint="eastAsia"/>
          <w:lang w:eastAsia="zh-CN"/>
        </w:rPr>
        <w:t>查</w:t>
      </w:r>
      <w:r>
        <w:t>35人次，发放地质灾害防灾工作明白</w:t>
      </w:r>
      <w:r>
        <w:rPr>
          <w:rFonts w:hint="eastAsia"/>
        </w:rPr>
        <w:t>卡</w:t>
      </w:r>
      <w:r>
        <w:t>36份、避险明白卡48份，告知书28份，竖立警</w:t>
      </w:r>
      <w:r>
        <w:rPr>
          <w:rFonts w:hint="eastAsia"/>
        </w:rPr>
        <w:t>示牌</w:t>
      </w:r>
      <w:r>
        <w:t>20块</w:t>
      </w:r>
      <w:r>
        <w:rPr>
          <w:rFonts w:hint="eastAsia"/>
          <w:lang w:eastAsia="zh-CN"/>
        </w:rPr>
        <w:t>。</w:t>
      </w:r>
    </w:p>
    <w:p w14:paraId="435785B0">
      <w:pPr>
        <w:jc w:val="right"/>
        <w:rPr>
          <w:rFonts w:hint="eastAsia"/>
          <w:b/>
          <w:bCs/>
        </w:rPr>
      </w:pPr>
      <w:r>
        <w:rPr>
          <w:rFonts w:hint="eastAsia"/>
          <w:b/>
          <w:bCs/>
        </w:rPr>
        <w:t>（郑志明）</w:t>
      </w:r>
    </w:p>
    <w:p w14:paraId="1CAD7D4A">
      <w:pPr>
        <w:pStyle w:val="10"/>
        <w:bidi w:val="0"/>
        <w:rPr>
          <w:b/>
          <w:bCs/>
        </w:rPr>
      </w:pPr>
      <w:r>
        <w:rPr>
          <w:rFonts w:hint="eastAsia"/>
          <w:b/>
          <w:bCs/>
        </w:rPr>
        <w:t>附：</w:t>
      </w:r>
      <w:r>
        <w:rPr>
          <w:b/>
          <w:bCs/>
        </w:rPr>
        <w:t>2013年市国土资源局领导班子成员名单</w:t>
      </w:r>
    </w:p>
    <w:p w14:paraId="66B248D7">
      <w:pPr>
        <w:pStyle w:val="10"/>
        <w:bidi w:val="0"/>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张政平</w:t>
      </w:r>
    </w:p>
    <w:p w14:paraId="06C8C145">
      <w:pPr>
        <w:pStyle w:val="10"/>
        <w:bidi w:val="0"/>
      </w:pPr>
      <w:r>
        <w:rPr>
          <w:rFonts w:hint="eastAsia"/>
          <w:b/>
          <w:bCs/>
        </w:rPr>
        <w:t>副</w:t>
      </w:r>
      <w:r>
        <w:rPr>
          <w:rFonts w:hint="eastAsia"/>
          <w:b/>
          <w:bCs/>
          <w:lang w:val="en-US" w:eastAsia="zh-CN"/>
        </w:rPr>
        <w:t xml:space="preserve"> </w:t>
      </w:r>
      <w:r>
        <w:rPr>
          <w:rFonts w:hint="eastAsia"/>
          <w:b/>
          <w:bCs/>
        </w:rPr>
        <w:t>局</w:t>
      </w:r>
      <w:r>
        <w:rPr>
          <w:rFonts w:hint="eastAsia"/>
          <w:b/>
          <w:bCs/>
          <w:lang w:val="en-US" w:eastAsia="zh-CN"/>
        </w:rPr>
        <w:t xml:space="preserve"> </w:t>
      </w:r>
      <w:r>
        <w:rPr>
          <w:rFonts w:hint="eastAsia"/>
          <w:b/>
          <w:bCs/>
        </w:rPr>
        <w:t>长：</w:t>
      </w:r>
      <w:r>
        <w:rPr>
          <w:rFonts w:hint="eastAsia"/>
        </w:rPr>
        <w:t>叶地状</w:t>
      </w:r>
      <w:r>
        <w:rPr>
          <w:rFonts w:hint="eastAsia"/>
          <w:lang w:val="en-US" w:eastAsia="zh-CN"/>
        </w:rPr>
        <w:t xml:space="preserve">   </w:t>
      </w:r>
      <w:r>
        <w:rPr>
          <w:rFonts w:hint="eastAsia"/>
        </w:rPr>
        <w:t>林有利（任至</w:t>
      </w:r>
      <w:r>
        <w:t>4月）</w:t>
      </w:r>
    </w:p>
    <w:p w14:paraId="3DD9B655">
      <w:pPr>
        <w:pStyle w:val="10"/>
        <w:bidi w:val="0"/>
        <w:ind w:leftChars="500"/>
      </w:pPr>
      <w:r>
        <w:rPr>
          <w:rFonts w:hint="eastAsia"/>
        </w:rPr>
        <w:t>邓文兴（任至</w:t>
      </w:r>
      <w:r>
        <w:t>9月）邓德华</w:t>
      </w:r>
    </w:p>
    <w:p w14:paraId="1CDD1122">
      <w:pPr>
        <w:pStyle w:val="10"/>
        <w:bidi w:val="0"/>
        <w:ind w:leftChars="500"/>
      </w:pPr>
      <w:r>
        <w:rPr>
          <w:rFonts w:hint="eastAsia"/>
        </w:rPr>
        <w:t>谢桂英（</w:t>
      </w:r>
      <w:r>
        <w:t>8月任）</w:t>
      </w:r>
    </w:p>
    <w:p w14:paraId="77E695BC">
      <w:pPr>
        <w:pStyle w:val="10"/>
        <w:bidi w:val="0"/>
        <w:ind w:leftChars="500"/>
      </w:pPr>
      <w:r>
        <w:rPr>
          <w:rFonts w:hint="eastAsia"/>
        </w:rPr>
        <w:t>潘中元（</w:t>
      </w:r>
      <w:r>
        <w:t>8月挂任）</w:t>
      </w:r>
    </w:p>
    <w:p w14:paraId="4CFE427A">
      <w:pPr>
        <w:pStyle w:val="10"/>
        <w:bidi w:val="0"/>
        <w:rPr>
          <w:rFonts w:hint="eastAsia"/>
        </w:rPr>
      </w:pPr>
      <w:r>
        <w:rPr>
          <w:rFonts w:hint="eastAsia"/>
          <w:b/>
          <w:bCs/>
        </w:rPr>
        <w:t>纪检组长：</w:t>
      </w:r>
      <w:r>
        <w:rPr>
          <w:rFonts w:hint="eastAsia"/>
        </w:rPr>
        <w:t>吴启超</w:t>
      </w:r>
    </w:p>
    <w:p w14:paraId="08CAC8AE">
      <w:pPr>
        <w:pStyle w:val="3"/>
        <w:bidi w:val="0"/>
        <w:rPr>
          <w:rFonts w:hint="eastAsia"/>
        </w:rPr>
      </w:pPr>
      <w:r>
        <w:rPr>
          <w:rFonts w:hint="eastAsia"/>
        </w:rPr>
        <w:t>国有资产管理</w:t>
      </w:r>
    </w:p>
    <w:p w14:paraId="619D0623">
      <w:pPr>
        <w:pStyle w:val="4"/>
        <w:bidi w:val="0"/>
        <w:rPr>
          <w:rFonts w:hint="eastAsia"/>
        </w:rPr>
      </w:pPr>
      <w:r>
        <w:rPr>
          <w:rFonts w:hint="eastAsia"/>
        </w:rPr>
        <w:t>【概况】</w:t>
      </w:r>
    </w:p>
    <w:p w14:paraId="719CF725">
      <w:r>
        <w:rPr>
          <w:rFonts w:hint="eastAsia"/>
        </w:rPr>
        <w:t>南雄市国有资产监督管理委员会办公室（简称国资办）成立</w:t>
      </w:r>
      <w:r>
        <w:t>2011年1月，是市人民政府管</w:t>
      </w:r>
      <w:r>
        <w:rPr>
          <w:rFonts w:hint="eastAsia"/>
        </w:rPr>
        <w:t>理的公益一类事业单位，内设产权综合股和考核统评股，核定行政事业编制</w:t>
      </w:r>
      <w:r>
        <w:t>8名。列入国资办监管的</w:t>
      </w:r>
      <w:r>
        <w:rPr>
          <w:rFonts w:hint="eastAsia"/>
        </w:rPr>
        <w:t>企业和有关单位</w:t>
      </w:r>
      <w:r>
        <w:t>19家，其中市国有企业15家，其</w:t>
      </w:r>
      <w:r>
        <w:rPr>
          <w:rFonts w:hint="eastAsia"/>
        </w:rPr>
        <w:t>他经营性国有资产有关单位</w:t>
      </w:r>
      <w:r>
        <w:t>3家，市持股企业1</w:t>
      </w:r>
      <w:r>
        <w:rPr>
          <w:rFonts w:hint="eastAsia"/>
        </w:rPr>
        <w:t>家。</w:t>
      </w:r>
      <w:r>
        <w:t>2013年设立纪检监察组。</w:t>
      </w:r>
    </w:p>
    <w:p w14:paraId="1E92F2AF">
      <w:pPr>
        <w:pStyle w:val="4"/>
        <w:bidi w:val="0"/>
        <w:rPr>
          <w:rFonts w:hint="eastAsia"/>
        </w:rPr>
      </w:pPr>
      <w:r>
        <w:rPr>
          <w:rFonts w:hint="eastAsia"/>
        </w:rPr>
        <w:t>【国有资产监督管理】</w:t>
      </w:r>
    </w:p>
    <w:p w14:paraId="55849FB9">
      <w:r>
        <w:t>1.国有企业产权登记，按</w:t>
      </w:r>
      <w:r>
        <w:rPr>
          <w:rFonts w:hint="eastAsia"/>
        </w:rPr>
        <w:t>照国有产权管理工作的要求，对南雄国有企业产权登记、资产损失核销、产权变动进行严格管理</w:t>
      </w:r>
      <w:r>
        <w:rPr>
          <w:rFonts w:hint="eastAsia"/>
          <w:lang w:eastAsia="zh-CN"/>
        </w:rPr>
        <w:t>。</w:t>
      </w:r>
      <w:r>
        <w:t>2013年办理产权占有登记企业51户，比去年增加5户，南雄市国有企业国有法人资本51018.63万</w:t>
      </w:r>
      <w:r>
        <w:rPr>
          <w:rFonts w:hint="eastAsia"/>
        </w:rPr>
        <w:t>元。</w:t>
      </w:r>
      <w:r>
        <w:t>2.公开招租市行政事业单位经营性资产。由各</w:t>
      </w:r>
      <w:r>
        <w:rPr>
          <w:rFonts w:hint="eastAsia"/>
        </w:rPr>
        <w:t>单位自行提出招租底价，国资办参照市场价值对各单位提出的招租底价进行审核，形成双方共同定价、互相制约的机制。与市纪检部门配合，在公开招租过程中的公告、报名、开标、确认等环节监督，防止不正当竞争，确保资产租赁公平、公正，根据公开招租结果由国资办、产权单位一起与竞得人签订合同。</w:t>
      </w:r>
      <w:r>
        <w:t>2013年举办7次公开招租，规范出租92间门店，年租金增加约102万元。3.公开拍卖</w:t>
      </w:r>
      <w:r>
        <w:rPr>
          <w:rFonts w:hint="eastAsia"/>
        </w:rPr>
        <w:t>处置国有资产。国资办严格按照《南雄市国有资产处置程序》，按权限审批或报市政府审批，组织好评估，委托韶关华逸拍卖公司公开拍卖。</w:t>
      </w:r>
      <w:r>
        <w:t>2013年按</w:t>
      </w:r>
      <w:r>
        <w:rPr>
          <w:rFonts w:hint="eastAsia"/>
        </w:rPr>
        <w:t>处置程序共盘活国有资产</w:t>
      </w:r>
      <w:r>
        <w:t>25起，其中公开拍卖旧</w:t>
      </w:r>
      <w:r>
        <w:rPr>
          <w:rFonts w:hint="eastAsia"/>
        </w:rPr>
        <w:t>公务用车</w:t>
      </w:r>
      <w:r>
        <w:t>9辆，拍卖成交价17.8万元；房产一处，</w:t>
      </w:r>
      <w:r>
        <w:rPr>
          <w:rFonts w:hint="eastAsia"/>
        </w:rPr>
        <w:t>拍卖成交价</w:t>
      </w:r>
      <w:r>
        <w:t>13.4万元；废旧设备一批，拍卖成交</w:t>
      </w:r>
      <w:r>
        <w:rPr>
          <w:rFonts w:hint="eastAsia"/>
        </w:rPr>
        <w:t>价</w:t>
      </w:r>
      <w:r>
        <w:t>19万元。另外还协助有关单位报废8辆到期公</w:t>
      </w:r>
      <w:r>
        <w:rPr>
          <w:rFonts w:hint="eastAsia"/>
        </w:rPr>
        <w:t>务用车，调拨</w:t>
      </w:r>
      <w:r>
        <w:t>5辆公务用车。</w:t>
      </w:r>
    </w:p>
    <w:p w14:paraId="0563923A">
      <w:pPr>
        <w:pStyle w:val="4"/>
        <w:bidi w:val="0"/>
        <w:rPr>
          <w:rFonts w:hint="eastAsia"/>
        </w:rPr>
      </w:pPr>
      <w:r>
        <w:rPr>
          <w:rFonts w:hint="eastAsia"/>
        </w:rPr>
        <w:t>【企业做强做优】</w:t>
      </w:r>
    </w:p>
    <w:p w14:paraId="74AEA792">
      <w:pPr>
        <w:rPr>
          <w:rFonts w:hint="eastAsia"/>
        </w:rPr>
      </w:pPr>
      <w:r>
        <w:rPr>
          <w:rFonts w:hint="eastAsia"/>
        </w:rPr>
        <w:t>协助翠屏公司加大林场旅游资源的开发，以“金秋银杏”为主打品牌，挖掘其他潜力景点，逐步走出单一的季节景点，形成四季皆能来、全年皆能游的“南雄九寨沟”，</w:t>
      </w:r>
      <w:r>
        <w:t>2013年旅游</w:t>
      </w:r>
      <w:r>
        <w:rPr>
          <w:rFonts w:hint="eastAsia"/>
        </w:rPr>
        <w:t>收入达</w:t>
      </w:r>
      <w:r>
        <w:t>140万元。创新融资方式，努力克服资金困</w:t>
      </w:r>
      <w:r>
        <w:rPr>
          <w:rFonts w:hint="eastAsia"/>
        </w:rPr>
        <w:t>难，扎实推进基础设施和公用事业重大项目建设，城投公司</w:t>
      </w:r>
      <w:r>
        <w:t>2013年承接10个工程项目，投资2亿元，</w:t>
      </w:r>
      <w:r>
        <w:rPr>
          <w:rFonts w:hint="eastAsia"/>
        </w:rPr>
        <w:t>完成新城影剧院和南雄市第一小学两大民生工程。浈江电业有限公司通过“竞聘上岗”和“联产计酬承包”的形式，稳固其在水资源发电的优势，</w:t>
      </w:r>
      <w:r>
        <w:t>2013</w:t>
      </w:r>
      <w:r>
        <w:rPr>
          <w:rFonts w:hint="eastAsia"/>
        </w:rPr>
        <w:t>年售电收</w:t>
      </w:r>
      <w:r>
        <w:rPr>
          <w:rFonts w:hint="eastAsia"/>
          <w:lang w:val="en-US" w:eastAsia="zh-CN"/>
        </w:rPr>
        <w:t>入</w:t>
      </w:r>
      <w:r>
        <w:t>2386.52万元。市公共物业经营管理中</w:t>
      </w:r>
      <w:r>
        <w:rPr>
          <w:rFonts w:hint="eastAsia"/>
        </w:rPr>
        <w:t>心改善市场设施，引进竞租方式，确保资产收益创新高。</w:t>
      </w:r>
    </w:p>
    <w:p w14:paraId="6185DEBD">
      <w:pPr>
        <w:pStyle w:val="4"/>
        <w:bidi w:val="0"/>
        <w:rPr>
          <w:rFonts w:hint="eastAsia"/>
        </w:rPr>
      </w:pPr>
      <w:r>
        <w:rPr>
          <w:rFonts w:hint="eastAsia"/>
        </w:rPr>
        <w:t>【市政道路路灯节能改造工程招标】</w:t>
      </w:r>
    </w:p>
    <w:p w14:paraId="0D8B4333">
      <w:r>
        <w:rPr>
          <w:rFonts w:hint="eastAsia"/>
        </w:rPr>
        <w:t>加快实施“绿色照明示范城市”专项行动计划，大力发展</w:t>
      </w:r>
      <w:r>
        <w:rPr>
          <w:rFonts w:hint="eastAsia"/>
          <w:lang w:val="en-US" w:eastAsia="zh-CN"/>
        </w:rPr>
        <w:t>L</w:t>
      </w:r>
      <w:r>
        <w:t>ED产业，扎实推动节能减排工作，国资办对参与</w:t>
      </w:r>
      <w:r>
        <w:rPr>
          <w:rFonts w:hint="eastAsia"/>
        </w:rPr>
        <w:t>南雄市</w:t>
      </w:r>
      <w:r>
        <w:t>LED路灯节能改造项目招标代理公司进行招</w:t>
      </w:r>
      <w:r>
        <w:rPr>
          <w:rFonts w:hint="eastAsia"/>
        </w:rPr>
        <w:t>标，最终由韶关市建韶工程造价咨询有限公司获得此次节能改造项目招标代理。南雄市路灯节能改造完成后，预计每年可节省财政支出</w:t>
      </w:r>
      <w:r>
        <w:t>250万元。</w:t>
      </w:r>
    </w:p>
    <w:p w14:paraId="6F9BF868">
      <w:pPr>
        <w:pStyle w:val="4"/>
        <w:bidi w:val="0"/>
        <w:rPr>
          <w:rFonts w:hint="eastAsia"/>
        </w:rPr>
      </w:pPr>
      <w:r>
        <w:rPr>
          <w:rFonts w:hint="eastAsia"/>
        </w:rPr>
        <w:t>【举办“中国梦”书画大赛】</w:t>
      </w:r>
    </w:p>
    <w:p w14:paraId="42F5C640">
      <w:pPr>
        <w:rPr>
          <w:rFonts w:hint="eastAsia"/>
        </w:rPr>
      </w:pPr>
      <w:r>
        <w:rPr>
          <w:rFonts w:hint="eastAsia"/>
        </w:rPr>
        <w:t>与市文联、珠玑书画院共同举办深入贯彻党的十八大关于推进文化事业大发展大繁荣的精神，实现伟大的“中国梦”的书画大赛。收到</w:t>
      </w:r>
      <w:r>
        <w:t>148幅参赛作品，现场评选出30</w:t>
      </w:r>
      <w:r>
        <w:rPr>
          <w:rFonts w:hint="eastAsia"/>
        </w:rPr>
        <w:t>幅获奖作品。</w:t>
      </w:r>
    </w:p>
    <w:p w14:paraId="2E6018B7">
      <w:pPr>
        <w:pStyle w:val="4"/>
        <w:bidi w:val="0"/>
        <w:rPr>
          <w:rFonts w:hint="eastAsia"/>
        </w:rPr>
      </w:pPr>
      <w:r>
        <w:rPr>
          <w:rFonts w:hint="eastAsia"/>
        </w:rPr>
        <w:t>【成立国资办党总支委员会】</w:t>
      </w:r>
    </w:p>
    <w:p w14:paraId="04138AAE">
      <w:pPr>
        <w:rPr>
          <w:rFonts w:hint="eastAsia"/>
        </w:rPr>
      </w:pPr>
      <w:r>
        <w:t>2013年5月29日召</w:t>
      </w:r>
      <w:r>
        <w:rPr>
          <w:rFonts w:hint="eastAsia"/>
        </w:rPr>
        <w:t>开国资办监管企业党员大会，成立南雄市国资办党总支部委员会。国资办党建工作掀开新的一页，加快国资监管工作全面发展的步伐，国有企业改革发展有了更为坚强的组织保障。</w:t>
      </w:r>
    </w:p>
    <w:p w14:paraId="514116C9">
      <w:pPr>
        <w:pStyle w:val="4"/>
        <w:bidi w:val="0"/>
        <w:rPr>
          <w:rFonts w:hint="eastAsia"/>
        </w:rPr>
      </w:pPr>
      <w:r>
        <w:rPr>
          <w:rFonts w:hint="eastAsia"/>
        </w:rPr>
        <w:t>【企业转制工作】</w:t>
      </w:r>
    </w:p>
    <w:p w14:paraId="3372E201">
      <w:pPr>
        <w:rPr>
          <w:rFonts w:hint="eastAsia"/>
        </w:rPr>
      </w:pPr>
      <w:r>
        <w:t>2013年完成市丝绸公司和市外</w:t>
      </w:r>
      <w:r>
        <w:rPr>
          <w:rFonts w:hint="eastAsia"/>
        </w:rPr>
        <w:t>贸总公司的转制工作，企业职工得到妥善安置，国有资产得到保护，未引发新的信访问题。</w:t>
      </w:r>
    </w:p>
    <w:p w14:paraId="51C98FB7">
      <w:pPr>
        <w:pStyle w:val="4"/>
        <w:bidi w:val="0"/>
        <w:rPr>
          <w:rFonts w:hint="eastAsia"/>
        </w:rPr>
      </w:pPr>
      <w:r>
        <w:rPr>
          <w:rFonts w:hint="eastAsia"/>
        </w:rPr>
        <w:t>【国有资产监管范围扩大】</w:t>
      </w:r>
    </w:p>
    <w:p w14:paraId="12FE3FA3">
      <w:pPr>
        <w:rPr>
          <w:rFonts w:hint="eastAsia"/>
        </w:rPr>
      </w:pPr>
      <w:r>
        <w:rPr>
          <w:rFonts w:hint="eastAsia"/>
        </w:rPr>
        <w:t>按照“大国资”的要求，在竭力推进经营性国有资产监管全覆盖的同时，监管触角不断向乡镇延伸，对乡镇闲置土地进行一次清</w:t>
      </w:r>
      <w:r>
        <w:rPr>
          <w:rFonts w:hint="eastAsia"/>
          <w:lang w:eastAsia="zh-CN"/>
        </w:rPr>
        <w:t>查</w:t>
      </w:r>
      <w:r>
        <w:rPr>
          <w:rFonts w:hint="eastAsia"/>
        </w:rPr>
        <w:t>，起草《闲置土地等资产处置和收入分配办法（试行）》，加强乡镇闲置土地的集中统</w:t>
      </w:r>
      <w:r>
        <w:rPr>
          <w:rFonts w:hint="eastAsia"/>
          <w:lang w:val="en-US" w:eastAsia="zh-CN"/>
        </w:rPr>
        <w:t>一</w:t>
      </w:r>
      <w:r>
        <w:rPr>
          <w:rFonts w:hint="eastAsia"/>
        </w:rPr>
        <w:t>管理。</w:t>
      </w:r>
    </w:p>
    <w:p w14:paraId="604426C4">
      <w:pPr>
        <w:pStyle w:val="4"/>
        <w:bidi w:val="0"/>
        <w:rPr>
          <w:rFonts w:hint="eastAsia"/>
        </w:rPr>
      </w:pPr>
      <w:r>
        <w:rPr>
          <w:rFonts w:hint="eastAsia"/>
        </w:rPr>
        <w:t>【人才队伍梯队建设】</w:t>
      </w:r>
    </w:p>
    <w:p w14:paraId="4ECFC9CF">
      <w:pPr>
        <w:rPr>
          <w:rFonts w:hint="eastAsia"/>
        </w:rPr>
      </w:pPr>
      <w:r>
        <w:rPr>
          <w:rFonts w:hint="eastAsia"/>
        </w:rPr>
        <w:t>国资办建立灵活的引才机制和科学的选人导向，重视人才队伍梯队建设，突出人才培训培养。</w:t>
      </w:r>
      <w:r>
        <w:t>2013年，城投公司从各单位选拔</w:t>
      </w:r>
      <w:r>
        <w:rPr>
          <w:rFonts w:hint="eastAsia"/>
        </w:rPr>
        <w:t>引进</w:t>
      </w:r>
      <w:r>
        <w:t>5位青年专业技术人才，充实企业力量，着力</w:t>
      </w:r>
      <w:r>
        <w:rPr>
          <w:rFonts w:hint="eastAsia"/>
        </w:rPr>
        <w:t>打造一支合格优秀的国企人才队伍，</w:t>
      </w:r>
    </w:p>
    <w:p w14:paraId="246D1199">
      <w:pPr>
        <w:pStyle w:val="4"/>
        <w:bidi w:val="0"/>
        <w:rPr>
          <w:rFonts w:hint="eastAsia"/>
        </w:rPr>
      </w:pPr>
      <w:r>
        <w:rPr>
          <w:rFonts w:hint="eastAsia"/>
        </w:rPr>
        <w:t>【解决转制企业遗留问题】</w:t>
      </w:r>
    </w:p>
    <w:p w14:paraId="4516E93A">
      <w:pPr>
        <w:rPr>
          <w:rFonts w:hint="eastAsia"/>
        </w:rPr>
      </w:pPr>
      <w:r>
        <w:rPr>
          <w:rFonts w:hint="eastAsia"/>
        </w:rPr>
        <w:t>指导帮助转制企业采取多种措施加大职工安置政策的宣传力度，协调争取有关部门的支持，积极筹集资金，依法解决妥善处理转制企业职工社保医保难题，维护稳定大局。相继解决重大历史遗留难题，解决积压</w:t>
      </w:r>
      <w:r>
        <w:t>20多年二</w:t>
      </w:r>
      <w:r>
        <w:rPr>
          <w:rFonts w:hint="eastAsia"/>
        </w:rPr>
        <w:t>轻幼儿园建筑工程款问题和原水泥厂工人集资款退还难题，补交市丝绸公司拖欠</w:t>
      </w:r>
      <w:r>
        <w:t>17年的社保，使丝</w:t>
      </w:r>
      <w:r>
        <w:rPr>
          <w:rFonts w:hint="eastAsia"/>
        </w:rPr>
        <w:t>绸公司职工得到很好的安置。</w:t>
      </w:r>
    </w:p>
    <w:p w14:paraId="0050E89B">
      <w:pPr>
        <w:jc w:val="right"/>
        <w:rPr>
          <w:rFonts w:hint="eastAsia"/>
          <w:b/>
          <w:bCs/>
        </w:rPr>
      </w:pPr>
      <w:r>
        <w:rPr>
          <w:rFonts w:hint="eastAsia"/>
          <w:b/>
          <w:bCs/>
          <w:lang w:eastAsia="zh-CN"/>
        </w:rPr>
        <w:t>（</w:t>
      </w:r>
      <w:r>
        <w:rPr>
          <w:rFonts w:hint="eastAsia"/>
          <w:b/>
          <w:bCs/>
        </w:rPr>
        <w:t>王</w:t>
      </w:r>
      <w:r>
        <w:rPr>
          <w:rFonts w:hint="eastAsia"/>
          <w:b/>
          <w:bCs/>
          <w:lang w:val="en-US" w:eastAsia="zh-CN"/>
        </w:rPr>
        <w:t xml:space="preserve">  </w:t>
      </w:r>
      <w:r>
        <w:rPr>
          <w:rFonts w:hint="eastAsia"/>
          <w:b/>
          <w:bCs/>
        </w:rPr>
        <w:t>勇）</w:t>
      </w:r>
    </w:p>
    <w:p w14:paraId="797672CD">
      <w:pPr>
        <w:pStyle w:val="10"/>
        <w:bidi w:val="0"/>
        <w:rPr>
          <w:b/>
          <w:bCs/>
        </w:rPr>
      </w:pPr>
      <w:r>
        <w:rPr>
          <w:rFonts w:hint="eastAsia"/>
          <w:b/>
          <w:bCs/>
        </w:rPr>
        <w:t>附：</w:t>
      </w:r>
      <w:r>
        <w:rPr>
          <w:b/>
          <w:bCs/>
        </w:rPr>
        <w:t>2013年市国资办领导班子成员名单</w:t>
      </w:r>
    </w:p>
    <w:p w14:paraId="39A9FB07">
      <w:pPr>
        <w:pStyle w:val="10"/>
        <w:bidi w:val="0"/>
        <w:rPr>
          <w:rFonts w:hint="eastAsia"/>
        </w:rPr>
      </w:pPr>
      <w:r>
        <w:rPr>
          <w:rFonts w:hint="eastAsia"/>
          <w:b/>
          <w:bCs/>
        </w:rPr>
        <w:t>主</w:t>
      </w:r>
      <w:r>
        <w:rPr>
          <w:rFonts w:hint="eastAsia"/>
          <w:b/>
          <w:bCs/>
          <w:lang w:val="en-US" w:eastAsia="zh-CN"/>
        </w:rPr>
        <w:t xml:space="preserve">  </w:t>
      </w:r>
      <w:r>
        <w:rPr>
          <w:rFonts w:hint="eastAsia"/>
          <w:b/>
          <w:bCs/>
        </w:rPr>
        <w:t>任：</w:t>
      </w:r>
      <w:r>
        <w:rPr>
          <w:rFonts w:hint="eastAsia"/>
        </w:rPr>
        <w:t>陈健生</w:t>
      </w:r>
    </w:p>
    <w:p w14:paraId="22B6BC33">
      <w:pPr>
        <w:pStyle w:val="10"/>
        <w:bidi w:val="0"/>
        <w:rPr>
          <w:rFonts w:hint="eastAsia"/>
          <w:lang w:val="en-US" w:eastAsia="zh-CN"/>
        </w:rPr>
      </w:pPr>
      <w:r>
        <w:rPr>
          <w:rFonts w:hint="eastAsia"/>
          <w:b/>
          <w:bCs/>
        </w:rPr>
        <w:t>副主任：</w:t>
      </w:r>
      <w:r>
        <w:rPr>
          <w:rFonts w:hint="eastAsia"/>
        </w:rPr>
        <w:t>沈迪</w:t>
      </w:r>
      <w:r>
        <w:rPr>
          <w:rFonts w:hint="eastAsia"/>
          <w:lang w:val="en-US" w:eastAsia="zh-CN"/>
        </w:rPr>
        <w:t>彧</w:t>
      </w:r>
    </w:p>
    <w:p w14:paraId="34AB925B">
      <w:pPr>
        <w:pStyle w:val="3"/>
        <w:bidi w:val="0"/>
        <w:rPr>
          <w:rFonts w:hint="eastAsia"/>
          <w:lang w:val="en-US" w:eastAsia="zh-CN"/>
        </w:rPr>
      </w:pPr>
      <w:r>
        <w:rPr>
          <w:rFonts w:hint="eastAsia"/>
        </w:rPr>
        <w:t>食品药品监督管理</w:t>
      </w:r>
    </w:p>
    <w:p w14:paraId="5DBE8E64">
      <w:pPr>
        <w:pStyle w:val="4"/>
        <w:bidi w:val="0"/>
        <w:rPr>
          <w:rFonts w:hint="eastAsia"/>
        </w:rPr>
      </w:pPr>
      <w:r>
        <w:rPr>
          <w:rFonts w:hint="eastAsia"/>
        </w:rPr>
        <w:t>【概况】</w:t>
      </w:r>
    </w:p>
    <w:p w14:paraId="66AD80CA">
      <w:pPr>
        <w:rPr>
          <w:rFonts w:hint="eastAsia"/>
        </w:rPr>
      </w:pPr>
      <w:r>
        <w:rPr>
          <w:rFonts w:hint="eastAsia"/>
        </w:rPr>
        <w:t>南雄市食品药品监督管理局，是市人民政府工作部门，负责南雄市药品、保健食品、化妆品、医疗器械、餐饮食品安全监管工作。内设办公室、食品安全监管股、保健食品化妆品监管股、药品医疗器械监管股、食品药品质量快筛快检室、稽</w:t>
      </w:r>
      <w:r>
        <w:rPr>
          <w:rFonts w:hint="eastAsia"/>
          <w:lang w:eastAsia="zh-CN"/>
        </w:rPr>
        <w:t>查</w:t>
      </w:r>
      <w:r>
        <w:rPr>
          <w:rFonts w:hint="eastAsia"/>
        </w:rPr>
        <w:t>股（加挂稽</w:t>
      </w:r>
      <w:r>
        <w:rPr>
          <w:rFonts w:hint="eastAsia"/>
          <w:lang w:eastAsia="zh-CN"/>
        </w:rPr>
        <w:t>查</w:t>
      </w:r>
      <w:r>
        <w:rPr>
          <w:rFonts w:hint="eastAsia"/>
        </w:rPr>
        <w:t>分局牌子）、南雄市食品药品监督管理局乌迳工作站。</w:t>
      </w:r>
      <w:r>
        <w:t>2013年底行政编制23名、在</w:t>
      </w:r>
      <w:r>
        <w:rPr>
          <w:rFonts w:hint="eastAsia"/>
        </w:rPr>
        <w:t>岗</w:t>
      </w:r>
      <w:r>
        <w:t>20人。按照上级部署，开展打击制售假劣食品</w:t>
      </w:r>
      <w:r>
        <w:rPr>
          <w:rFonts w:hint="eastAsia"/>
        </w:rPr>
        <w:t>药品违法犯罪行为，以优化食品药品市场环境为目标的药品“两打两建”和食品整治专项行动，取得明显成效。</w:t>
      </w:r>
    </w:p>
    <w:p w14:paraId="080805F2">
      <w:pPr>
        <w:pStyle w:val="4"/>
        <w:bidi w:val="0"/>
        <w:rPr>
          <w:rFonts w:hint="eastAsia"/>
        </w:rPr>
      </w:pPr>
      <w:r>
        <w:rPr>
          <w:rFonts w:hint="eastAsia"/>
        </w:rPr>
        <w:t>【食品药品安全监管】</w:t>
      </w:r>
    </w:p>
    <w:p w14:paraId="1BB069B2">
      <w:pPr>
        <w:rPr>
          <w:rFonts w:hint="eastAsia"/>
        </w:rPr>
      </w:pPr>
      <w:r>
        <w:t>2013年开展一系列专项整</w:t>
      </w:r>
      <w:r>
        <w:rPr>
          <w:rFonts w:hint="eastAsia"/>
          <w:lang w:val="en-US" w:eastAsia="zh-CN"/>
        </w:rPr>
        <w:t>治</w:t>
      </w:r>
      <w:r>
        <w:rPr>
          <w:rFonts w:hint="eastAsia"/>
        </w:rPr>
        <w:t>行动。</w:t>
      </w:r>
      <w:r>
        <w:t>1月29日起，在全市范围内开展为期一周</w:t>
      </w:r>
      <w:r>
        <w:rPr>
          <w:rFonts w:hint="eastAsia"/>
        </w:rPr>
        <w:t>的“春节打假保健康”食品药品专项检</w:t>
      </w:r>
      <w:r>
        <w:rPr>
          <w:rFonts w:hint="eastAsia"/>
          <w:lang w:eastAsia="zh-CN"/>
        </w:rPr>
        <w:t>查</w:t>
      </w:r>
      <w:r>
        <w:rPr>
          <w:rFonts w:hint="eastAsia"/>
        </w:rPr>
        <w:t>；</w:t>
      </w:r>
      <w:r>
        <w:t>4月19</w:t>
      </w:r>
      <w:r>
        <w:rPr>
          <w:rFonts w:hint="eastAsia"/>
        </w:rPr>
        <w:t>日，联合公安局对全市药店和成人用品店开展打击销售假药违法犯罪专项行动，</w:t>
      </w:r>
      <w:r>
        <w:rPr>
          <w:rFonts w:hint="eastAsia"/>
          <w:lang w:eastAsia="zh-CN"/>
        </w:rPr>
        <w:t>查</w:t>
      </w:r>
      <w:r>
        <w:rPr>
          <w:rFonts w:hint="eastAsia"/>
        </w:rPr>
        <w:t>处可涉嫌经营销售假药的店铺</w:t>
      </w:r>
      <w:r>
        <w:t>1家，当场缴获假冒万艾可枸椽酸西地</w:t>
      </w:r>
      <w:r>
        <w:rPr>
          <w:rFonts w:hint="eastAsia"/>
        </w:rPr>
        <w:t>那非片（伟哥）多种涉嫌非药品冒充药品的假药</w:t>
      </w:r>
      <w:r>
        <w:rPr>
          <w:rFonts w:hint="eastAsia"/>
          <w:lang w:eastAsia="zh-CN"/>
        </w:rPr>
        <w:t>、</w:t>
      </w:r>
      <w:r>
        <w:rPr>
          <w:rFonts w:hint="eastAsia"/>
        </w:rPr>
        <w:t>假保健食品和“三无”药品一批；</w:t>
      </w:r>
      <w:r>
        <w:t>5月份，联合城</w:t>
      </w:r>
      <w:r>
        <w:rPr>
          <w:rFonts w:hint="eastAsia"/>
        </w:rPr>
        <w:t>管局、工商局、公安局，各部门紧密配合对南雄城区繁荣市场、新城市场、八一市场周边的餐饮业进行为期</w:t>
      </w:r>
      <w:r>
        <w:t>10天的专项整治行动；6月份，全面启动打</w:t>
      </w:r>
      <w:r>
        <w:rPr>
          <w:rFonts w:hint="eastAsia"/>
        </w:rPr>
        <w:t>击保健食品“四非”（非法生产、非法经营、非法添加和非法宣传）专项行动；</w:t>
      </w:r>
      <w:r>
        <w:t>7月18日下午，集中</w:t>
      </w:r>
      <w:r>
        <w:rPr>
          <w:rFonts w:hint="eastAsia"/>
        </w:rPr>
        <w:t>力量对辖区内中药饮片经营使用单位展开全覆盖地毯式排</w:t>
      </w:r>
      <w:r>
        <w:rPr>
          <w:rFonts w:hint="eastAsia"/>
          <w:lang w:eastAsia="zh-CN"/>
        </w:rPr>
        <w:t>查</w:t>
      </w:r>
      <w:r>
        <w:rPr>
          <w:rFonts w:hint="eastAsia"/>
        </w:rPr>
        <w:t>，经排</w:t>
      </w:r>
      <w:r>
        <w:rPr>
          <w:rFonts w:hint="eastAsia"/>
          <w:lang w:eastAsia="zh-CN"/>
        </w:rPr>
        <w:t>查</w:t>
      </w:r>
      <w:r>
        <w:rPr>
          <w:rFonts w:hint="eastAsia"/>
        </w:rPr>
        <w:t>发现一家无证经营中药饮片草药店，现场</w:t>
      </w:r>
      <w:r>
        <w:rPr>
          <w:rFonts w:hint="eastAsia"/>
          <w:lang w:eastAsia="zh-CN"/>
        </w:rPr>
        <w:t>查</w:t>
      </w:r>
      <w:r>
        <w:rPr>
          <w:rFonts w:hint="eastAsia"/>
        </w:rPr>
        <w:t>获中药饮片</w:t>
      </w:r>
      <w:r>
        <w:t>68个品种；8月份，对辖区</w:t>
      </w:r>
      <w:r>
        <w:rPr>
          <w:rFonts w:hint="eastAsia"/>
        </w:rPr>
        <w:t>内的大型宾馆、酒家及中型餐馆进行“地毯式”专项监督检</w:t>
      </w:r>
      <w:r>
        <w:rPr>
          <w:rFonts w:hint="eastAsia"/>
          <w:lang w:eastAsia="zh-CN"/>
        </w:rPr>
        <w:t>查</w:t>
      </w:r>
      <w:r>
        <w:rPr>
          <w:rFonts w:hint="eastAsia"/>
        </w:rPr>
        <w:t>；</w:t>
      </w:r>
      <w:r>
        <w:t>8月全面启动南雄市药品“两打两</w:t>
      </w:r>
      <w:r>
        <w:rPr>
          <w:rFonts w:hint="eastAsia"/>
        </w:rPr>
        <w:t>建”专项行动；</w:t>
      </w:r>
      <w:r>
        <w:t>9月9日至9月13日，联合南雄市</w:t>
      </w:r>
      <w:r>
        <w:rPr>
          <w:rFonts w:hint="eastAsia"/>
        </w:rPr>
        <w:t>教育局、乳源卫生局及教育局开展对南雄市范围内的学校、托幼机构食堂食品安全进行交叉检</w:t>
      </w:r>
      <w:r>
        <w:rPr>
          <w:rFonts w:hint="eastAsia"/>
          <w:lang w:eastAsia="zh-CN"/>
        </w:rPr>
        <w:t>查</w:t>
      </w:r>
      <w:r>
        <w:rPr>
          <w:rFonts w:hint="eastAsia"/>
        </w:rPr>
        <w:t>。</w:t>
      </w:r>
    </w:p>
    <w:p w14:paraId="247F359B">
      <w:r>
        <w:t>2013年出动执法5418人次，检</w:t>
      </w:r>
      <w:r>
        <w:rPr>
          <w:rFonts w:hint="eastAsia"/>
          <w:lang w:eastAsia="zh-CN"/>
        </w:rPr>
        <w:t>查</w:t>
      </w:r>
      <w:r>
        <w:t>1357家次，</w:t>
      </w:r>
      <w:r>
        <w:rPr>
          <w:rFonts w:hint="eastAsia"/>
        </w:rPr>
        <w:t>“四品一械”立案</w:t>
      </w:r>
      <w:r>
        <w:t>64宗，办结64宗，其中药品案</w:t>
      </w:r>
      <w:r>
        <w:rPr>
          <w:rFonts w:hint="eastAsia"/>
        </w:rPr>
        <w:t>件</w:t>
      </w:r>
      <w:r>
        <w:t>30宗、化妆品1宗、保健食品1宗，餐饮服务食</w:t>
      </w:r>
      <w:r>
        <w:rPr>
          <w:rFonts w:hint="eastAsia"/>
        </w:rPr>
        <w:t>品</w:t>
      </w:r>
      <w:r>
        <w:t>32宗，移送司法机关3宗，罚没款248614.66</w:t>
      </w:r>
      <w:r>
        <w:rPr>
          <w:rFonts w:hint="eastAsia"/>
        </w:rPr>
        <w:t>元，有力打击食品药品安全领域违法犯罪行为。对</w:t>
      </w:r>
      <w:r>
        <w:t>213批次药品进行快筛快检，完成药品评价抽样35</w:t>
      </w:r>
      <w:r>
        <w:rPr>
          <w:rFonts w:hint="eastAsia"/>
        </w:rPr>
        <w:t>批次，药品监督抽样</w:t>
      </w:r>
      <w:r>
        <w:t>75批次，保健食品监督抽样2</w:t>
      </w:r>
      <w:r>
        <w:rPr>
          <w:rFonts w:hint="eastAsia"/>
        </w:rPr>
        <w:t>批次，化妆品监督抽样</w:t>
      </w:r>
      <w:r>
        <w:t>3批次，化妆品评价抽样5</w:t>
      </w:r>
      <w:r>
        <w:rPr>
          <w:rFonts w:hint="eastAsia"/>
        </w:rPr>
        <w:t>批次，食用油和餐饮具抽样各完成</w:t>
      </w:r>
      <w:r>
        <w:t>25批，抽样任</w:t>
      </w:r>
      <w:r>
        <w:rPr>
          <w:rFonts w:hint="eastAsia"/>
        </w:rPr>
        <w:t>务完成年度任务的</w:t>
      </w:r>
      <w:r>
        <w:t>100%。</w:t>
      </w:r>
    </w:p>
    <w:p w14:paraId="4AFAAF86">
      <w:pPr>
        <w:pStyle w:val="4"/>
        <w:bidi w:val="0"/>
        <w:rPr>
          <w:rFonts w:hint="eastAsia"/>
        </w:rPr>
      </w:pPr>
      <w:r>
        <w:rPr>
          <w:rFonts w:hint="eastAsia"/>
        </w:rPr>
        <w:t>【完善镇级监管站设施，全面落实食品药品安全</w:t>
      </w:r>
      <w:r>
        <w:rPr>
          <w:rFonts w:hint="eastAsia"/>
          <w:lang w:val="en-US" w:eastAsia="zh-CN"/>
        </w:rPr>
        <w:t>责</w:t>
      </w:r>
      <w:r>
        <w:rPr>
          <w:rFonts w:hint="eastAsia"/>
        </w:rPr>
        <w:t>任】</w:t>
      </w:r>
    </w:p>
    <w:p w14:paraId="23A1B2B7">
      <w:pPr>
        <w:rPr>
          <w:rFonts w:hint="eastAsia"/>
        </w:rPr>
      </w:pPr>
      <w:r>
        <w:t>18个镇（街道）成立食品药品安全监督管</w:t>
      </w:r>
      <w:r>
        <w:rPr>
          <w:rFonts w:hint="eastAsia"/>
        </w:rPr>
        <w:t>理站，镇设有监管员，村（居）委会有信息员，初步构建市、镇、村三级监管网络，形成以市食品药品监督管理队伍为主，乡镇监管员、</w:t>
      </w:r>
      <w:r>
        <w:rPr>
          <w:rFonts w:hint="eastAsia"/>
          <w:lang w:val="en-US" w:eastAsia="zh-CN"/>
        </w:rPr>
        <w:t>卫</w:t>
      </w:r>
      <w:r>
        <w:rPr>
          <w:rFonts w:hint="eastAsia"/>
        </w:rPr>
        <w:t>生院药品协管员、村级信息员为辅的食品药品安全监管责任网。为加强全市食品药品安全监督管理建设，在给各食品药品安全监管站配发数码相机、档案柜办公设施设备的基础上，再次对镇（街道）食品药品安全监管站电脑设备发放电脑</w:t>
      </w:r>
      <w:r>
        <w:t>18套，进一步提升食</w:t>
      </w:r>
      <w:r>
        <w:rPr>
          <w:rFonts w:hint="eastAsia"/>
        </w:rPr>
        <w:t>品药品监管站工作能力。</w:t>
      </w:r>
    </w:p>
    <w:p w14:paraId="5D8AEC99">
      <w:pPr>
        <w:pStyle w:val="4"/>
        <w:bidi w:val="0"/>
        <w:rPr>
          <w:rFonts w:hint="eastAsia"/>
        </w:rPr>
      </w:pPr>
      <w:r>
        <w:rPr>
          <w:rFonts w:hint="eastAsia"/>
        </w:rPr>
        <w:t>【创新监管方式，多方面履行监管职责】</w:t>
      </w:r>
    </w:p>
    <w:p w14:paraId="31291FF7">
      <w:r>
        <w:t>1.加大</w:t>
      </w:r>
      <w:r>
        <w:rPr>
          <w:rFonts w:hint="eastAsia"/>
        </w:rPr>
        <w:t>培训力度，全面提高食品药品从业人员综合业务水平和诚信经营水平。一是举办食品安全初级管理员培训班</w:t>
      </w:r>
      <w:r>
        <w:t>2期、初级药学技术人员继续教育培训班和GSP质量管理员继续教育2期，计353人参加培训。</w:t>
      </w:r>
      <w:r>
        <w:rPr>
          <w:rFonts w:hint="eastAsia"/>
          <w:lang w:val="en-US" w:eastAsia="zh-CN"/>
        </w:rPr>
        <w:t>二</w:t>
      </w:r>
      <w:r>
        <w:rPr>
          <w:rFonts w:hint="eastAsia"/>
        </w:rPr>
        <w:t>是开展〈食品安全法〉宣传周系列宣传活动。在南雄市新城王锦辉中学举办食品安全知识专题讲座，为该校</w:t>
      </w:r>
      <w:r>
        <w:t>200多名师生现场讲授〈食品安全法〉</w:t>
      </w:r>
      <w:r>
        <w:rPr>
          <w:rFonts w:hint="eastAsia"/>
        </w:rPr>
        <w:t>相关主要内容和如何预防食物中毒的知识。三是要求各大型餐饮服务单位和药品经营企业制作宣传横幅、标语或利用</w:t>
      </w:r>
      <w:r>
        <w:t>LED，在显眼位置宣传〈食品安全</w:t>
      </w:r>
      <w:r>
        <w:rPr>
          <w:rFonts w:hint="eastAsia"/>
        </w:rPr>
        <w:t>法〉和食品药品安全知识。制作宣传横幅标语</w:t>
      </w:r>
      <w:r>
        <w:t>21</w:t>
      </w:r>
      <w:r>
        <w:rPr>
          <w:rFonts w:hint="eastAsia"/>
        </w:rPr>
        <w:t>条，</w:t>
      </w:r>
      <w:r>
        <w:rPr>
          <w:rFonts w:hint="eastAsia"/>
          <w:lang w:val="en-US" w:eastAsia="zh-CN"/>
        </w:rPr>
        <w:t>L</w:t>
      </w:r>
      <w:r>
        <w:t>ED显示屏宣传标语6个，宣传栏3个。</w:t>
      </w:r>
    </w:p>
    <w:p w14:paraId="4E5BA919">
      <w:r>
        <w:t>2.切实加强药品电子监管。农村药品市场</w:t>
      </w:r>
      <w:r>
        <w:rPr>
          <w:rFonts w:hint="eastAsia"/>
        </w:rPr>
        <w:t>“两网”建设专项资金的竞争性评审连续两年获得等奖。</w:t>
      </w:r>
      <w:r>
        <w:t>2013年，全市药品经营企业129家和23</w:t>
      </w:r>
      <w:r>
        <w:rPr>
          <w:rFonts w:hint="eastAsia"/>
        </w:rPr>
        <w:t>家镇级以上医疗机构</w:t>
      </w:r>
      <w:r>
        <w:t>100%申办了药品电子监管，</w:t>
      </w:r>
      <w:r>
        <w:rPr>
          <w:rFonts w:hint="eastAsia"/>
        </w:rPr>
        <w:t>全市</w:t>
      </w:r>
      <w:r>
        <w:t>208个行政村，288家村卫生站已有223个村</w:t>
      </w:r>
      <w:r>
        <w:rPr>
          <w:rFonts w:hint="eastAsia"/>
        </w:rPr>
        <w:t>级卫生站申请办理了药品电子监管，占村级卫生站的</w:t>
      </w:r>
      <w:r>
        <w:t>77.73%。</w:t>
      </w:r>
    </w:p>
    <w:p w14:paraId="04A52B4A">
      <w:pPr>
        <w:rPr>
          <w:rFonts w:hint="eastAsia"/>
        </w:rPr>
      </w:pPr>
      <w:r>
        <w:t>3.推进餐饮单位“阳光厨房”工程。通过推</w:t>
      </w:r>
      <w:r>
        <w:rPr>
          <w:rFonts w:hint="eastAsia"/>
        </w:rPr>
        <w:t>进餐饮食品信息化监管平台建设，将餐饮服务单位、学校、幼儿园及大型企业集体食堂等单位逐步纳入电子信息化管理，建设具有对食品原料追溯的电子监管平台，使监管人员通过视频监管和食材追溯及完善电子台账工作，提高监管效能。目前已有</w:t>
      </w:r>
      <w:r>
        <w:t>6家餐饮服务单位完成电子远程监管平台建设。2013年通过创建省级餐饮服务食品安全示范县</w:t>
      </w:r>
      <w:r>
        <w:rPr>
          <w:rFonts w:hint="eastAsia"/>
        </w:rPr>
        <w:t>考评。</w:t>
      </w:r>
    </w:p>
    <w:p w14:paraId="15D420CA">
      <w:r>
        <w:t>4.推进餐饮服务单位信用量化分级管理。按照</w:t>
      </w:r>
      <w:r>
        <w:rPr>
          <w:rFonts w:hint="eastAsia"/>
        </w:rPr>
        <w:t>《广东省餐饮服务食品安全量化分级管理规定》要求，对取得有效《餐饮服务许可》的</w:t>
      </w:r>
      <w:r>
        <w:t>518户餐饮单</w:t>
      </w:r>
      <w:r>
        <w:rPr>
          <w:rFonts w:hint="eastAsia"/>
        </w:rPr>
        <w:t>位推行信用量化分级（餐饮信用等级评价与量化分级相结合）评定。根据评定的信用量化等级在餐饮单位门口醒目位置悬挂餐饮服务食品安全公示栏进行公示，接受社会监督。到目前为止，评为</w:t>
      </w:r>
      <w:r>
        <w:t>A级11</w:t>
      </w:r>
      <w:r>
        <w:rPr>
          <w:rFonts w:hint="eastAsia"/>
        </w:rPr>
        <w:t>户，</w:t>
      </w:r>
      <w:r>
        <w:t>B级279户，C级228户，量化分级管理实施</w:t>
      </w:r>
      <w:r>
        <w:rPr>
          <w:rFonts w:hint="eastAsia"/>
        </w:rPr>
        <w:t>达到</w:t>
      </w:r>
      <w:r>
        <w:t>95%以上。创建餐饮服务示范单位16户（其</w:t>
      </w:r>
      <w:r>
        <w:rPr>
          <w:rFonts w:hint="eastAsia"/>
        </w:rPr>
        <w:t>中省级</w:t>
      </w:r>
      <w:r>
        <w:rPr>
          <w:rFonts w:hint="eastAsia"/>
          <w:lang w:val="en-US" w:eastAsia="zh-CN"/>
        </w:rPr>
        <w:t>1</w:t>
      </w:r>
      <w:r>
        <w:t>户，市级5户，县级10户）。</w:t>
      </w:r>
    </w:p>
    <w:p w14:paraId="3105311F">
      <w:pPr>
        <w:rPr>
          <w:rFonts w:hint="eastAsia"/>
        </w:rPr>
      </w:pPr>
      <w:r>
        <w:t>5.大力推行“文明诚信示范药店”活动。南</w:t>
      </w:r>
      <w:r>
        <w:rPr>
          <w:rFonts w:hint="eastAsia"/>
        </w:rPr>
        <w:t>雄市文明办、食品药品监督管理局联合组织开展“文明诚信示范药店”授牌仪式，韶关市乡亲药房连锁有限公司南雄一分店、广东爱心大药房连锁有限公司南雄建设分店、韶关市大参林药店有限公司南雄建设分店、南雄市雄州街道开心大药房迎春店、南雄市雄州街道立义生药店</w:t>
      </w:r>
      <w:r>
        <w:t>5家药品零售企业</w:t>
      </w:r>
      <w:r>
        <w:rPr>
          <w:rFonts w:hint="eastAsia"/>
        </w:rPr>
        <w:t>获得“文明诚信示范药店”荣誉称号。</w:t>
      </w:r>
    </w:p>
    <w:p w14:paraId="76C15D11">
      <w:pPr>
        <w:jc w:val="right"/>
        <w:rPr>
          <w:rFonts w:hint="eastAsia"/>
          <w:b/>
          <w:bCs/>
        </w:rPr>
      </w:pPr>
      <w:r>
        <w:rPr>
          <w:rFonts w:hint="eastAsia"/>
          <w:b/>
          <w:bCs/>
          <w:lang w:eastAsia="zh-CN"/>
        </w:rPr>
        <w:t>（</w:t>
      </w:r>
      <w:r>
        <w:rPr>
          <w:rFonts w:hint="eastAsia"/>
          <w:b/>
          <w:bCs/>
        </w:rPr>
        <w:t>童秀秀）</w:t>
      </w:r>
    </w:p>
    <w:p w14:paraId="4A0C8C48">
      <w:pPr>
        <w:pStyle w:val="10"/>
        <w:bidi w:val="0"/>
        <w:rPr>
          <w:b/>
          <w:bCs/>
        </w:rPr>
      </w:pPr>
      <w:r>
        <w:rPr>
          <w:rFonts w:hint="eastAsia"/>
          <w:b/>
          <w:bCs/>
        </w:rPr>
        <w:t>附：</w:t>
      </w:r>
      <w:r>
        <w:rPr>
          <w:b/>
          <w:bCs/>
        </w:rPr>
        <w:t>2013年市</w:t>
      </w:r>
      <w:r>
        <w:rPr>
          <w:rFonts w:hint="eastAsia"/>
          <w:b/>
          <w:bCs/>
          <w:lang w:eastAsia="zh-CN"/>
        </w:rPr>
        <w:t>食品药品监督管理局</w:t>
      </w:r>
      <w:r>
        <w:rPr>
          <w:b/>
          <w:bCs/>
        </w:rPr>
        <w:t>领导班子成员名单</w:t>
      </w:r>
    </w:p>
    <w:p w14:paraId="01640C7F">
      <w:pPr>
        <w:pStyle w:val="10"/>
        <w:bidi w:val="0"/>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吴敦林</w:t>
      </w:r>
    </w:p>
    <w:p w14:paraId="4B9EDB24">
      <w:pPr>
        <w:pStyle w:val="10"/>
        <w:bidi w:val="0"/>
        <w:rPr>
          <w:rFonts w:hint="eastAsia"/>
        </w:rPr>
      </w:pPr>
      <w:r>
        <w:rPr>
          <w:rFonts w:hint="eastAsia"/>
          <w:b/>
          <w:bCs/>
        </w:rPr>
        <w:t>党组书记：</w:t>
      </w:r>
      <w:r>
        <w:rPr>
          <w:rFonts w:hint="eastAsia"/>
        </w:rPr>
        <w:t>邓汝华</w:t>
      </w:r>
    </w:p>
    <w:p w14:paraId="5E3E03B0">
      <w:pPr>
        <w:pStyle w:val="10"/>
        <w:bidi w:val="0"/>
        <w:rPr>
          <w:rFonts w:hint="eastAsia"/>
        </w:rPr>
      </w:pPr>
      <w:r>
        <w:rPr>
          <w:rFonts w:hint="eastAsia"/>
          <w:b/>
          <w:bCs/>
        </w:rPr>
        <w:t>副</w:t>
      </w:r>
      <w:r>
        <w:rPr>
          <w:rFonts w:hint="eastAsia"/>
          <w:b/>
          <w:bCs/>
          <w:lang w:val="en-US" w:eastAsia="zh-CN"/>
        </w:rPr>
        <w:t xml:space="preserve"> </w:t>
      </w:r>
      <w:r>
        <w:rPr>
          <w:rFonts w:hint="eastAsia"/>
          <w:b/>
          <w:bCs/>
        </w:rPr>
        <w:t>局</w:t>
      </w:r>
      <w:r>
        <w:rPr>
          <w:rFonts w:hint="eastAsia"/>
          <w:b/>
          <w:bCs/>
          <w:lang w:val="en-US" w:eastAsia="zh-CN"/>
        </w:rPr>
        <w:t xml:space="preserve"> </w:t>
      </w:r>
      <w:r>
        <w:rPr>
          <w:rFonts w:hint="eastAsia"/>
          <w:b/>
          <w:bCs/>
        </w:rPr>
        <w:t>长：</w:t>
      </w:r>
      <w:r>
        <w:rPr>
          <w:rFonts w:hint="eastAsia"/>
        </w:rPr>
        <w:t>刘继雄</w:t>
      </w:r>
      <w:r>
        <w:rPr>
          <w:rFonts w:hint="eastAsia"/>
          <w:lang w:val="en-US" w:eastAsia="zh-CN"/>
        </w:rPr>
        <w:t xml:space="preserve">   </w:t>
      </w:r>
      <w:r>
        <w:rPr>
          <w:rFonts w:hint="eastAsia"/>
        </w:rPr>
        <w:t>陈瑶璇</w:t>
      </w:r>
      <w:r>
        <w:rPr>
          <w:rFonts w:hint="eastAsia"/>
          <w:lang w:val="en-US" w:eastAsia="zh-CN"/>
        </w:rPr>
        <w:t xml:space="preserve">   </w:t>
      </w:r>
      <w:r>
        <w:rPr>
          <w:rFonts w:hint="eastAsia"/>
        </w:rPr>
        <w:t>赵永红</w:t>
      </w:r>
    </w:p>
    <w:p w14:paraId="23CBB555">
      <w:pPr>
        <w:pStyle w:val="3"/>
        <w:bidi w:val="0"/>
        <w:rPr>
          <w:rFonts w:hint="eastAsia"/>
        </w:rPr>
      </w:pPr>
      <w:r>
        <w:rPr>
          <w:rFonts w:hint="eastAsia"/>
        </w:rPr>
        <w:t>安全生产监督管理</w:t>
      </w:r>
    </w:p>
    <w:p w14:paraId="7D392463">
      <w:pPr>
        <w:pStyle w:val="4"/>
        <w:bidi w:val="0"/>
        <w:rPr>
          <w:rFonts w:hint="eastAsia"/>
        </w:rPr>
      </w:pPr>
      <w:r>
        <w:rPr>
          <w:rFonts w:hint="eastAsia"/>
        </w:rPr>
        <w:t>【概况】</w:t>
      </w:r>
    </w:p>
    <w:p w14:paraId="4F903841">
      <w:r>
        <w:rPr>
          <w:rFonts w:hint="eastAsia"/>
        </w:rPr>
        <w:t>南雄市安全生产监督管理局组建</w:t>
      </w:r>
      <w:r>
        <w:t>2005年5月，单独设置为正科级行政单位，作为南雄市人</w:t>
      </w:r>
      <w:r>
        <w:rPr>
          <w:rFonts w:hint="eastAsia"/>
        </w:rPr>
        <w:t>民政府主管安全生产综合监管的行政机构。内设综合股、监督管理股、职业安全健康监督管理股、执法监察股（挂南雄市安全生产监督管理局执法监察大队牌子）、市安全生产应急救援指挥中心办公室，行政编制</w:t>
      </w:r>
      <w:r>
        <w:t>6名，行政执法专项编制5名，工勤编制1名。</w:t>
      </w:r>
    </w:p>
    <w:p w14:paraId="4D542366">
      <w:pPr>
        <w:pStyle w:val="4"/>
        <w:bidi w:val="0"/>
        <w:rPr>
          <w:rFonts w:hint="eastAsia"/>
        </w:rPr>
      </w:pPr>
      <w:r>
        <w:rPr>
          <w:rFonts w:hint="eastAsia"/>
        </w:rPr>
        <w:t>【安全生产】</w:t>
      </w:r>
    </w:p>
    <w:p w14:paraId="4CBA3B3B">
      <w:pPr>
        <w:rPr>
          <w:rFonts w:hint="eastAsia"/>
        </w:rPr>
      </w:pPr>
      <w:r>
        <w:t>2013年，南雄市发生各类事故71</w:t>
      </w:r>
      <w:r>
        <w:rPr>
          <w:rFonts w:hint="eastAsia"/>
        </w:rPr>
        <w:t>起，死亡</w:t>
      </w:r>
      <w:r>
        <w:t>13人，受伤19人，直接经济损失34.01</w:t>
      </w:r>
      <w:r>
        <w:rPr>
          <w:rFonts w:hint="eastAsia"/>
        </w:rPr>
        <w:t>万元，与上年相比，事故起数上升</w:t>
      </w:r>
      <w:r>
        <w:t>173.1%，死亡</w:t>
      </w:r>
      <w:r>
        <w:rPr>
          <w:rFonts w:hint="eastAsia"/>
        </w:rPr>
        <w:t>人数、受伤人数和直接经济损失分别下降</w:t>
      </w:r>
      <w:r>
        <w:t>18.8%</w:t>
      </w:r>
      <w:r>
        <w:rPr>
          <w:rFonts w:hint="eastAsia"/>
          <w:lang w:eastAsia="zh-CN"/>
        </w:rPr>
        <w:t>、</w:t>
      </w:r>
      <w:r>
        <w:t>9.5%、92%，没有发生较大以上生产安全事故。</w:t>
      </w:r>
      <w:r>
        <w:rPr>
          <w:rFonts w:hint="eastAsia"/>
        </w:rPr>
        <w:t>其中：发生道路交通事故</w:t>
      </w:r>
      <w:r>
        <w:t>23起，死亡13人，受伤17人，直接经济损失17.1万元。发生消防火灾事</w:t>
      </w:r>
      <w:r>
        <w:rPr>
          <w:rFonts w:hint="eastAsia"/>
        </w:rPr>
        <w:t>故</w:t>
      </w:r>
      <w:r>
        <w:t>48起，受伤2人，直接经济损失16.91万元，无</w:t>
      </w:r>
      <w:r>
        <w:rPr>
          <w:rFonts w:hint="eastAsia"/>
        </w:rPr>
        <w:t>人员死亡。</w:t>
      </w:r>
    </w:p>
    <w:p w14:paraId="5EEFC4D7">
      <w:pPr>
        <w:pStyle w:val="4"/>
        <w:bidi w:val="0"/>
        <w:rPr>
          <w:rFonts w:hint="eastAsia"/>
        </w:rPr>
      </w:pPr>
      <w:r>
        <w:rPr>
          <w:rFonts w:hint="eastAsia"/>
        </w:rPr>
        <w:t>【安全生产“一岗双责”制度】</w:t>
      </w:r>
    </w:p>
    <w:p w14:paraId="1BEB06F6">
      <w:pPr>
        <w:rPr>
          <w:rFonts w:hint="eastAsia"/>
        </w:rPr>
      </w:pPr>
      <w:r>
        <w:t>2013年1月，对</w:t>
      </w:r>
      <w:r>
        <w:rPr>
          <w:rFonts w:hint="eastAsia"/>
        </w:rPr>
        <w:t>南雄市</w:t>
      </w:r>
      <w:r>
        <w:t>18个镇（街道）的领导班子、党政主要领</w:t>
      </w:r>
      <w:r>
        <w:rPr>
          <w:rFonts w:hint="eastAsia"/>
        </w:rPr>
        <w:t>导、分管安全生产工作领导和抽考的班子成员以及</w:t>
      </w:r>
      <w:r>
        <w:t>21个市直单位的领导班子和主要领导、14个驻雄</w:t>
      </w:r>
      <w:r>
        <w:rPr>
          <w:rFonts w:hint="eastAsia"/>
        </w:rPr>
        <w:t>中省企业的安全生产第一责任人</w:t>
      </w:r>
      <w:r>
        <w:t>2012年度安全生</w:t>
      </w:r>
      <w:r>
        <w:rPr>
          <w:rFonts w:hint="eastAsia"/>
          <w:lang w:val="en-US" w:eastAsia="zh-CN"/>
        </w:rPr>
        <w:t>产</w:t>
      </w:r>
      <w:r>
        <w:rPr>
          <w:rFonts w:hint="eastAsia"/>
        </w:rPr>
        <w:t>“一岗双责”履职情况进行全面考核，对考核情况进行了通报。</w:t>
      </w:r>
      <w:r>
        <w:t>3月份召开全市安全生产工作会议，</w:t>
      </w:r>
      <w:r>
        <w:rPr>
          <w:rFonts w:hint="eastAsia"/>
        </w:rPr>
        <w:t>由市委常委、常务副市长何人平代表市政府与全市</w:t>
      </w:r>
      <w:r>
        <w:t>18个镇（街道）、34个市直部门以及15家驻雄中</w:t>
      </w:r>
      <w:r>
        <w:rPr>
          <w:rFonts w:hint="eastAsia"/>
        </w:rPr>
        <w:t>省企业与市政府签订安全生产责任书，明确全年安全生产工作任务，突出安全生产工作的“一岗双责”，特别是负有安全生产监管责任的各部门和单位“一把手”的责任。</w:t>
      </w:r>
    </w:p>
    <w:p w14:paraId="6FEE9F2D">
      <w:pPr>
        <w:pStyle w:val="4"/>
        <w:bidi w:val="0"/>
        <w:rPr>
          <w:rFonts w:hint="eastAsia"/>
        </w:rPr>
      </w:pPr>
      <w:r>
        <w:rPr>
          <w:rFonts w:hint="eastAsia"/>
          <w:lang w:eastAsia="zh-CN"/>
        </w:rPr>
        <w:t>【</w:t>
      </w:r>
      <w:r>
        <w:rPr>
          <w:rFonts w:hint="eastAsia"/>
        </w:rPr>
        <w:t>安全生产标准化工作】</w:t>
      </w:r>
    </w:p>
    <w:p w14:paraId="0EF82212">
      <w:r>
        <w:rPr>
          <w:rFonts w:hint="eastAsia"/>
        </w:rPr>
        <w:t>贯彻落实省、市《关于深入开展企业安全生产标准化建设的指导意见》要求，推进企业安全生产标准化建设，促进企业安全生产主体责任落实，推动南雄市企业本质安全水平的提升。</w:t>
      </w:r>
      <w:r>
        <w:t>2013年，标准化达标企业达45家。其中，</w:t>
      </w:r>
      <w:r>
        <w:rPr>
          <w:rFonts w:hint="eastAsia"/>
        </w:rPr>
        <w:t>危险化学品生产企业安全生产标准化创建工作</w:t>
      </w:r>
      <w:r>
        <w:t>100%完成，南雄市烟草公司获标准化二级达标。</w:t>
      </w:r>
    </w:p>
    <w:p w14:paraId="6730D8B9">
      <w:pPr>
        <w:pStyle w:val="4"/>
        <w:bidi w:val="0"/>
        <w:rPr>
          <w:rFonts w:hint="eastAsia"/>
        </w:rPr>
      </w:pPr>
      <w:r>
        <w:rPr>
          <w:rFonts w:hint="eastAsia"/>
        </w:rPr>
        <w:t>【安全生产大检</w:t>
      </w:r>
      <w:r>
        <w:rPr>
          <w:rFonts w:hint="eastAsia"/>
          <w:lang w:eastAsia="zh-CN"/>
        </w:rPr>
        <w:t>查</w:t>
      </w:r>
      <w:r>
        <w:rPr>
          <w:rFonts w:hint="eastAsia"/>
        </w:rPr>
        <w:t>督</w:t>
      </w:r>
      <w:r>
        <w:rPr>
          <w:rFonts w:hint="eastAsia"/>
          <w:lang w:eastAsia="zh-CN"/>
        </w:rPr>
        <w:t>查</w:t>
      </w:r>
      <w:r>
        <w:rPr>
          <w:rFonts w:hint="eastAsia"/>
        </w:rPr>
        <w:t>专项行动】</w:t>
      </w:r>
    </w:p>
    <w:p w14:paraId="4A33A8F0">
      <w:pPr>
        <w:rPr>
          <w:rFonts w:hint="eastAsia"/>
        </w:rPr>
      </w:pPr>
      <w:r>
        <w:rPr>
          <w:rFonts w:hint="eastAsia"/>
        </w:rPr>
        <w:t>根据省、市的部署，</w:t>
      </w:r>
      <w:r>
        <w:t>6月至9月扎实开展安全生产大检</w:t>
      </w:r>
      <w:r>
        <w:rPr>
          <w:rFonts w:hint="eastAsia"/>
          <w:lang w:eastAsia="zh-CN"/>
        </w:rPr>
        <w:t>查</w:t>
      </w:r>
      <w:r>
        <w:t>督</w:t>
      </w:r>
      <w:r>
        <w:rPr>
          <w:rFonts w:hint="eastAsia"/>
          <w:lang w:eastAsia="zh-CN"/>
        </w:rPr>
        <w:t>查</w:t>
      </w:r>
      <w:r>
        <w:t>专</w:t>
      </w:r>
      <w:r>
        <w:rPr>
          <w:rFonts w:hint="eastAsia"/>
        </w:rPr>
        <w:t>项行动。</w:t>
      </w:r>
      <w:r>
        <w:t>2013年，出动检</w:t>
      </w:r>
      <w:r>
        <w:rPr>
          <w:rFonts w:hint="eastAsia"/>
          <w:lang w:eastAsia="zh-CN"/>
        </w:rPr>
        <w:t>查</w:t>
      </w:r>
      <w:r>
        <w:t>人员2182人次，检</w:t>
      </w:r>
      <w:r>
        <w:rPr>
          <w:rFonts w:hint="eastAsia"/>
          <w:lang w:eastAsia="zh-CN"/>
        </w:rPr>
        <w:t>查</w:t>
      </w:r>
      <w:r>
        <w:rPr>
          <w:rFonts w:hint="eastAsia"/>
        </w:rPr>
        <w:t>企业</w:t>
      </w:r>
      <w:r>
        <w:t>1458家（次），排</w:t>
      </w:r>
      <w:r>
        <w:rPr>
          <w:rFonts w:hint="eastAsia"/>
          <w:lang w:eastAsia="zh-CN"/>
        </w:rPr>
        <w:t>查</w:t>
      </w:r>
      <w:r>
        <w:t>事故隐患1115处，责令</w:t>
      </w:r>
      <w:r>
        <w:rPr>
          <w:rFonts w:hint="eastAsia"/>
        </w:rPr>
        <w:t>停产停业整顿</w:t>
      </w:r>
      <w:r>
        <w:t>43家，保障安全生产形势的持续稳</w:t>
      </w:r>
      <w:r>
        <w:rPr>
          <w:rFonts w:hint="eastAsia"/>
        </w:rPr>
        <w:t>定好转。</w:t>
      </w:r>
    </w:p>
    <w:p w14:paraId="5BA4AF67">
      <w:pPr>
        <w:pStyle w:val="4"/>
        <w:bidi w:val="0"/>
        <w:rPr>
          <w:rFonts w:hint="eastAsia"/>
        </w:rPr>
      </w:pPr>
      <w:r>
        <w:rPr>
          <w:rFonts w:hint="eastAsia"/>
        </w:rPr>
        <w:t>【安全生产隐患排</w:t>
      </w:r>
      <w:r>
        <w:rPr>
          <w:rFonts w:hint="eastAsia"/>
          <w:lang w:eastAsia="zh-CN"/>
        </w:rPr>
        <w:t>查</w:t>
      </w:r>
      <w:r>
        <w:rPr>
          <w:rFonts w:hint="eastAsia"/>
        </w:rPr>
        <w:t>治理】</w:t>
      </w:r>
    </w:p>
    <w:p w14:paraId="2A4840E5">
      <w:r>
        <w:rPr>
          <w:rFonts w:hint="eastAsia"/>
        </w:rPr>
        <w:t>根据确定的各项目标任务，坚持统一部署，在元旦、春节、“五一”</w:t>
      </w:r>
      <w:r>
        <w:rPr>
          <w:rFonts w:hint="eastAsia"/>
          <w:lang w:eastAsia="zh-CN"/>
        </w:rPr>
        <w:t>、</w:t>
      </w:r>
      <w:r>
        <w:rPr>
          <w:rFonts w:hint="eastAsia"/>
        </w:rPr>
        <w:t>“国庆”等重要节庆日、重大活动期间有针对性的开展各类安全生产大检</w:t>
      </w:r>
      <w:r>
        <w:rPr>
          <w:rFonts w:hint="eastAsia"/>
          <w:lang w:eastAsia="zh-CN"/>
        </w:rPr>
        <w:t>查</w:t>
      </w:r>
      <w:r>
        <w:rPr>
          <w:rFonts w:hint="eastAsia"/>
        </w:rPr>
        <w:t>工作，通过执法联合行动，排</w:t>
      </w:r>
      <w:r>
        <w:rPr>
          <w:rFonts w:hint="eastAsia"/>
          <w:lang w:eastAsia="zh-CN"/>
        </w:rPr>
        <w:t>查治</w:t>
      </w:r>
      <w:r>
        <w:rPr>
          <w:rFonts w:hint="eastAsia"/>
        </w:rPr>
        <w:t>理一大批隐患，确保安全生产形势稳定。</w:t>
      </w:r>
      <w:r>
        <w:t>2013年，开展工矿企业安全生产隐患排</w:t>
      </w:r>
      <w:r>
        <w:rPr>
          <w:rFonts w:hint="eastAsia"/>
          <w:lang w:eastAsia="zh-CN"/>
        </w:rPr>
        <w:t>查</w:t>
      </w:r>
      <w:r>
        <w:t>治理1024家，排</w:t>
      </w:r>
      <w:r>
        <w:rPr>
          <w:rFonts w:hint="eastAsia"/>
          <w:lang w:eastAsia="zh-CN"/>
        </w:rPr>
        <w:t>查</w:t>
      </w:r>
      <w:r>
        <w:t>隐患824项，其中已整改823项，整</w:t>
      </w:r>
      <w:r>
        <w:rPr>
          <w:rFonts w:hint="eastAsia"/>
        </w:rPr>
        <w:t>改率达</w:t>
      </w:r>
      <w:r>
        <w:t>97.6%；开展交通运输等重点行业（领域）</w:t>
      </w:r>
      <w:r>
        <w:rPr>
          <w:rFonts w:hint="eastAsia"/>
        </w:rPr>
        <w:t>企业单位安全生产隐患排</w:t>
      </w:r>
      <w:r>
        <w:rPr>
          <w:rFonts w:hint="eastAsia"/>
          <w:lang w:eastAsia="zh-CN"/>
        </w:rPr>
        <w:t>查</w:t>
      </w:r>
      <w:r>
        <w:rPr>
          <w:rFonts w:hint="eastAsia"/>
        </w:rPr>
        <w:t>治理</w:t>
      </w:r>
      <w:r>
        <w:t>2167家，排</w:t>
      </w:r>
      <w:r>
        <w:rPr>
          <w:rFonts w:hint="eastAsia"/>
          <w:lang w:eastAsia="zh-CN"/>
        </w:rPr>
        <w:t>查</w:t>
      </w:r>
      <w:r>
        <w:rPr>
          <w:rFonts w:hint="eastAsia"/>
          <w:lang w:val="en-US" w:eastAsia="zh-CN"/>
        </w:rPr>
        <w:t>一</w:t>
      </w:r>
      <w:r>
        <w:rPr>
          <w:rFonts w:hint="eastAsia"/>
        </w:rPr>
        <w:t>般隐患</w:t>
      </w:r>
      <w:r>
        <w:t>1378项，其中已整改1377项，整改率</w:t>
      </w:r>
      <w:r>
        <w:rPr>
          <w:rFonts w:hint="eastAsia"/>
        </w:rPr>
        <w:t>达</w:t>
      </w:r>
      <w:r>
        <w:t>99.8%。</w:t>
      </w:r>
    </w:p>
    <w:p w14:paraId="4DC35C7F">
      <w:pPr>
        <w:pStyle w:val="4"/>
        <w:bidi w:val="0"/>
        <w:rPr>
          <w:rFonts w:hint="eastAsia"/>
        </w:rPr>
      </w:pPr>
      <w:r>
        <w:rPr>
          <w:rFonts w:hint="eastAsia"/>
          <w:lang w:eastAsia="zh-CN"/>
        </w:rPr>
        <w:t>【</w:t>
      </w:r>
      <w:r>
        <w:rPr>
          <w:rFonts w:hint="eastAsia"/>
        </w:rPr>
        <w:t>“打非治违”专项行动】</w:t>
      </w:r>
    </w:p>
    <w:p w14:paraId="72CDD0FF">
      <w:pPr>
        <w:rPr>
          <w:rFonts w:hint="eastAsia"/>
        </w:rPr>
      </w:pPr>
      <w:r>
        <w:rPr>
          <w:rFonts w:hint="eastAsia"/>
        </w:rPr>
        <w:t>开展安全生产领域“打非治违”专项行动以来，烟花爆竹专项执法检</w:t>
      </w:r>
      <w:r>
        <w:rPr>
          <w:rFonts w:hint="eastAsia"/>
          <w:lang w:eastAsia="zh-CN"/>
        </w:rPr>
        <w:t>查</w:t>
      </w:r>
      <w:r>
        <w:t>23次，检</w:t>
      </w:r>
      <w:r>
        <w:rPr>
          <w:rFonts w:hint="eastAsia"/>
          <w:lang w:eastAsia="zh-CN"/>
        </w:rPr>
        <w:t>查</w:t>
      </w:r>
      <w:r>
        <w:t>烟花爆竹经营单位246个（次）。同</w:t>
      </w:r>
      <w:r>
        <w:rPr>
          <w:rFonts w:hint="eastAsia"/>
        </w:rPr>
        <w:t>时，没收非法生产的烟花爆竹</w:t>
      </w:r>
      <w:r>
        <w:t>1513件，处罚金额3.5万元，打击非法经营烟花爆竹的不良势头。</w:t>
      </w:r>
      <w:r>
        <w:rPr>
          <w:rFonts w:hint="eastAsia"/>
          <w:lang w:eastAsia="zh-CN"/>
        </w:rPr>
        <w:t>查</w:t>
      </w:r>
      <w:r>
        <w:rPr>
          <w:rFonts w:hint="eastAsia"/>
        </w:rPr>
        <w:t>处一起未经许可擅自生产危险化学品案件，对相关责任人进行处罚，有力地打击非法生产经营者的嚣张气焰，有效遏制事故的发生。</w:t>
      </w:r>
    </w:p>
    <w:p w14:paraId="3D4D5AB4">
      <w:pPr>
        <w:pStyle w:val="4"/>
        <w:bidi w:val="0"/>
        <w:rPr>
          <w:rFonts w:hint="eastAsia"/>
        </w:rPr>
      </w:pPr>
      <w:r>
        <w:rPr>
          <w:rFonts w:hint="eastAsia"/>
        </w:rPr>
        <w:t>【“安全生产月”活动】</w:t>
      </w:r>
    </w:p>
    <w:p w14:paraId="400B3C3B">
      <w:pPr>
        <w:rPr>
          <w:rFonts w:hint="eastAsia"/>
          <w:lang w:eastAsia="zh-CN"/>
        </w:rPr>
      </w:pPr>
      <w:r>
        <w:rPr>
          <w:rFonts w:hint="eastAsia"/>
        </w:rPr>
        <w:t>围绕全国第十二个“安全生产月”确定的“强化安全基础，推动安全发展”的主题，开展形式多样、各具特色的安全生产宣传教育活动，宣传安全生产法律法规，普及安全生产知识，增强全民安全意识。同时，各企业积极开展安全文化示范企业创建活动，中国移动南雄分公司命名为广东省“安全文化建设示范企业”</w:t>
      </w:r>
      <w:r>
        <w:rPr>
          <w:rFonts w:hint="eastAsia"/>
          <w:lang w:eastAsia="zh-CN"/>
        </w:rPr>
        <w:t>。</w:t>
      </w:r>
    </w:p>
    <w:p w14:paraId="2F74A9C9">
      <w:pPr>
        <w:pStyle w:val="4"/>
        <w:bidi w:val="0"/>
        <w:rPr>
          <w:rFonts w:hint="eastAsia"/>
        </w:rPr>
      </w:pPr>
      <w:r>
        <w:rPr>
          <w:rFonts w:hint="eastAsia"/>
        </w:rPr>
        <w:t>【宣传培训教育】</w:t>
      </w:r>
    </w:p>
    <w:p w14:paraId="390DB8E8">
      <w:pPr>
        <w:rPr>
          <w:rFonts w:hint="eastAsia"/>
        </w:rPr>
      </w:pPr>
      <w:r>
        <w:rPr>
          <w:rFonts w:hint="eastAsia"/>
        </w:rPr>
        <w:t>抓好企业主要负责人、安全管理人员、危化品和矿山从业人员安全生产知识培训工作，提高企业从业人员的安全知识和管理水平，确保企业从业人员持证上岗。</w:t>
      </w:r>
      <w:r>
        <w:t>2013年培训生产经营</w:t>
      </w:r>
      <w:r>
        <w:rPr>
          <w:rFonts w:hint="eastAsia"/>
        </w:rPr>
        <w:t>单位主要负责人</w:t>
      </w:r>
      <w:r>
        <w:t>382名，安全生产管理人员107</w:t>
      </w:r>
      <w:r>
        <w:rPr>
          <w:rFonts w:hint="eastAsia"/>
        </w:rPr>
        <w:t>名，培训特种作业人员</w:t>
      </w:r>
      <w:r>
        <w:t>278人，同时组织企业相关</w:t>
      </w:r>
      <w:r>
        <w:rPr>
          <w:rFonts w:hint="eastAsia"/>
        </w:rPr>
        <w:t>人员到省、韶关市参加各种类型的培训工作，对落实企业主体责任，提升企业安全管理水平起到积极作用。</w:t>
      </w:r>
    </w:p>
    <w:p w14:paraId="5A13AB82">
      <w:pPr>
        <w:jc w:val="right"/>
        <w:rPr>
          <w:rFonts w:hint="eastAsia"/>
          <w:b/>
          <w:bCs/>
        </w:rPr>
      </w:pPr>
      <w:r>
        <w:rPr>
          <w:rFonts w:hint="eastAsia"/>
          <w:b/>
          <w:bCs/>
        </w:rPr>
        <w:t>（何国华）</w:t>
      </w:r>
    </w:p>
    <w:p w14:paraId="194C2D27">
      <w:pPr>
        <w:pStyle w:val="10"/>
        <w:bidi w:val="0"/>
        <w:rPr>
          <w:b/>
          <w:bCs/>
        </w:rPr>
      </w:pPr>
      <w:r>
        <w:rPr>
          <w:rFonts w:hint="eastAsia"/>
          <w:b/>
          <w:bCs/>
        </w:rPr>
        <w:t>附：</w:t>
      </w:r>
      <w:r>
        <w:rPr>
          <w:b/>
          <w:bCs/>
        </w:rPr>
        <w:t>2013年市安监局领导班子成员名单</w:t>
      </w:r>
    </w:p>
    <w:p w14:paraId="0DE99E69">
      <w:pPr>
        <w:pStyle w:val="10"/>
        <w:bidi w:val="0"/>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吴少华</w:t>
      </w:r>
    </w:p>
    <w:p w14:paraId="78D8AA80">
      <w:pPr>
        <w:pStyle w:val="10"/>
        <w:bidi w:val="0"/>
        <w:rPr>
          <w:rFonts w:hint="eastAsia"/>
        </w:rPr>
      </w:pPr>
      <w:r>
        <w:rPr>
          <w:rFonts w:hint="eastAsia"/>
          <w:b/>
          <w:bCs/>
        </w:rPr>
        <w:t>副</w:t>
      </w:r>
      <w:r>
        <w:rPr>
          <w:rFonts w:hint="eastAsia"/>
          <w:b/>
          <w:bCs/>
          <w:lang w:val="en-US" w:eastAsia="zh-CN"/>
        </w:rPr>
        <w:t xml:space="preserve"> </w:t>
      </w:r>
      <w:r>
        <w:rPr>
          <w:rFonts w:hint="eastAsia"/>
          <w:b/>
          <w:bCs/>
        </w:rPr>
        <w:t>局</w:t>
      </w:r>
      <w:r>
        <w:rPr>
          <w:rFonts w:hint="eastAsia"/>
          <w:b/>
          <w:bCs/>
          <w:lang w:val="en-US" w:eastAsia="zh-CN"/>
        </w:rPr>
        <w:t xml:space="preserve"> </w:t>
      </w:r>
      <w:r>
        <w:rPr>
          <w:rFonts w:hint="eastAsia"/>
          <w:b/>
          <w:bCs/>
        </w:rPr>
        <w:t>长：</w:t>
      </w:r>
      <w:r>
        <w:rPr>
          <w:rFonts w:hint="eastAsia"/>
        </w:rPr>
        <w:t>李贤卫</w:t>
      </w:r>
      <w:r>
        <w:rPr>
          <w:rFonts w:hint="eastAsia"/>
          <w:lang w:val="en-US" w:eastAsia="zh-CN"/>
        </w:rPr>
        <w:t xml:space="preserve">   </w:t>
      </w:r>
      <w:r>
        <w:rPr>
          <w:rFonts w:hint="eastAsia"/>
        </w:rPr>
        <w:t>张东红</w:t>
      </w:r>
    </w:p>
    <w:p w14:paraId="4188AB03">
      <w:pPr>
        <w:pStyle w:val="10"/>
        <w:bidi w:val="0"/>
        <w:rPr>
          <w:rFonts w:hint="eastAsia"/>
        </w:rPr>
      </w:pPr>
      <w:r>
        <w:rPr>
          <w:rFonts w:hint="eastAsia"/>
          <w:b/>
          <w:bCs/>
        </w:rPr>
        <w:t>纪检组长：</w:t>
      </w:r>
      <w:r>
        <w:rPr>
          <w:rFonts w:hint="eastAsia"/>
        </w:rPr>
        <w:t>沈学军</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4183F6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7D458D0B">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4900" cy="3388995"/>
                  <wp:effectExtent l="0" t="0" r="6350" b="1905"/>
                  <wp:docPr id="53" name="图片 53" descr="南雄年鉴2014-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南雄年鉴2014-053"/>
                          <pic:cNvPicPr>
                            <a:picLocks noChangeAspect="1"/>
                          </pic:cNvPicPr>
                        </pic:nvPicPr>
                        <pic:blipFill>
                          <a:blip r:embed="rId123"/>
                          <a:stretch>
                            <a:fillRect/>
                          </a:stretch>
                        </pic:blipFill>
                        <pic:spPr>
                          <a:xfrm>
                            <a:off x="0" y="0"/>
                            <a:ext cx="6184900" cy="3388995"/>
                          </a:xfrm>
                          <a:prstGeom prst="rect">
                            <a:avLst/>
                          </a:prstGeom>
                        </pic:spPr>
                      </pic:pic>
                    </a:graphicData>
                  </a:graphic>
                </wp:inline>
              </w:drawing>
            </w:r>
          </w:p>
        </w:tc>
      </w:tr>
    </w:tbl>
    <w:p w14:paraId="3A24971D">
      <w:pPr>
        <w:pStyle w:val="2"/>
        <w:bidi w:val="0"/>
        <w:rPr>
          <w:rFonts w:hint="eastAsia"/>
          <w:lang w:val="en-US" w:eastAsia="zh-CN"/>
        </w:rPr>
      </w:pPr>
      <w:r>
        <w:rPr>
          <w:rFonts w:hint="eastAsia"/>
          <w:lang w:val="en-US" w:eastAsia="zh-CN"/>
        </w:rPr>
        <w:t>工业</w:t>
      </w:r>
    </w:p>
    <w:p w14:paraId="5A41BA79">
      <w:pPr>
        <w:pStyle w:val="3"/>
        <w:bidi w:val="0"/>
        <w:rPr>
          <w:rFonts w:hint="default"/>
          <w:lang w:val="en-US" w:eastAsia="zh-CN"/>
        </w:rPr>
      </w:pPr>
      <w:r>
        <w:rPr>
          <w:rFonts w:hint="eastAsia"/>
          <w:lang w:val="en-US" w:eastAsia="zh-CN"/>
        </w:rPr>
        <w:t>经信</w:t>
      </w:r>
    </w:p>
    <w:p w14:paraId="6B7EE1DA">
      <w:pPr>
        <w:pStyle w:val="4"/>
        <w:bidi w:val="0"/>
        <w:rPr>
          <w:rFonts w:hint="eastAsia"/>
        </w:rPr>
      </w:pPr>
      <w:r>
        <w:rPr>
          <w:rFonts w:hint="eastAsia"/>
        </w:rPr>
        <w:t>【概况】</w:t>
      </w:r>
    </w:p>
    <w:p w14:paraId="58A88D65">
      <w:r>
        <w:rPr>
          <w:rFonts w:hint="eastAsia"/>
        </w:rPr>
        <w:t>南雄市经济和信息化局是南雄市工业、商贸和信息化的业务主管部门，前身是南雄市经济贸易局。内设机构有</w:t>
      </w:r>
      <w:r>
        <w:t>8个，分别为办公室、人事信</w:t>
      </w:r>
      <w:r>
        <w:rPr>
          <w:rFonts w:hint="eastAsia"/>
        </w:rPr>
        <w:t>访股、经济运行股、科技能源股、贸易市场股、民营股（兼挂中小企业局）、信息管理股、节能监察中心（</w:t>
      </w:r>
      <w:r>
        <w:t>2012年10月15日成立，编制2名），编制22名。</w:t>
      </w:r>
    </w:p>
    <w:p w14:paraId="19DE3976">
      <w:r>
        <w:t>2013年完成工业总产值109.2亿元，增长28.9%；实现工业增加值28.6亿元，增长25.9%，</w:t>
      </w:r>
      <w:r>
        <w:rPr>
          <w:rFonts w:hint="eastAsia"/>
        </w:rPr>
        <w:t>其中规模以上工业实现增加值</w:t>
      </w:r>
      <w:r>
        <w:t>24.5亿元，增长29.6%。新增规上企业9家，总数达到81家。年</w:t>
      </w:r>
      <w:r>
        <w:rPr>
          <w:rFonts w:hint="eastAsia"/>
        </w:rPr>
        <w:t>末限额以上批发零售企业</w:t>
      </w:r>
      <w:r>
        <w:t>45个，比上年增加15</w:t>
      </w:r>
      <w:r>
        <w:rPr>
          <w:rFonts w:hint="eastAsia"/>
        </w:rPr>
        <w:t>个；限额以上住宿餐饮企业</w:t>
      </w:r>
      <w:r>
        <w:t>15个，比上年增加6</w:t>
      </w:r>
      <w:r>
        <w:rPr>
          <w:rFonts w:hint="eastAsia"/>
        </w:rPr>
        <w:t>个。全年批发零售和住宿餐饮业销售额</w:t>
      </w:r>
      <w:r>
        <w:t>63.72亿</w:t>
      </w:r>
      <w:r>
        <w:rPr>
          <w:rFonts w:hint="eastAsia"/>
        </w:rPr>
        <w:t>元，增长</w:t>
      </w:r>
      <w:r>
        <w:t>24.9%。其中：批发零售业销售额58.65</w:t>
      </w:r>
      <w:r>
        <w:rPr>
          <w:rFonts w:hint="eastAsia"/>
        </w:rPr>
        <w:t>亿元，增长</w:t>
      </w:r>
      <w:r>
        <w:t>25.1%；住宿餐饮业营业额5.07亿元，</w:t>
      </w:r>
      <w:r>
        <w:rPr>
          <w:rFonts w:hint="eastAsia"/>
        </w:rPr>
        <w:t>增长</w:t>
      </w:r>
      <w:r>
        <w:t>22.5%。社会消费品零售总额35.59亿元，增</w:t>
      </w:r>
      <w:r>
        <w:rPr>
          <w:rFonts w:hint="eastAsia"/>
        </w:rPr>
        <w:t>长</w:t>
      </w:r>
      <w:r>
        <w:t>15.1%。</w:t>
      </w:r>
    </w:p>
    <w:p w14:paraId="6E3E336D">
      <w:pPr>
        <w:pStyle w:val="4"/>
        <w:bidi w:val="0"/>
        <w:rPr>
          <w:rFonts w:hint="eastAsia"/>
        </w:rPr>
      </w:pPr>
      <w:r>
        <w:rPr>
          <w:rFonts w:hint="eastAsia"/>
          <w:lang w:eastAsia="zh-CN"/>
        </w:rPr>
        <w:t>【</w:t>
      </w:r>
      <w:r>
        <w:rPr>
          <w:rFonts w:hint="eastAsia"/>
        </w:rPr>
        <w:t>经济</w:t>
      </w:r>
      <w:r>
        <w:rPr>
          <w:rFonts w:hint="eastAsia"/>
          <w:lang w:val="en-US" w:eastAsia="zh-CN"/>
        </w:rPr>
        <w:t>运</w:t>
      </w:r>
      <w:r>
        <w:rPr>
          <w:rFonts w:hint="eastAsia"/>
        </w:rPr>
        <w:t>行工作】</w:t>
      </w:r>
    </w:p>
    <w:p w14:paraId="0BAC141E">
      <w:r>
        <w:rPr>
          <w:rFonts w:hint="eastAsia"/>
        </w:rPr>
        <w:t>着力抓好经济运行监控工作，及时掌握经济运行情况，了解经济运行存在的问题，特别是加强对</w:t>
      </w:r>
      <w:r>
        <w:rPr>
          <w:rFonts w:hint="eastAsia"/>
          <w:lang w:val="en-US" w:eastAsia="zh-CN"/>
        </w:rPr>
        <w:t>全</w:t>
      </w:r>
      <w:r>
        <w:rPr>
          <w:rFonts w:hint="eastAsia"/>
        </w:rPr>
        <w:t>市规模以上工业企业生产经营情况的统计调研工作，协调解决企业在生产经营中遇到的各类困难。</w:t>
      </w:r>
      <w:r>
        <w:t>2013年度新增规模以上工业企业</w:t>
      </w:r>
      <w:r>
        <w:rPr>
          <w:rFonts w:hint="eastAsia"/>
        </w:rPr>
        <w:t>为</w:t>
      </w:r>
      <w:r>
        <w:t>9家，新增限上商贸企业21家。</w:t>
      </w:r>
    </w:p>
    <w:p w14:paraId="68B85B30">
      <w:pPr>
        <w:pStyle w:val="4"/>
        <w:bidi w:val="0"/>
        <w:rPr>
          <w:rFonts w:hint="eastAsia"/>
        </w:rPr>
      </w:pPr>
      <w:r>
        <w:rPr>
          <w:rFonts w:hint="eastAsia"/>
        </w:rPr>
        <w:t>【园区考核和扩园工作】</w:t>
      </w:r>
    </w:p>
    <w:p w14:paraId="206761E4">
      <w:pPr>
        <w:rPr>
          <w:rFonts w:hint="eastAsia"/>
          <w:lang w:eastAsia="zh-CN"/>
        </w:rPr>
      </w:pPr>
      <w:r>
        <w:rPr>
          <w:rFonts w:hint="eastAsia"/>
        </w:rPr>
        <w:t>按照省经信委《关于做好</w:t>
      </w:r>
      <w:r>
        <w:t>2012年度产业转移目标责任评价工作的通知》</w:t>
      </w:r>
      <w:r>
        <w:rPr>
          <w:rFonts w:hint="eastAsia"/>
        </w:rPr>
        <w:t>和《广东省产业转型目标责任考核评价办法》，发挥牵头作用，做好考核的各项准备工作，并与上级主管部门加强沟通。由于工作做得细，得到省考评组的一致好评，考核为优秀，并获奖励资金</w:t>
      </w:r>
      <w:r>
        <w:t>1000</w:t>
      </w:r>
      <w:r>
        <w:rPr>
          <w:rFonts w:hint="eastAsia"/>
        </w:rPr>
        <w:t>万元和</w:t>
      </w:r>
      <w:r>
        <w:t>500亩用地指标。与此同时，做好扩园的申</w:t>
      </w:r>
      <w:r>
        <w:rPr>
          <w:rFonts w:hint="eastAsia"/>
        </w:rPr>
        <w:t>报工作，</w:t>
      </w:r>
      <w:r>
        <w:t>2013年11月28日获省经信委等7个单位</w:t>
      </w:r>
      <w:r>
        <w:rPr>
          <w:rFonts w:hint="eastAsia"/>
        </w:rPr>
        <w:t>审</w:t>
      </w:r>
      <w:r>
        <w:rPr>
          <w:rFonts w:hint="eastAsia"/>
          <w:lang w:eastAsia="zh-CN"/>
        </w:rPr>
        <w:t>查</w:t>
      </w:r>
      <w:r>
        <w:rPr>
          <w:rFonts w:hint="eastAsia"/>
        </w:rPr>
        <w:t>通过，扩园成功。</w:t>
      </w:r>
      <w:r>
        <w:t>2013年该局因推动产业转移</w:t>
      </w:r>
      <w:r>
        <w:rPr>
          <w:rFonts w:hint="eastAsia"/>
        </w:rPr>
        <w:t>和园区建设成绩突出，被省经信委评为“通报表扬单位</w:t>
      </w:r>
      <w:r>
        <w:rPr>
          <w:rFonts w:hint="eastAsia"/>
          <w:lang w:eastAsia="zh-CN"/>
        </w:rPr>
        <w:t>”。</w:t>
      </w:r>
    </w:p>
    <w:p w14:paraId="4E3634B2">
      <w:pPr>
        <w:pStyle w:val="4"/>
        <w:bidi w:val="0"/>
        <w:rPr>
          <w:rFonts w:hint="eastAsia"/>
        </w:rPr>
      </w:pPr>
      <w:r>
        <w:rPr>
          <w:rFonts w:hint="eastAsia"/>
          <w:lang w:eastAsia="zh-CN"/>
        </w:rPr>
        <w:t>【</w:t>
      </w:r>
      <w:r>
        <w:rPr>
          <w:rFonts w:hint="eastAsia"/>
        </w:rPr>
        <w:t>中小企业发展】</w:t>
      </w:r>
    </w:p>
    <w:p w14:paraId="06EBC697">
      <w:pPr>
        <w:rPr>
          <w:rFonts w:hint="eastAsia"/>
        </w:rPr>
      </w:pPr>
      <w:r>
        <w:rPr>
          <w:rFonts w:hint="eastAsia"/>
        </w:rPr>
        <w:t>一是夯基础。加强民营企业分类信息汇总工作。按时做好定期报告全市工业投资重点项目工作和乡镇企业统计工作，对工业企业投资项目和乡镇企业的经济运行实施动态跟踪，为南雄的经济发展提供决策依据。二是强服务。主动协助企业申请办理投资备案等工作。对重点技改项目安排专人跟踪落实，督促企业完成当年的建设投资。认真协调企业技改建设中遇到的困难和问题，积极帮助企业解决技改项目融资。三是抓技改，促</w:t>
      </w:r>
      <w:r>
        <w:rPr>
          <w:rFonts w:hint="eastAsia"/>
          <w:lang w:val="en-US" w:eastAsia="zh-CN"/>
        </w:rPr>
        <w:t>产</w:t>
      </w:r>
      <w:r>
        <w:rPr>
          <w:rFonts w:hint="eastAsia"/>
        </w:rPr>
        <w:t>业升级。</w:t>
      </w:r>
      <w:r>
        <w:t>2013年积极引导相关企业争取上级项目</w:t>
      </w:r>
      <w:r>
        <w:rPr>
          <w:rFonts w:hint="eastAsia"/>
        </w:rPr>
        <w:t>扶持资金，累计申报</w:t>
      </w:r>
      <w:r>
        <w:t>10个，获上级财政资金720</w:t>
      </w:r>
      <w:r>
        <w:rPr>
          <w:rFonts w:hint="eastAsia"/>
        </w:rPr>
        <w:t>万。有力推动我市中小企业发展。</w:t>
      </w:r>
    </w:p>
    <w:p w14:paraId="304CEC94">
      <w:pPr>
        <w:pStyle w:val="4"/>
        <w:bidi w:val="0"/>
        <w:rPr>
          <w:rFonts w:hint="eastAsia"/>
        </w:rPr>
      </w:pPr>
      <w:r>
        <w:rPr>
          <w:rFonts w:hint="eastAsia"/>
        </w:rPr>
        <w:t>【节能工作】</w:t>
      </w:r>
    </w:p>
    <w:p w14:paraId="1EC1CF73">
      <w:pPr>
        <w:rPr>
          <w:rFonts w:hint="eastAsia"/>
        </w:rPr>
      </w:pPr>
      <w:r>
        <w:rPr>
          <w:rFonts w:hint="eastAsia"/>
        </w:rPr>
        <w:t>加强对重点耗能企业的监控，帮助企业通过技改推进节能工作、开展清洁生产，落实节能监督检</w:t>
      </w:r>
      <w:r>
        <w:rPr>
          <w:rFonts w:hint="eastAsia"/>
          <w:lang w:eastAsia="zh-CN"/>
        </w:rPr>
        <w:t>查</w:t>
      </w:r>
      <w:r>
        <w:rPr>
          <w:rFonts w:hint="eastAsia"/>
        </w:rPr>
        <w:t>工作，由于工作扎实，节能工作取得较好的成绩。一是重点耗能企业节能考核顺利通过。</w:t>
      </w:r>
      <w:r>
        <w:t>3月份韶关市政府组织专家组对南雄被列入韶</w:t>
      </w:r>
      <w:r>
        <w:rPr>
          <w:rFonts w:hint="eastAsia"/>
        </w:rPr>
        <w:t>关市</w:t>
      </w:r>
      <w:r>
        <w:t>62家重点耗能企业的4家企业进行年度节能</w:t>
      </w:r>
      <w:r>
        <w:rPr>
          <w:rFonts w:hint="eastAsia"/>
        </w:rPr>
        <w:t>目标评价考核。韶能珠玑纸业、乐华陶瓷经专家组评定为完成等级，绿洲纸模包装制品有限公司、彤置富水泥建材投资有限公司评定为基本完成等级。二是节能目标责任评价考核顺利通过。</w:t>
      </w:r>
      <w:r>
        <w:t>6月份，韶</w:t>
      </w:r>
      <w:r>
        <w:rPr>
          <w:rFonts w:hint="eastAsia"/>
        </w:rPr>
        <w:t>关市政府对南雄</w:t>
      </w:r>
      <w:r>
        <w:t>2012年节能目标完成情况进行考</w:t>
      </w:r>
      <w:r>
        <w:rPr>
          <w:rFonts w:hint="eastAsia"/>
        </w:rPr>
        <w:t>核，考核结果为单位</w:t>
      </w:r>
      <w:r>
        <w:t>GDP能耗下降4.22%，完成</w:t>
      </w:r>
      <w:r>
        <w:rPr>
          <w:rFonts w:hint="eastAsia"/>
        </w:rPr>
        <w:t>韶关市政府下达给南雄市的节能目标。</w:t>
      </w:r>
    </w:p>
    <w:p w14:paraId="6610332A">
      <w:pPr>
        <w:pStyle w:val="3"/>
        <w:bidi w:val="0"/>
        <w:rPr>
          <w:rFonts w:hint="default"/>
          <w:lang w:val="en-US" w:eastAsia="zh-CN"/>
        </w:rPr>
      </w:pPr>
      <w:r>
        <w:rPr>
          <w:rFonts w:hint="eastAsia"/>
          <w:lang w:val="en-US" w:eastAsia="zh-CN"/>
        </w:rPr>
        <w:t>商贸流通</w:t>
      </w:r>
    </w:p>
    <w:p w14:paraId="12A808C2">
      <w:pPr>
        <w:pStyle w:val="4"/>
        <w:bidi w:val="0"/>
        <w:rPr>
          <w:rFonts w:hint="eastAsia"/>
        </w:rPr>
      </w:pPr>
      <w:r>
        <w:rPr>
          <w:rFonts w:hint="eastAsia"/>
        </w:rPr>
        <w:t>【家电下乡】</w:t>
      </w:r>
    </w:p>
    <w:p w14:paraId="5A8508A3">
      <w:pPr>
        <w:rPr>
          <w:rFonts w:hint="eastAsia"/>
        </w:rPr>
      </w:pPr>
      <w:r>
        <w:rPr>
          <w:rFonts w:hint="eastAsia"/>
        </w:rPr>
        <w:t>根据韶关市财政局韶财工〔</w:t>
      </w:r>
      <w:r>
        <w:t>2013〕4号文精神，会同财政局对家电下乡实行“商审商</w:t>
      </w:r>
      <w:r>
        <w:rPr>
          <w:rFonts w:hint="eastAsia"/>
        </w:rPr>
        <w:t>付、财政结算”方式以来的家电下乡补偿资金进行核</w:t>
      </w:r>
      <w:r>
        <w:rPr>
          <w:rFonts w:hint="eastAsia"/>
          <w:lang w:eastAsia="zh-CN"/>
        </w:rPr>
        <w:t>查</w:t>
      </w:r>
      <w:r>
        <w:rPr>
          <w:rFonts w:hint="eastAsia"/>
        </w:rPr>
        <w:t>。</w:t>
      </w:r>
      <w:r>
        <w:t>2013年1月31日，家电下乡政策取得良好</w:t>
      </w:r>
      <w:r>
        <w:rPr>
          <w:rFonts w:hint="eastAsia"/>
        </w:rPr>
        <w:t>社会效应，销售家电产品</w:t>
      </w:r>
      <w:r>
        <w:t>93512台，累计兑付补贴29412534.73元。有力促进南雄经济发展和人民生</w:t>
      </w:r>
      <w:r>
        <w:rPr>
          <w:rFonts w:hint="eastAsia"/>
        </w:rPr>
        <w:t>活水平的提升。</w:t>
      </w:r>
    </w:p>
    <w:p w14:paraId="5DEFE0B7">
      <w:pPr>
        <w:pStyle w:val="4"/>
        <w:bidi w:val="0"/>
        <w:rPr>
          <w:rFonts w:hint="eastAsia"/>
        </w:rPr>
      </w:pPr>
      <w:r>
        <w:rPr>
          <w:rFonts w:hint="eastAsia"/>
        </w:rPr>
        <w:t>【市场经济秩序】</w:t>
      </w:r>
    </w:p>
    <w:p w14:paraId="3C483CB3">
      <w:pPr>
        <w:rPr>
          <w:rFonts w:hint="eastAsia"/>
        </w:rPr>
      </w:pPr>
      <w:r>
        <w:rPr>
          <w:rFonts w:hint="eastAsia"/>
          <w:lang w:val="en-US" w:eastAsia="zh-CN"/>
        </w:rPr>
        <w:t>一</w:t>
      </w:r>
      <w:r>
        <w:rPr>
          <w:rFonts w:hint="eastAsia"/>
        </w:rPr>
        <w:t>方面根据韶关市经信局和南雄市食品安全委员会的统一布置，进行生猪定点屠宰和酒类专卖市场食品安全大检</w:t>
      </w:r>
      <w:r>
        <w:rPr>
          <w:rFonts w:hint="eastAsia"/>
          <w:lang w:eastAsia="zh-CN"/>
        </w:rPr>
        <w:t>查</w:t>
      </w:r>
      <w:r>
        <w:rPr>
          <w:rFonts w:hint="eastAsia"/>
        </w:rPr>
        <w:t>。酒类市场检</w:t>
      </w:r>
      <w:r>
        <w:rPr>
          <w:rFonts w:hint="eastAsia"/>
          <w:lang w:eastAsia="zh-CN"/>
        </w:rPr>
        <w:t>查</w:t>
      </w:r>
      <w:r>
        <w:rPr>
          <w:rFonts w:hint="eastAsia"/>
        </w:rPr>
        <w:t>市区超市、部分酒类专卖店和酒类零售企业，有力打击制售假冒伪劣酒行为；同时配合开展打击非法添加添加剂行为。生猪定点屠宰检</w:t>
      </w:r>
      <w:r>
        <w:rPr>
          <w:rFonts w:hint="eastAsia"/>
          <w:lang w:eastAsia="zh-CN"/>
        </w:rPr>
        <w:t>查</w:t>
      </w:r>
      <w:r>
        <w:rPr>
          <w:rFonts w:hint="eastAsia"/>
        </w:rPr>
        <w:t>利民肉联厂等生猪定点屠宰企业和农贸市场。保证元旦、春节</w:t>
      </w:r>
      <w:r>
        <w:rPr>
          <w:rFonts w:hint="eastAsia"/>
          <w:lang w:eastAsia="zh-CN"/>
        </w:rPr>
        <w:t>、</w:t>
      </w:r>
      <w:r>
        <w:rPr>
          <w:rFonts w:hint="eastAsia"/>
        </w:rPr>
        <w:t>五一期间南雄市酒类市场和肉食市场的稳定和食品安全。另一方面，对南雄</w:t>
      </w:r>
      <w:r>
        <w:t>23个加油站、民爆服务</w:t>
      </w:r>
      <w:r>
        <w:rPr>
          <w:rFonts w:hint="eastAsia"/>
        </w:rPr>
        <w:t>站、重点企业进行安全生产大检</w:t>
      </w:r>
      <w:r>
        <w:rPr>
          <w:rFonts w:hint="eastAsia"/>
          <w:lang w:eastAsia="zh-CN"/>
        </w:rPr>
        <w:t>查</w:t>
      </w:r>
      <w:r>
        <w:rPr>
          <w:rFonts w:hint="eastAsia"/>
        </w:rPr>
        <w:t>，对检</w:t>
      </w:r>
      <w:r>
        <w:rPr>
          <w:rFonts w:hint="eastAsia"/>
          <w:lang w:eastAsia="zh-CN"/>
        </w:rPr>
        <w:t>查</w:t>
      </w:r>
      <w:r>
        <w:rPr>
          <w:rFonts w:hint="eastAsia"/>
        </w:rPr>
        <w:t>不合格的单位、企业限期整改，切实消除安全生产隐患。</w:t>
      </w:r>
    </w:p>
    <w:p w14:paraId="3DAFDFC6">
      <w:pPr>
        <w:jc w:val="right"/>
        <w:rPr>
          <w:rFonts w:hint="eastAsia"/>
          <w:b/>
          <w:bCs/>
        </w:rPr>
      </w:pPr>
      <w:r>
        <w:rPr>
          <w:rFonts w:hint="eastAsia"/>
          <w:b/>
          <w:bCs/>
        </w:rPr>
        <w:t>（邓国林）</w:t>
      </w:r>
    </w:p>
    <w:p w14:paraId="206E2038">
      <w:pPr>
        <w:pStyle w:val="10"/>
        <w:bidi w:val="0"/>
        <w:rPr>
          <w:b/>
          <w:bCs/>
        </w:rPr>
      </w:pPr>
      <w:r>
        <w:rPr>
          <w:rFonts w:hint="eastAsia"/>
          <w:b/>
          <w:bCs/>
        </w:rPr>
        <w:t>附：</w:t>
      </w:r>
      <w:r>
        <w:rPr>
          <w:b/>
          <w:bCs/>
        </w:rPr>
        <w:t>2013年市经信局领导班子成员名单</w:t>
      </w:r>
    </w:p>
    <w:p w14:paraId="6B0773B7">
      <w:pPr>
        <w:pStyle w:val="10"/>
        <w:bidi w:val="0"/>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廖声华</w:t>
      </w:r>
    </w:p>
    <w:p w14:paraId="72850423">
      <w:pPr>
        <w:pStyle w:val="10"/>
        <w:bidi w:val="0"/>
        <w:rPr>
          <w:rFonts w:hint="eastAsia"/>
        </w:rPr>
      </w:pPr>
      <w:r>
        <w:rPr>
          <w:rFonts w:hint="eastAsia"/>
          <w:b/>
          <w:bCs/>
        </w:rPr>
        <w:t>副</w:t>
      </w:r>
      <w:r>
        <w:rPr>
          <w:rFonts w:hint="eastAsia"/>
          <w:b/>
          <w:bCs/>
          <w:lang w:val="en-US" w:eastAsia="zh-CN"/>
        </w:rPr>
        <w:t xml:space="preserve"> </w:t>
      </w:r>
      <w:r>
        <w:rPr>
          <w:rFonts w:hint="eastAsia"/>
          <w:b/>
          <w:bCs/>
        </w:rPr>
        <w:t>局</w:t>
      </w:r>
      <w:r>
        <w:rPr>
          <w:rFonts w:hint="eastAsia"/>
          <w:b/>
          <w:bCs/>
          <w:lang w:val="en-US" w:eastAsia="zh-CN"/>
        </w:rPr>
        <w:t xml:space="preserve"> </w:t>
      </w:r>
      <w:r>
        <w:rPr>
          <w:rFonts w:hint="eastAsia"/>
          <w:b/>
          <w:bCs/>
        </w:rPr>
        <w:t>长：</w:t>
      </w:r>
      <w:r>
        <w:rPr>
          <w:rFonts w:hint="eastAsia"/>
        </w:rPr>
        <w:t>陈军曾</w:t>
      </w:r>
      <w:r>
        <w:rPr>
          <w:rFonts w:hint="eastAsia"/>
          <w:lang w:val="en-US" w:eastAsia="zh-CN"/>
        </w:rPr>
        <w:t xml:space="preserve">   </w:t>
      </w:r>
      <w:r>
        <w:rPr>
          <w:rFonts w:hint="eastAsia"/>
        </w:rPr>
        <w:t>开寿周华</w:t>
      </w:r>
    </w:p>
    <w:p w14:paraId="532DB317">
      <w:pPr>
        <w:pStyle w:val="10"/>
        <w:bidi w:val="0"/>
        <w:rPr>
          <w:rFonts w:hint="eastAsia"/>
        </w:rPr>
      </w:pPr>
      <w:r>
        <w:rPr>
          <w:rFonts w:hint="eastAsia"/>
          <w:b/>
          <w:bCs/>
        </w:rPr>
        <w:t>纪检组长：</w:t>
      </w:r>
      <w:r>
        <w:rPr>
          <w:rFonts w:hint="eastAsia"/>
        </w:rPr>
        <w:t>张邦民</w:t>
      </w:r>
    </w:p>
    <w:p w14:paraId="63110CD5">
      <w:pPr>
        <w:pStyle w:val="10"/>
        <w:bidi w:val="0"/>
        <w:rPr>
          <w:rFonts w:hint="eastAsia"/>
        </w:rPr>
      </w:pPr>
      <w:r>
        <w:rPr>
          <w:rFonts w:hint="eastAsia"/>
          <w:b/>
          <w:bCs/>
        </w:rPr>
        <w:t>工会主席：</w:t>
      </w:r>
      <w:r>
        <w:rPr>
          <w:rFonts w:hint="eastAsia"/>
        </w:rPr>
        <w:t>王福连</w:t>
      </w:r>
    </w:p>
    <w:p w14:paraId="0082B213">
      <w:pPr>
        <w:pStyle w:val="3"/>
        <w:bidi w:val="0"/>
        <w:rPr>
          <w:rFonts w:hint="default"/>
          <w:lang w:val="en-US" w:eastAsia="zh-CN"/>
        </w:rPr>
      </w:pPr>
      <w:r>
        <w:rPr>
          <w:rFonts w:hint="eastAsia"/>
          <w:lang w:val="en-US" w:eastAsia="zh-CN"/>
        </w:rPr>
        <w:t>电力工业</w:t>
      </w:r>
    </w:p>
    <w:p w14:paraId="2E18B4CF">
      <w:pPr>
        <w:pStyle w:val="4"/>
        <w:bidi w:val="0"/>
        <w:rPr>
          <w:rFonts w:hint="eastAsia"/>
        </w:rPr>
      </w:pPr>
      <w:r>
        <w:rPr>
          <w:rFonts w:hint="eastAsia"/>
          <w:lang w:eastAsia="zh-CN"/>
        </w:rPr>
        <w:t>【</w:t>
      </w:r>
      <w:r>
        <w:rPr>
          <w:rFonts w:hint="eastAsia"/>
        </w:rPr>
        <w:t>概况】</w:t>
      </w:r>
    </w:p>
    <w:p w14:paraId="745EC351">
      <w:r>
        <w:t>2013年，南雄供电局（以下简称供电</w:t>
      </w:r>
      <w:r>
        <w:rPr>
          <w:rFonts w:hint="eastAsia"/>
        </w:rPr>
        <w:t>局）完成售电量</w:t>
      </w:r>
      <w:r>
        <w:t>3.28亿千瓦时，同比增长2.2%；</w:t>
      </w:r>
      <w:r>
        <w:rPr>
          <w:rFonts w:hint="eastAsia"/>
        </w:rPr>
        <w:t>电费回收率</w:t>
      </w:r>
      <w:r>
        <w:t>100%，历年旧欠电费为零；供电可靠</w:t>
      </w:r>
      <w:r>
        <w:rPr>
          <w:rFonts w:hint="eastAsia"/>
        </w:rPr>
        <w:t>性达</w:t>
      </w:r>
      <w:r>
        <w:t>99.947%，同比提高0.14个百分点；综合电</w:t>
      </w:r>
      <w:r>
        <w:rPr>
          <w:rFonts w:hint="eastAsia"/>
        </w:rPr>
        <w:t>压合格率</w:t>
      </w:r>
      <w:r>
        <w:t>99.28%，同比提高6.15个百分点；用户</w:t>
      </w:r>
      <w:r>
        <w:rPr>
          <w:rFonts w:hint="eastAsia"/>
        </w:rPr>
        <w:t>平均停电时间</w:t>
      </w:r>
      <w:r>
        <w:t>4.61小时</w:t>
      </w:r>
      <w:r>
        <w:rPr>
          <w:rFonts w:hint="eastAsia"/>
          <w:lang w:val="en-US" w:eastAsia="zh-CN"/>
        </w:rPr>
        <w:t>/</w:t>
      </w:r>
      <w:r>
        <w:t>户，同比减少12.34小时</w:t>
      </w:r>
      <w:r>
        <w:rPr>
          <w:rFonts w:hint="eastAsia"/>
          <w:lang w:val="en-US" w:eastAsia="zh-CN"/>
        </w:rPr>
        <w:t>/</w:t>
      </w:r>
      <w:r>
        <w:rPr>
          <w:rFonts w:hint="eastAsia"/>
        </w:rPr>
        <w:t>户；故障平均停电时间</w:t>
      </w:r>
      <w:r>
        <w:t>1.26小时，同比下降3.36</w:t>
      </w:r>
      <w:r>
        <w:rPr>
          <w:rFonts w:hint="eastAsia"/>
        </w:rPr>
        <w:t>小时；用户平均停电次数</w:t>
      </w:r>
      <w:r>
        <w:t>1.283次，同比减少3.328次；第三方客户满意度83分，同比提高10</w:t>
      </w:r>
      <w:r>
        <w:rPr>
          <w:rFonts w:hint="eastAsia"/>
        </w:rPr>
        <w:t>分。实现安全运行</w:t>
      </w:r>
      <w:r>
        <w:t>365天，跨年度安全运行4000</w:t>
      </w:r>
      <w:r>
        <w:rPr>
          <w:rFonts w:hint="eastAsia"/>
        </w:rPr>
        <w:t>天，创历史新高。辖变电站</w:t>
      </w:r>
      <w:r>
        <w:t>10座，其中220千伏</w:t>
      </w:r>
      <w:r>
        <w:rPr>
          <w:rFonts w:hint="eastAsia"/>
        </w:rPr>
        <w:t>变电站</w:t>
      </w:r>
      <w:r>
        <w:rPr>
          <w:rFonts w:hint="eastAsia"/>
          <w:lang w:val="en-US" w:eastAsia="zh-CN"/>
        </w:rPr>
        <w:t>1</w:t>
      </w:r>
      <w:r>
        <w:t>座，110千伏变电站5座，35千伏变电站4座，主变容量503.75兆伏安，10千伏及以上电</w:t>
      </w:r>
      <w:r>
        <w:rPr>
          <w:rFonts w:hint="eastAsia"/>
        </w:rPr>
        <w:t>压等级线路</w:t>
      </w:r>
      <w:r>
        <w:t>1589公里。</w:t>
      </w:r>
    </w:p>
    <w:p w14:paraId="7C6D878E">
      <w:pPr>
        <w:rPr>
          <w:rFonts w:hint="eastAsia"/>
        </w:rPr>
      </w:pPr>
      <w:r>
        <w:t>2013年，供电局有在职职工429名，职能部门</w:t>
      </w:r>
      <w:r>
        <w:rPr>
          <w:rFonts w:hint="eastAsia"/>
        </w:rPr>
        <w:t>设“八部一室”：即办公室、人力资源部、财务部</w:t>
      </w:r>
      <w:r>
        <w:rPr>
          <w:rFonts w:hint="eastAsia"/>
          <w:lang w:eastAsia="zh-CN"/>
        </w:rPr>
        <w:t>、</w:t>
      </w:r>
      <w:r>
        <w:rPr>
          <w:rFonts w:hint="eastAsia"/>
        </w:rPr>
        <w:t>市场营销部、计划建设部、生产设备管理部、安全监管部、监察审计部（与纪委合署）、党群工作部</w:t>
      </w:r>
      <w:r>
        <w:rPr>
          <w:rFonts w:hint="eastAsia"/>
          <w:lang w:eastAsia="zh-CN"/>
        </w:rPr>
        <w:t>（</w:t>
      </w:r>
      <w:r>
        <w:rPr>
          <w:rFonts w:hint="eastAsia"/>
        </w:rPr>
        <w:t>与工会、团委合署）；二级机构设“一所二中心”：即输变电管理所、电力调度控制中心、物流服务中心；下设</w:t>
      </w:r>
      <w:r>
        <w:t>14个基层供电所作为派出机构，</w:t>
      </w:r>
      <w:r>
        <w:rPr>
          <w:rFonts w:hint="eastAsia"/>
        </w:rPr>
        <w:t>管理各镇（街道）用电业务。</w:t>
      </w:r>
    </w:p>
    <w:p w14:paraId="390C0579">
      <w:pPr>
        <w:pStyle w:val="4"/>
        <w:bidi w:val="0"/>
        <w:rPr>
          <w:rFonts w:hint="eastAsia"/>
        </w:rPr>
      </w:pPr>
      <w:r>
        <w:rPr>
          <w:rFonts w:hint="eastAsia"/>
        </w:rPr>
        <w:t>【安全管理】</w:t>
      </w:r>
    </w:p>
    <w:p w14:paraId="5FC25D15">
      <w:pPr>
        <w:rPr>
          <w:rFonts w:hint="eastAsia"/>
        </w:rPr>
      </w:pPr>
      <w:r>
        <w:rPr>
          <w:rFonts w:hint="eastAsia"/>
        </w:rPr>
        <w:t>开展电力企业标准化评级和电网及现场设备类差异性排</w:t>
      </w:r>
      <w:r>
        <w:rPr>
          <w:rFonts w:hint="eastAsia"/>
          <w:lang w:eastAsia="zh-CN"/>
        </w:rPr>
        <w:t>查</w:t>
      </w:r>
      <w:r>
        <w:rPr>
          <w:rFonts w:hint="eastAsia"/>
        </w:rPr>
        <w:t>，加强运行分析，全面掌握电网风险、设备现状及运维薄弱环节，风险管控水平得到进一步提升。狠抓“三基工程”建设，参加准军事化和安</w:t>
      </w:r>
      <w:r>
        <w:rPr>
          <w:rFonts w:hint="eastAsia"/>
          <w:lang w:val="en-US" w:eastAsia="zh-CN"/>
        </w:rPr>
        <w:t>全</w:t>
      </w:r>
      <w:r>
        <w:rPr>
          <w:rFonts w:hint="eastAsia"/>
        </w:rPr>
        <w:t>操作技能培训，强化“十个规定动作”和“两票”的刚性执行。强化督</w:t>
      </w:r>
      <w:r>
        <w:rPr>
          <w:rFonts w:hint="eastAsia"/>
          <w:lang w:eastAsia="zh-CN"/>
        </w:rPr>
        <w:t>查</w:t>
      </w:r>
      <w:r>
        <w:rPr>
          <w:rFonts w:hint="eastAsia"/>
        </w:rPr>
        <w:t>计划管理，开展安全督</w:t>
      </w:r>
      <w:r>
        <w:rPr>
          <w:rFonts w:hint="eastAsia"/>
          <w:lang w:eastAsia="zh-CN"/>
        </w:rPr>
        <w:t>查</w:t>
      </w:r>
      <w:r>
        <w:t>930次，加强对违章行为的整改监</w:t>
      </w:r>
      <w:r>
        <w:rPr>
          <w:rFonts w:hint="eastAsia"/>
        </w:rPr>
        <w:t>督，整改率达</w:t>
      </w:r>
      <w:r>
        <w:t>100%。在韶关市供电局组织开展的</w:t>
      </w:r>
      <w:r>
        <w:rPr>
          <w:rFonts w:hint="eastAsia"/>
        </w:rPr>
        <w:t>安风体系内审中，供电局获得满分值</w:t>
      </w:r>
      <w:r>
        <w:t>64分。调度</w:t>
      </w:r>
      <w:r>
        <w:rPr>
          <w:rFonts w:hint="eastAsia"/>
        </w:rPr>
        <w:t>业务规范化工作顺利通过南方电网公司考评验收。进一步深化“两册”应用，通过广东电网公司验收。从实际应用出发，修编完成</w:t>
      </w:r>
      <w:r>
        <w:t>1+15模式的预案</w:t>
      </w:r>
      <w:r>
        <w:rPr>
          <w:rFonts w:hint="eastAsia"/>
        </w:rPr>
        <w:t>体系和年度应急演练计划表，完善预案体系的可操作性。着力提升应急处置能力，相继开展电力供应及电网事故、防风防汛、配网大面积停电等实战演练。南雄电网从容应对了迎峰度夏、迎峰度冬等带来的电网负荷风险，保持电网的安全稳定运行。</w:t>
      </w:r>
    </w:p>
    <w:p w14:paraId="56510CEC">
      <w:pPr>
        <w:pStyle w:val="4"/>
        <w:bidi w:val="0"/>
        <w:rPr>
          <w:rFonts w:hint="eastAsia"/>
        </w:rPr>
      </w:pPr>
      <w:r>
        <w:rPr>
          <w:rFonts w:hint="eastAsia"/>
          <w:lang w:eastAsia="zh-CN"/>
        </w:rPr>
        <w:t>【</w:t>
      </w:r>
      <w:r>
        <w:rPr>
          <w:rFonts w:hint="eastAsia"/>
        </w:rPr>
        <w:t>电网建设】</w:t>
      </w:r>
    </w:p>
    <w:p w14:paraId="1F712C19">
      <w:pPr>
        <w:rPr>
          <w:rFonts w:hint="eastAsia"/>
        </w:rPr>
      </w:pPr>
      <w:r>
        <w:t>2013年，供电局争取电网建设项目</w:t>
      </w:r>
      <w:r>
        <w:rPr>
          <w:rFonts w:hint="eastAsia"/>
        </w:rPr>
        <w:t>资金，加强电网建设与改造，优化电网结构，提高供电能力。年电网工程项目投入</w:t>
      </w:r>
      <w:r>
        <w:t>6949万元，其中</w:t>
      </w:r>
      <w:r>
        <w:rPr>
          <w:rFonts w:hint="eastAsia"/>
        </w:rPr>
        <w:t>农网改造资金</w:t>
      </w:r>
      <w:r>
        <w:t>3900万元，改造10千伏线路41.3千</w:t>
      </w:r>
      <w:r>
        <w:rPr>
          <w:rFonts w:hint="eastAsia"/>
        </w:rPr>
        <w:t>米，改造台区</w:t>
      </w:r>
      <w:r>
        <w:t>56个，新增变压器容量9230千伏</w:t>
      </w:r>
      <w:r>
        <w:rPr>
          <w:rFonts w:hint="eastAsia"/>
        </w:rPr>
        <w:t>安，改造低压线路</w:t>
      </w:r>
      <w:r>
        <w:t>94.2千米。南雄城乡供电可靠</w:t>
      </w:r>
      <w:r>
        <w:rPr>
          <w:rFonts w:hint="eastAsia"/>
        </w:rPr>
        <w:t>性稳步提升，供电可靠性达</w:t>
      </w:r>
      <w:r>
        <w:t>99.947%，用户平均停</w:t>
      </w:r>
      <w:r>
        <w:rPr>
          <w:rFonts w:hint="eastAsia"/>
        </w:rPr>
        <w:t>电时间同比减少</w:t>
      </w:r>
      <w:r>
        <w:t>12.34小时</w:t>
      </w:r>
      <w:r>
        <w:rPr>
          <w:rFonts w:hint="eastAsia"/>
          <w:lang w:val="en-US" w:eastAsia="zh-CN"/>
        </w:rPr>
        <w:t>/</w:t>
      </w:r>
      <w:r>
        <w:t>户。2013年，针对城</w:t>
      </w:r>
      <w:r>
        <w:rPr>
          <w:rFonts w:hint="eastAsia"/>
        </w:rPr>
        <w:t>区用电负荷增长，投资</w:t>
      </w:r>
      <w:r>
        <w:t>599万元将10千伏雄全线</w:t>
      </w:r>
      <w:r>
        <w:rPr>
          <w:rFonts w:hint="eastAsia"/>
        </w:rPr>
        <w:t>解口，新架设</w:t>
      </w:r>
      <w:r>
        <w:t>8千米双回线路接入城区，解决金鹏</w:t>
      </w:r>
      <w:r>
        <w:rPr>
          <w:rFonts w:hint="eastAsia"/>
        </w:rPr>
        <w:t>花园、银兴花园小区用电增长以及新城金刚小区</w:t>
      </w:r>
      <w:r>
        <w:rPr>
          <w:rFonts w:hint="eastAsia"/>
          <w:lang w:eastAsia="zh-CN"/>
        </w:rPr>
        <w:t>、</w:t>
      </w:r>
      <w:r>
        <w:rPr>
          <w:rFonts w:hint="eastAsia"/>
        </w:rPr>
        <w:t>珠江影视城发展用电需求问题，工程跨越浈江河段成功采取河底电缆敷设，在韶关</w:t>
      </w:r>
      <w:r>
        <w:t>8个县（市）中首</w:t>
      </w:r>
      <w:r>
        <w:rPr>
          <w:rFonts w:hint="eastAsia"/>
        </w:rPr>
        <w:t>开先河，不仅美化了城市面貌，还大大提高了城区供电可靠性。</w:t>
      </w:r>
      <w:r>
        <w:t>110千伏黄坑变电站黄坑线与邓坊线</w:t>
      </w:r>
      <w:r>
        <w:rPr>
          <w:rFonts w:hint="eastAsia"/>
        </w:rPr>
        <w:t>环网、</w:t>
      </w:r>
      <w:r>
        <w:t>110千伏南雄变电站河南工业区线与110千</w:t>
      </w:r>
      <w:r>
        <w:rPr>
          <w:rFonts w:hint="eastAsia"/>
        </w:rPr>
        <w:t>伏全安变电站古市线环网、</w:t>
      </w:r>
      <w:r>
        <w:t>220千伏珠玑变电站太</w:t>
      </w:r>
      <w:r>
        <w:rPr>
          <w:rFonts w:hint="eastAsia"/>
        </w:rPr>
        <w:t>和线与</w:t>
      </w:r>
      <w:r>
        <w:t>110千伏南雄变电站黎口线环网工程的改造</w:t>
      </w:r>
      <w:r>
        <w:rPr>
          <w:rFonts w:hint="eastAsia"/>
        </w:rPr>
        <w:t>升级和</w:t>
      </w:r>
      <w:r>
        <w:t>10千伏乌迳Ⅱ线的顺利投运，满足城镇化</w:t>
      </w:r>
      <w:r>
        <w:rPr>
          <w:rFonts w:hint="eastAsia"/>
        </w:rPr>
        <w:t>发展用电需求。</w:t>
      </w:r>
    </w:p>
    <w:p w14:paraId="62F984A6">
      <w:pPr>
        <w:pStyle w:val="4"/>
        <w:bidi w:val="0"/>
        <w:rPr>
          <w:rFonts w:hint="eastAsia"/>
        </w:rPr>
      </w:pPr>
      <w:r>
        <w:rPr>
          <w:rFonts w:hint="eastAsia"/>
        </w:rPr>
        <w:t>【优质服务】</w:t>
      </w:r>
    </w:p>
    <w:p w14:paraId="6D82EB9C">
      <w:r>
        <w:rPr>
          <w:rFonts w:hint="eastAsia"/>
        </w:rPr>
        <w:t>供电局秉承“以客为尊，和谐共赢”的服务理念，努力提升优质服务水平。及时跟进精细化工园二期、大润发广场、南雄一小以及</w:t>
      </w:r>
      <w:r>
        <w:t>244套保障房等市重点项目建设，开通绿色通道，</w:t>
      </w:r>
      <w:r>
        <w:rPr>
          <w:rFonts w:hint="eastAsia"/>
        </w:rPr>
        <w:t>确保项目建设顺利投产。积极做好烤烟和抗旱保供电工作，新装（更换）烤烟与抗旱变压器</w:t>
      </w:r>
      <w:r>
        <w:t>30台，</w:t>
      </w:r>
      <w:r>
        <w:rPr>
          <w:rFonts w:hint="eastAsia"/>
        </w:rPr>
        <w:t>协助村民新装灌溉专变</w:t>
      </w:r>
      <w:r>
        <w:t>16台，做好优质服务，确</w:t>
      </w:r>
      <w:r>
        <w:rPr>
          <w:rFonts w:hint="eastAsia"/>
        </w:rPr>
        <w:t>保烟农烤烟与抗旱灌溉用电正常，受到地方政府和村民的一致好评。大力实施客户服务改进行动方案，推广多种非现金缴费业务，主动上门为客户排</w:t>
      </w:r>
      <w:r>
        <w:rPr>
          <w:rFonts w:hint="eastAsia"/>
          <w:lang w:eastAsia="zh-CN"/>
        </w:rPr>
        <w:t>查</w:t>
      </w:r>
      <w:r>
        <w:rPr>
          <w:rFonts w:hint="eastAsia"/>
        </w:rPr>
        <w:t>整治安全隐患，义务对</w:t>
      </w:r>
      <w:r>
        <w:t>70家企业电工开展安全</w:t>
      </w:r>
      <w:r>
        <w:rPr>
          <w:rFonts w:hint="eastAsia"/>
        </w:rPr>
        <w:t>技能培训，并提供各类政策、技术和服务咨询。召开行风监督员、阳光使者座谈会，走访客户，广泛听取客户的意见和建议，把用户反映的热点、难点问题作为整改的重点，促进供电服务质量再上新台阶。技改修理、基建项目以及运维措施解决</w:t>
      </w:r>
      <w:r>
        <w:t>24个</w:t>
      </w:r>
      <w:r>
        <w:rPr>
          <w:rFonts w:hint="eastAsia"/>
        </w:rPr>
        <w:t>台区低电压问题，村民用电得到保障。开展“送电影下乡普及用电知识”活动，吸引</w:t>
      </w:r>
      <w:r>
        <w:t>2000多名群众</w:t>
      </w:r>
      <w:r>
        <w:rPr>
          <w:rFonts w:hint="eastAsia"/>
        </w:rPr>
        <w:t>到场观看，派发用电宣传资料</w:t>
      </w:r>
      <w:r>
        <w:t>10000多份。2013</w:t>
      </w:r>
      <w:r>
        <w:rPr>
          <w:rFonts w:hint="eastAsia"/>
        </w:rPr>
        <w:t>年，在全球著名的盖洛普公司组织的第三方客户满意度调</w:t>
      </w:r>
      <w:r>
        <w:rPr>
          <w:rFonts w:hint="eastAsia"/>
          <w:lang w:eastAsia="zh-CN"/>
        </w:rPr>
        <w:t>查</w:t>
      </w:r>
      <w:r>
        <w:rPr>
          <w:rFonts w:hint="eastAsia"/>
        </w:rPr>
        <w:t>中，供电局取得</w:t>
      </w:r>
      <w:r>
        <w:t>83分，同比提高10分。</w:t>
      </w:r>
    </w:p>
    <w:p w14:paraId="13328810">
      <w:pPr>
        <w:pStyle w:val="4"/>
        <w:bidi w:val="0"/>
        <w:rPr>
          <w:rFonts w:hint="eastAsia"/>
        </w:rPr>
      </w:pPr>
      <w:r>
        <w:rPr>
          <w:rFonts w:hint="eastAsia"/>
          <w:lang w:eastAsia="zh-CN"/>
        </w:rPr>
        <w:t>【</w:t>
      </w:r>
      <w:r>
        <w:rPr>
          <w:rFonts w:hint="eastAsia"/>
        </w:rPr>
        <w:t>党建工作】</w:t>
      </w:r>
    </w:p>
    <w:p w14:paraId="0070D02A">
      <w:pPr>
        <w:rPr>
          <w:rFonts w:hint="eastAsia"/>
        </w:rPr>
      </w:pPr>
      <w:r>
        <w:rPr>
          <w:rFonts w:hint="eastAsia"/>
        </w:rPr>
        <w:t>开展党的群众路线教育实践活动，坚决反对“四风”问题。班子成员通过下基层调研、拜访客户方式，收集职工提出的意见建议</w:t>
      </w:r>
      <w:r>
        <w:t>70</w:t>
      </w:r>
      <w:r>
        <w:rPr>
          <w:rFonts w:hint="eastAsia"/>
        </w:rPr>
        <w:t>条，解决基层提出的困难</w:t>
      </w:r>
      <w:r>
        <w:t>60个。推进学习型党组</w:t>
      </w:r>
      <w:r>
        <w:rPr>
          <w:rFonts w:hint="eastAsia"/>
        </w:rPr>
        <w:t>织建设，重点深入学习、准确理解把握党的十八大、十八届三中全会精神。推进作风建设。通过参观预防职务犯罪警示教育展览、文化专栏等多渠道、多形式开展预防职务犯罪教育，增强干部员工廉洁自律和拒腐防变的能力。推进幸福企业建设</w:t>
      </w:r>
      <w:r>
        <w:rPr>
          <w:rFonts w:hint="eastAsia"/>
          <w:lang w:eastAsia="zh-CN"/>
        </w:rPr>
        <w:t>。</w:t>
      </w:r>
      <w:r>
        <w:rPr>
          <w:rFonts w:hint="eastAsia"/>
        </w:rPr>
        <w:t>组织开展钓鱼比赛、“电力杯”羽毛球赛、篮球赛等丰富多彩的文体活动，进一步激发员工工作热情，增强企业凝聚力和向心力。</w:t>
      </w:r>
    </w:p>
    <w:p w14:paraId="1BF5E150">
      <w:pPr>
        <w:jc w:val="right"/>
        <w:rPr>
          <w:rFonts w:hint="eastAsia"/>
          <w:b/>
          <w:bCs/>
          <w:lang w:eastAsia="zh-CN"/>
        </w:rPr>
      </w:pPr>
      <w:r>
        <w:rPr>
          <w:rFonts w:hint="eastAsia"/>
          <w:b/>
          <w:bCs/>
        </w:rPr>
        <w:t>（文振才</w:t>
      </w:r>
      <w:r>
        <w:rPr>
          <w:rFonts w:hint="eastAsia"/>
          <w:b/>
          <w:bCs/>
          <w:lang w:eastAsia="zh-CN"/>
        </w:rPr>
        <w:t>）</w:t>
      </w:r>
    </w:p>
    <w:p w14:paraId="43273A46">
      <w:pPr>
        <w:pStyle w:val="10"/>
        <w:bidi w:val="0"/>
        <w:rPr>
          <w:b/>
          <w:bCs/>
        </w:rPr>
      </w:pPr>
      <w:r>
        <w:rPr>
          <w:rFonts w:hint="eastAsia"/>
          <w:b/>
          <w:bCs/>
        </w:rPr>
        <w:t>附：</w:t>
      </w:r>
      <w:r>
        <w:rPr>
          <w:b/>
          <w:bCs/>
        </w:rPr>
        <w:t>2013年市供电局领导班子成员名单</w:t>
      </w:r>
    </w:p>
    <w:p w14:paraId="3B4EDD03">
      <w:pPr>
        <w:pStyle w:val="10"/>
        <w:bidi w:val="0"/>
        <w:rPr>
          <w:rFonts w:hint="eastAsia"/>
        </w:rPr>
      </w:pPr>
      <w:r>
        <w:rPr>
          <w:rFonts w:hint="eastAsia"/>
          <w:b/>
          <w:bCs/>
        </w:rPr>
        <w:t>局长、党委副书记：</w:t>
      </w:r>
      <w:r>
        <w:rPr>
          <w:rFonts w:hint="eastAsia"/>
        </w:rPr>
        <w:t>罗海斌</w:t>
      </w:r>
    </w:p>
    <w:p w14:paraId="6F7C8316">
      <w:pPr>
        <w:pStyle w:val="10"/>
        <w:bidi w:val="0"/>
        <w:rPr>
          <w:rFonts w:hint="eastAsia"/>
        </w:rPr>
      </w:pPr>
      <w:r>
        <w:rPr>
          <w:rFonts w:hint="eastAsia"/>
          <w:b/>
          <w:bCs/>
        </w:rPr>
        <w:t>党委副书记、纪委书记、工会主席</w:t>
      </w:r>
      <w:r>
        <w:rPr>
          <w:rFonts w:hint="eastAsia"/>
        </w:rPr>
        <w:t>：黄立华</w:t>
      </w:r>
    </w:p>
    <w:p w14:paraId="3B25640D">
      <w:pPr>
        <w:pStyle w:val="10"/>
        <w:bidi w:val="0"/>
        <w:rPr>
          <w:rFonts w:hint="eastAsia"/>
        </w:rPr>
      </w:pPr>
      <w:r>
        <w:rPr>
          <w:rFonts w:hint="eastAsia"/>
          <w:b/>
          <w:bCs/>
        </w:rPr>
        <w:t>副局长：</w:t>
      </w:r>
      <w:r>
        <w:rPr>
          <w:rFonts w:hint="eastAsia"/>
        </w:rPr>
        <w:t>叶向红</w:t>
      </w:r>
      <w:r>
        <w:rPr>
          <w:rFonts w:hint="eastAsia"/>
          <w:lang w:val="en-US" w:eastAsia="zh-CN"/>
        </w:rPr>
        <w:t xml:space="preserve">   </w:t>
      </w:r>
      <w:r>
        <w:rPr>
          <w:rFonts w:hint="eastAsia"/>
        </w:rPr>
        <w:t>叶志勇</w:t>
      </w:r>
      <w:r>
        <w:rPr>
          <w:rFonts w:hint="eastAsia"/>
          <w:lang w:val="en-US" w:eastAsia="zh-CN"/>
        </w:rPr>
        <w:t xml:space="preserve">   </w:t>
      </w:r>
      <w:r>
        <w:rPr>
          <w:rFonts w:hint="eastAsia"/>
        </w:rPr>
        <w:t>李训忠</w:t>
      </w:r>
    </w:p>
    <w:p w14:paraId="7CA16EB6">
      <w:pPr>
        <w:pStyle w:val="3"/>
        <w:bidi w:val="0"/>
        <w:rPr>
          <w:rFonts w:hint="eastAsia"/>
        </w:rPr>
      </w:pPr>
      <w:r>
        <w:rPr>
          <w:rFonts w:hint="eastAsia"/>
        </w:rPr>
        <w:t>东莞大岭山（南雄）产业转移工业园</w:t>
      </w:r>
    </w:p>
    <w:p w14:paraId="77B0C9C1">
      <w:pPr>
        <w:pStyle w:val="4"/>
        <w:bidi w:val="0"/>
        <w:rPr>
          <w:rFonts w:hint="eastAsia"/>
        </w:rPr>
      </w:pPr>
      <w:r>
        <w:rPr>
          <w:rFonts w:hint="eastAsia"/>
        </w:rPr>
        <w:t>【概况】</w:t>
      </w:r>
    </w:p>
    <w:p w14:paraId="58CD4C43">
      <w:r>
        <w:rPr>
          <w:rFonts w:hint="eastAsia"/>
        </w:rPr>
        <w:t>东莞大岭山（南雄）产业转移工业园管理处作为南雄市政府的直属正科级事业单位，核实编制人员</w:t>
      </w:r>
      <w:r>
        <w:t>31人，班子成员一正、三副，中层职数6</w:t>
      </w:r>
      <w:r>
        <w:rPr>
          <w:rFonts w:hint="eastAsia"/>
        </w:rPr>
        <w:t>人，设党政办公室、招商服务室、基建室、企业发展室、融资服务室、统计信息室等</w:t>
      </w:r>
      <w:r>
        <w:t>6个股室。</w:t>
      </w:r>
    </w:p>
    <w:p w14:paraId="7C1689E3">
      <w:pPr>
        <w:rPr>
          <w:rFonts w:hint="eastAsia"/>
        </w:rPr>
      </w:pPr>
      <w:r>
        <w:t>2013年，园区获得广东省产业转移目标责任考</w:t>
      </w:r>
      <w:r>
        <w:rPr>
          <w:rFonts w:hint="eastAsia"/>
        </w:rPr>
        <w:t>核优秀等次，这是该园区自</w:t>
      </w:r>
      <w:r>
        <w:t>2010年以来连续第4</w:t>
      </w:r>
      <w:r>
        <w:rPr>
          <w:rFonts w:hint="eastAsia"/>
        </w:rPr>
        <w:t>年获此殊荣。</w:t>
      </w:r>
    </w:p>
    <w:p w14:paraId="0E1E5B72">
      <w:pPr>
        <w:pStyle w:val="4"/>
        <w:bidi w:val="0"/>
        <w:rPr>
          <w:rFonts w:hint="eastAsia"/>
        </w:rPr>
      </w:pPr>
      <w:r>
        <w:rPr>
          <w:rFonts w:hint="eastAsia"/>
        </w:rPr>
        <w:t>【承接产业转移，经济增长显</w:t>
      </w:r>
      <w:r>
        <w:rPr>
          <w:rFonts w:hint="eastAsia"/>
          <w:lang w:val="en-US" w:eastAsia="zh-CN"/>
        </w:rPr>
        <w:t>著</w:t>
      </w:r>
      <w:r>
        <w:rPr>
          <w:rFonts w:hint="eastAsia"/>
        </w:rPr>
        <w:t>】</w:t>
      </w:r>
    </w:p>
    <w:p w14:paraId="63FA4BB2">
      <w:r>
        <w:rPr>
          <w:rFonts w:hint="eastAsia"/>
        </w:rPr>
        <w:t>入园的</w:t>
      </w:r>
      <w:r>
        <w:t>100家</w:t>
      </w:r>
      <w:r>
        <w:rPr>
          <w:rFonts w:hint="eastAsia"/>
        </w:rPr>
        <w:t>企业中，</w:t>
      </w:r>
      <w:r>
        <w:t>69家企业进入投试产，规模以上企业53</w:t>
      </w:r>
      <w:r>
        <w:rPr>
          <w:rFonts w:hint="eastAsia"/>
        </w:rPr>
        <w:t>家。园区</w:t>
      </w:r>
      <w:r>
        <w:t>2013年固定资产投资19.05亿元；完成工</w:t>
      </w:r>
      <w:r>
        <w:rPr>
          <w:rFonts w:hint="eastAsia"/>
        </w:rPr>
        <w:t>业总产值</w:t>
      </w:r>
      <w:r>
        <w:t>71.01亿元，比上年增长54.41%；完成</w:t>
      </w:r>
      <w:r>
        <w:rPr>
          <w:rFonts w:hint="eastAsia"/>
        </w:rPr>
        <w:t>工业增加值</w:t>
      </w:r>
      <w:r>
        <w:t>18.42亿元，工业增速为52.61%，完</w:t>
      </w:r>
      <w:r>
        <w:rPr>
          <w:rFonts w:hint="eastAsia"/>
        </w:rPr>
        <w:t>成税收</w:t>
      </w:r>
      <w:r>
        <w:t>3.2亿元，比上年增长60.19%。</w:t>
      </w:r>
    </w:p>
    <w:p w14:paraId="3B32E383">
      <w:pPr>
        <w:pStyle w:val="4"/>
        <w:bidi w:val="0"/>
        <w:rPr>
          <w:rFonts w:hint="eastAsia"/>
        </w:rPr>
      </w:pPr>
      <w:r>
        <w:rPr>
          <w:rFonts w:hint="eastAsia"/>
        </w:rPr>
        <w:t>【创新规划思路，产业功能齐备】</w:t>
      </w:r>
    </w:p>
    <w:p w14:paraId="4BA19130">
      <w:pPr>
        <w:rPr>
          <w:rFonts w:hint="eastAsia"/>
        </w:rPr>
      </w:pPr>
      <w:r>
        <w:rPr>
          <w:rFonts w:hint="eastAsia"/>
        </w:rPr>
        <w:t>按照产业发展、公用设施、物流输送、环保安全、管理服务等五个“一体化”的规划理念，整合有限的土地资源，统</w:t>
      </w:r>
      <w:r>
        <w:rPr>
          <w:rFonts w:hint="eastAsia"/>
          <w:lang w:val="en-US" w:eastAsia="zh-CN"/>
        </w:rPr>
        <w:t>一</w:t>
      </w:r>
      <w:r>
        <w:rPr>
          <w:rFonts w:hint="eastAsia"/>
        </w:rPr>
        <w:t>规划设置生产、研发、物流、仓储、生活服务和</w:t>
      </w:r>
      <w:r>
        <w:rPr>
          <w:rFonts w:hint="eastAsia"/>
          <w:lang w:val="en-US" w:eastAsia="zh-CN"/>
        </w:rPr>
        <w:t>产</w:t>
      </w:r>
      <w:r>
        <w:rPr>
          <w:rFonts w:hint="eastAsia"/>
        </w:rPr>
        <w:t>品交易六大功能区。污水处理厂、消防应急池</w:t>
      </w:r>
      <w:r>
        <w:rPr>
          <w:rFonts w:hint="eastAsia"/>
          <w:lang w:eastAsia="zh-CN"/>
        </w:rPr>
        <w:t>、</w:t>
      </w:r>
      <w:r>
        <w:rPr>
          <w:rFonts w:hint="eastAsia"/>
        </w:rPr>
        <w:t>安全视频监控平台、应急救援中心、安全生产监督站、精细化工产品检验中心等已建成投入使用，省化工产品电子交易物流中心、省化工原料仓储中心、中科院南雄产学研合作基地等配套项目有序推进，各种配套设施不断完善，初步形成</w:t>
      </w:r>
      <w:r>
        <w:t>.“布局合</w:t>
      </w:r>
      <w:r>
        <w:rPr>
          <w:rFonts w:hint="eastAsia"/>
        </w:rPr>
        <w:t>理、功能完善、层次分明、体系完备”的特色产业园区格局，增强园区的发展活力和后劲。</w:t>
      </w:r>
    </w:p>
    <w:p w14:paraId="3B8E75E4">
      <w:pPr>
        <w:pStyle w:val="4"/>
        <w:bidi w:val="0"/>
        <w:rPr>
          <w:rFonts w:hint="eastAsia"/>
        </w:rPr>
      </w:pPr>
      <w:r>
        <w:rPr>
          <w:rFonts w:hint="eastAsia"/>
        </w:rPr>
        <w:t>【拓宽融资渠道，优化投资环境】</w:t>
      </w:r>
    </w:p>
    <w:p w14:paraId="1ECE8422">
      <w:pPr>
        <w:rPr>
          <w:rFonts w:hint="eastAsia"/>
        </w:rPr>
      </w:pPr>
      <w:r>
        <w:rPr>
          <w:rFonts w:hint="eastAsia"/>
        </w:rPr>
        <w:t>为解决园区建设资金不足的困难，园区解放思想，创新融资方式。一是加强政企合作，引进战略投资者。以政企合作的方式，借助企业的资金优势，加快园区建设进度。二是建立“四位一体”的融资平台。与国家开发银行广东省分行签定为园区建设和入园企业融资授信</w:t>
      </w:r>
      <w:r>
        <w:t>9亿元人民币的合作协议，设立金融服务办</w:t>
      </w:r>
      <w:r>
        <w:rPr>
          <w:rFonts w:hint="eastAsia"/>
        </w:rPr>
        <w:t>公室，成立政策性的南雄市雄健担保有限公司，形成政府、银行、企业、社会中介四位一体的融资新机制和模式，为园区基础设施建设和</w:t>
      </w:r>
      <w:r>
        <w:rPr>
          <w:rFonts w:hint="eastAsia"/>
          <w:lang w:val="en-US" w:eastAsia="zh-CN"/>
        </w:rPr>
        <w:t>入</w:t>
      </w:r>
      <w:r>
        <w:rPr>
          <w:rFonts w:hint="eastAsia"/>
        </w:rPr>
        <w:t>园企业信贷提供了强有力的金融支持。有</w:t>
      </w:r>
      <w:r>
        <w:t>68家企业取得3.8</w:t>
      </w:r>
      <w:r>
        <w:rPr>
          <w:rFonts w:hint="eastAsia"/>
        </w:rPr>
        <w:t>亿元扶持贷款。</w:t>
      </w:r>
    </w:p>
    <w:p w14:paraId="3732DFCF">
      <w:pPr>
        <w:pStyle w:val="4"/>
        <w:bidi w:val="0"/>
        <w:rPr>
          <w:rFonts w:hint="eastAsia"/>
        </w:rPr>
      </w:pPr>
      <w:r>
        <w:rPr>
          <w:rFonts w:hint="eastAsia"/>
        </w:rPr>
        <w:t>【注</w:t>
      </w:r>
      <w:r>
        <w:rPr>
          <w:rFonts w:hint="eastAsia"/>
          <w:lang w:val="en-US" w:eastAsia="zh-CN"/>
        </w:rPr>
        <w:t>重</w:t>
      </w:r>
      <w:r>
        <w:rPr>
          <w:rFonts w:hint="eastAsia"/>
        </w:rPr>
        <w:t>资源集约，培育龙头效应】</w:t>
      </w:r>
    </w:p>
    <w:p w14:paraId="1E4E494F">
      <w:r>
        <w:rPr>
          <w:rFonts w:hint="eastAsia"/>
        </w:rPr>
        <w:t>灵活采取“零土地”招商的做法，对园区闲置土地进行全面摸底排</w:t>
      </w:r>
      <w:r>
        <w:rPr>
          <w:rFonts w:hint="eastAsia"/>
          <w:lang w:eastAsia="zh-CN"/>
        </w:rPr>
        <w:t>查</w:t>
      </w:r>
      <w:r>
        <w:rPr>
          <w:rFonts w:hint="eastAsia"/>
        </w:rPr>
        <w:t>，在不增加土地供应的情况下，对现有闲置</w:t>
      </w:r>
      <w:r>
        <w:rPr>
          <w:rFonts w:hint="eastAsia"/>
          <w:lang w:eastAsia="zh-CN"/>
        </w:rPr>
        <w:t>、</w:t>
      </w:r>
      <w:r>
        <w:rPr>
          <w:rFonts w:hint="eastAsia"/>
        </w:rPr>
        <w:t>低效利用的工业用地进行二次招商。腾出存量土地</w:t>
      </w:r>
      <w:r>
        <w:t>820.39亩，引入企业20家，吸引新增投资9.96亿</w:t>
      </w:r>
      <w:r>
        <w:rPr>
          <w:rFonts w:hint="eastAsia"/>
        </w:rPr>
        <w:t>元。园区土地亩投资强度由原来的</w:t>
      </w:r>
      <w:r>
        <w:t>110万元提高到</w:t>
      </w:r>
      <w:r>
        <w:rPr>
          <w:rFonts w:hint="eastAsia"/>
        </w:rPr>
        <w:t>了</w:t>
      </w:r>
      <w:r>
        <w:t>230万元，单位面积产出由原来的50.7万元提</w:t>
      </w:r>
      <w:r>
        <w:rPr>
          <w:rFonts w:hint="eastAsia"/>
        </w:rPr>
        <w:t>高到</w:t>
      </w:r>
      <w:r>
        <w:t>115.4万元，实现土地产出效益翻番。</w:t>
      </w:r>
    </w:p>
    <w:p w14:paraId="04B838D2">
      <w:r>
        <w:rPr>
          <w:rFonts w:hint="eastAsia"/>
        </w:rPr>
        <w:t>按照园区发展规划，力争</w:t>
      </w:r>
      <w:r>
        <w:t>3年时间内培育出超10亿元产值企业10家以上，推动园区整体实力上</w:t>
      </w:r>
      <w:r>
        <w:rPr>
          <w:rFonts w:hint="eastAsia"/>
        </w:rPr>
        <w:t>台阶、上规模。如知名日化品牌广东康绿宝科技实业有限公司</w:t>
      </w:r>
      <w:r>
        <w:t>2013年已完成固定资产投资9546万元，</w:t>
      </w:r>
      <w:r>
        <w:rPr>
          <w:rFonts w:hint="eastAsia"/>
        </w:rPr>
        <w:t>至</w:t>
      </w:r>
      <w:r>
        <w:t>2013年底，累计实现产值25805.4万元，工业增</w:t>
      </w:r>
      <w:r>
        <w:rPr>
          <w:rFonts w:hint="eastAsia"/>
        </w:rPr>
        <w:t>加值</w:t>
      </w:r>
      <w:r>
        <w:t>3817.2万元，创税达416.04万元；上市企业</w:t>
      </w:r>
      <w:r>
        <w:rPr>
          <w:rFonts w:hint="eastAsia"/>
        </w:rPr>
        <w:t>南雄阳普医疗科技有限公司固定资产投资</w:t>
      </w:r>
      <w:r>
        <w:t>8979万</w:t>
      </w:r>
      <w:r>
        <w:rPr>
          <w:rFonts w:hint="eastAsia"/>
        </w:rPr>
        <w:t>元，累计实现产值</w:t>
      </w:r>
      <w:r>
        <w:t>16919.4万元、工业增加值6307.2万元，累计产生税收466.32万元。</w:t>
      </w:r>
    </w:p>
    <w:p w14:paraId="7C880DAA">
      <w:pPr>
        <w:jc w:val="right"/>
        <w:rPr>
          <w:rFonts w:hint="eastAsia"/>
          <w:b/>
          <w:bCs/>
        </w:rPr>
      </w:pPr>
      <w:r>
        <w:rPr>
          <w:rFonts w:hint="eastAsia"/>
          <w:b/>
          <w:bCs/>
        </w:rPr>
        <w:t>（叶红太）</w:t>
      </w:r>
    </w:p>
    <w:p w14:paraId="3E2A7A89">
      <w:pPr>
        <w:pStyle w:val="10"/>
        <w:bidi w:val="0"/>
        <w:rPr>
          <w:b/>
          <w:bCs/>
        </w:rPr>
      </w:pPr>
      <w:r>
        <w:rPr>
          <w:rFonts w:hint="eastAsia"/>
          <w:b/>
          <w:bCs/>
        </w:rPr>
        <w:t>附：</w:t>
      </w:r>
      <w:r>
        <w:rPr>
          <w:b/>
          <w:bCs/>
        </w:rPr>
        <w:t>2013年市工业园区管理处领导班子成员名单</w:t>
      </w:r>
    </w:p>
    <w:p w14:paraId="2CE3C93D">
      <w:pPr>
        <w:pStyle w:val="10"/>
        <w:bidi w:val="0"/>
        <w:rPr>
          <w:rFonts w:hint="eastAsia"/>
        </w:rPr>
      </w:pPr>
      <w:r>
        <w:rPr>
          <w:rFonts w:hint="eastAsia"/>
          <w:b/>
          <w:bCs/>
        </w:rPr>
        <w:t>党工委书记：</w:t>
      </w:r>
      <w:r>
        <w:rPr>
          <w:rFonts w:hint="eastAsia"/>
        </w:rPr>
        <w:t>沈步亮</w:t>
      </w:r>
    </w:p>
    <w:p w14:paraId="40589F8B">
      <w:pPr>
        <w:pStyle w:val="10"/>
        <w:bidi w:val="0"/>
        <w:rPr>
          <w:rFonts w:hint="eastAsia"/>
        </w:rPr>
      </w:pPr>
      <w:r>
        <w:rPr>
          <w:rFonts w:hint="eastAsia"/>
          <w:b/>
          <w:bCs/>
        </w:rPr>
        <w:t>主</w:t>
      </w:r>
      <w:r>
        <w:rPr>
          <w:rFonts w:hint="eastAsia"/>
          <w:b/>
          <w:bCs/>
          <w:lang w:val="en-US" w:eastAsia="zh-CN"/>
        </w:rPr>
        <w:t xml:space="preserve">    </w:t>
      </w:r>
      <w:r>
        <w:rPr>
          <w:rFonts w:hint="eastAsia"/>
          <w:b/>
          <w:bCs/>
        </w:rPr>
        <w:t>任：</w:t>
      </w:r>
      <w:r>
        <w:rPr>
          <w:rFonts w:hint="eastAsia"/>
        </w:rPr>
        <w:t>何天山</w:t>
      </w:r>
    </w:p>
    <w:p w14:paraId="4BBBA976">
      <w:pPr>
        <w:pStyle w:val="10"/>
        <w:bidi w:val="0"/>
        <w:rPr>
          <w:rFonts w:hint="eastAsia"/>
        </w:rPr>
      </w:pPr>
      <w:r>
        <w:rPr>
          <w:rFonts w:hint="eastAsia"/>
          <w:b/>
          <w:bCs/>
        </w:rPr>
        <w:t>副</w:t>
      </w:r>
      <w:r>
        <w:rPr>
          <w:rFonts w:hint="eastAsia"/>
          <w:b/>
          <w:bCs/>
          <w:lang w:val="en-US" w:eastAsia="zh-CN"/>
        </w:rPr>
        <w:t xml:space="preserve"> </w:t>
      </w:r>
      <w:r>
        <w:rPr>
          <w:rFonts w:hint="eastAsia"/>
          <w:b/>
          <w:bCs/>
        </w:rPr>
        <w:t>主</w:t>
      </w:r>
      <w:r>
        <w:rPr>
          <w:rFonts w:hint="eastAsia"/>
          <w:b/>
          <w:bCs/>
          <w:lang w:val="en-US" w:eastAsia="zh-CN"/>
        </w:rPr>
        <w:t xml:space="preserve"> </w:t>
      </w:r>
      <w:r>
        <w:rPr>
          <w:rFonts w:hint="eastAsia"/>
          <w:b/>
          <w:bCs/>
        </w:rPr>
        <w:t>任：</w:t>
      </w:r>
      <w:r>
        <w:rPr>
          <w:rFonts w:hint="eastAsia"/>
        </w:rPr>
        <w:t>李阶贵</w:t>
      </w:r>
      <w:r>
        <w:rPr>
          <w:rFonts w:hint="eastAsia"/>
          <w:lang w:val="en-US" w:eastAsia="zh-CN"/>
        </w:rPr>
        <w:t xml:space="preserve">   </w:t>
      </w:r>
      <w:r>
        <w:rPr>
          <w:rFonts w:hint="eastAsia"/>
        </w:rPr>
        <w:t>何静敏</w:t>
      </w:r>
      <w:r>
        <w:rPr>
          <w:rFonts w:hint="eastAsia"/>
          <w:lang w:val="en-US" w:eastAsia="zh-CN"/>
        </w:rPr>
        <w:t xml:space="preserve">  </w:t>
      </w:r>
      <w:r>
        <w:rPr>
          <w:rFonts w:hint="eastAsia"/>
        </w:rPr>
        <w:t>叶秀兰</w:t>
      </w:r>
    </w:p>
    <w:p w14:paraId="1D1EB348">
      <w:pPr>
        <w:pStyle w:val="10"/>
        <w:bidi w:val="0"/>
        <w:rPr>
          <w:rFonts w:hint="eastAsia"/>
        </w:rPr>
      </w:pPr>
      <w:r>
        <w:rPr>
          <w:rFonts w:hint="eastAsia"/>
          <w:b/>
          <w:bCs/>
        </w:rPr>
        <w:t>工会主席：</w:t>
      </w:r>
      <w:r>
        <w:rPr>
          <w:rFonts w:hint="eastAsia"/>
        </w:rPr>
        <w:t>叶永跃</w:t>
      </w:r>
    </w:p>
    <w:p w14:paraId="3B2C589F">
      <w:pPr>
        <w:pStyle w:val="3"/>
        <w:bidi w:val="0"/>
        <w:rPr>
          <w:rFonts w:hint="default"/>
          <w:lang w:val="en-US" w:eastAsia="zh-CN"/>
        </w:rPr>
      </w:pPr>
      <w:r>
        <w:rPr>
          <w:rFonts w:hint="eastAsia"/>
          <w:lang w:val="en-US" w:eastAsia="zh-CN"/>
        </w:rPr>
        <w:t>企业选介</w:t>
      </w:r>
    </w:p>
    <w:p w14:paraId="13356A52">
      <w:pPr>
        <w:pStyle w:val="4"/>
        <w:bidi w:val="0"/>
        <w:rPr>
          <w:rFonts w:hint="eastAsia"/>
        </w:rPr>
      </w:pPr>
      <w:r>
        <w:rPr>
          <w:rFonts w:hint="eastAsia"/>
        </w:rPr>
        <w:t>【棉土窝矿业有限公司】</w:t>
      </w:r>
    </w:p>
    <w:p w14:paraId="55D823C3">
      <w:r>
        <w:t>2013年，韶关棉土窝矿</w:t>
      </w:r>
      <w:r>
        <w:rPr>
          <w:rFonts w:hint="eastAsia"/>
        </w:rPr>
        <w:t>业有限公司年</w:t>
      </w:r>
      <w:r>
        <w:rPr>
          <w:rFonts w:hint="eastAsia"/>
          <w:lang w:val="en-US" w:eastAsia="zh-CN"/>
        </w:rPr>
        <w:t>末</w:t>
      </w:r>
      <w:r>
        <w:rPr>
          <w:rFonts w:hint="eastAsia"/>
        </w:rPr>
        <w:t>从业人员</w:t>
      </w:r>
      <w:r>
        <w:t>213人，生产钨精矿</w:t>
      </w:r>
      <w:r>
        <w:rPr>
          <w:rFonts w:hint="eastAsia"/>
        </w:rPr>
        <w:t>（</w:t>
      </w:r>
      <w:r>
        <w:t>65%）211.24吨，生产铋精矿（100%）17.09</w:t>
      </w:r>
      <w:r>
        <w:rPr>
          <w:rFonts w:hint="eastAsia"/>
        </w:rPr>
        <w:t>吨，生产钼精矿（</w:t>
      </w:r>
      <w:r>
        <w:t>45%）105.89吨；完成工业总</w:t>
      </w:r>
      <w:r>
        <w:rPr>
          <w:rFonts w:hint="eastAsia"/>
        </w:rPr>
        <w:t>产值（当年价）</w:t>
      </w:r>
      <w:r>
        <w:t>2985.79万元，完成产品销售产值</w:t>
      </w:r>
      <w:r>
        <w:rPr>
          <w:rFonts w:hint="eastAsia"/>
        </w:rPr>
        <w:t>（当年价）</w:t>
      </w:r>
      <w:r>
        <w:t>2670.69万元；实现利税总额617.89万</w:t>
      </w:r>
      <w:r>
        <w:rPr>
          <w:rFonts w:hint="eastAsia"/>
        </w:rPr>
        <w:t>元，其中实现利润总额</w:t>
      </w:r>
      <w:r>
        <w:t>92.2万元。</w:t>
      </w:r>
    </w:p>
    <w:p w14:paraId="7B954206">
      <w:pPr>
        <w:rPr>
          <w:rFonts w:hint="eastAsia"/>
        </w:rPr>
      </w:pPr>
      <w:r>
        <w:rPr>
          <w:rFonts w:hint="eastAsia"/>
          <w:b/>
          <w:bCs/>
        </w:rPr>
        <w:t>生产经营</w:t>
      </w:r>
      <w:r>
        <w:rPr>
          <w:rFonts w:hint="eastAsia"/>
          <w:lang w:val="en-US" w:eastAsia="zh-CN"/>
        </w:rPr>
        <w:t xml:space="preserve">  </w:t>
      </w:r>
      <w:r>
        <w:t>2013年矿业公司结合矿山生产规</w:t>
      </w:r>
      <w:r>
        <w:rPr>
          <w:rFonts w:hint="eastAsia"/>
        </w:rPr>
        <w:t>律，对内狠抓管理，把劳动管理、财务管理、技术管理等制度科学化、规范化。对外把握好市场机遇、密切注视市场价格动态，精心运营，实现公司经济效益最大化。</w:t>
      </w:r>
    </w:p>
    <w:p w14:paraId="2A6DFEC0">
      <w:r>
        <w:t>1.加强抓好生产探矿工程。企业经济实力要保</w:t>
      </w:r>
      <w:r>
        <w:rPr>
          <w:rFonts w:hint="eastAsia"/>
        </w:rPr>
        <w:t>持长兴不衰，矿业资源至关重要。</w:t>
      </w:r>
      <w:r>
        <w:t>2013年矿业公司</w:t>
      </w:r>
      <w:r>
        <w:rPr>
          <w:rFonts w:hint="eastAsia"/>
        </w:rPr>
        <w:t>在抓好矿产资源综合利用中，主张能采的矿产资源实行安排回采，杜绝浪费矿产资源的行为发生。在坚持抓好生产探矿工程中，一是做好周边矿体的</w:t>
      </w:r>
      <w:r>
        <w:rPr>
          <w:rFonts w:hint="eastAsia"/>
          <w:lang w:eastAsia="zh-CN"/>
        </w:rPr>
        <w:t>“</w:t>
      </w:r>
      <w:r>
        <w:rPr>
          <w:rFonts w:hint="eastAsia"/>
        </w:rPr>
        <w:t>探边摸底”工作；二是挖潜生产潜力，将有限的矿产资源充分利用好；三是集中精力，加快</w:t>
      </w:r>
      <w:r>
        <w:t>140</w:t>
      </w:r>
      <w:r>
        <w:rPr>
          <w:rFonts w:hint="eastAsia"/>
          <w:lang w:val="en-US" w:eastAsia="zh-CN"/>
        </w:rPr>
        <w:t>~</w:t>
      </w:r>
      <w:r>
        <w:t>100中段深部开拓工程施工。</w:t>
      </w:r>
    </w:p>
    <w:p w14:paraId="4FC2CAB0">
      <w:pPr>
        <w:rPr>
          <w:rFonts w:hint="eastAsia"/>
          <w:lang w:eastAsia="zh-CN"/>
        </w:rPr>
      </w:pPr>
      <w:r>
        <w:t>2.把握市场机遇、精心运营。2013年面临市</w:t>
      </w:r>
      <w:r>
        <w:rPr>
          <w:rFonts w:hint="eastAsia"/>
        </w:rPr>
        <w:t>场形势复杂多变，市场产品价格行情资料表明：钨产品市场价格出现季节性波动较大，其中</w:t>
      </w:r>
      <w:r>
        <w:t>1月至5</w:t>
      </w:r>
      <w:r>
        <w:rPr>
          <w:rFonts w:hint="eastAsia"/>
        </w:rPr>
        <w:t>月份平均销价为</w:t>
      </w:r>
      <w:r>
        <w:t>11.69万元/吨，6月至9月份平均</w:t>
      </w:r>
      <w:r>
        <w:rPr>
          <w:rFonts w:hint="eastAsia"/>
        </w:rPr>
        <w:t>销价为</w:t>
      </w:r>
      <w:r>
        <w:t>13.33万元/吨，10月至12月份平均销价为12.20万元/吨（含税）；铋产品价格趋势下跌，其</w:t>
      </w:r>
      <w:r>
        <w:rPr>
          <w:rFonts w:hint="eastAsia"/>
        </w:rPr>
        <w:t>中</w:t>
      </w:r>
      <w:r>
        <w:t>7月至12月份平均销价为7.98万元/吨（含</w:t>
      </w:r>
      <w:r>
        <w:rPr>
          <w:rFonts w:hint="eastAsia"/>
        </w:rPr>
        <w:t>税）；钼产品市场行情一直不景气，平均销价为</w:t>
      </w:r>
      <w:r>
        <w:t>14.84万元/吨（含税）。矿业公司坚持与广晟有色</w:t>
      </w:r>
      <w:r>
        <w:rPr>
          <w:rFonts w:hint="eastAsia"/>
        </w:rPr>
        <w:t>金属股份有限公司营销部门积极沟通，相互协调</w:t>
      </w:r>
      <w:r>
        <w:rPr>
          <w:rFonts w:hint="eastAsia"/>
          <w:lang w:eastAsia="zh-CN"/>
        </w:rPr>
        <w:t>、</w:t>
      </w:r>
      <w:r>
        <w:rPr>
          <w:rFonts w:hint="eastAsia"/>
        </w:rPr>
        <w:t>密切配合，在产品销售中，通过最新市场信息，做到产品销售该出手时就出手，全年完成产品销售总额为</w:t>
      </w:r>
      <w:r>
        <w:t>2670.69万元</w:t>
      </w:r>
      <w:r>
        <w:rPr>
          <w:rFonts w:hint="eastAsia"/>
          <w:lang w:eastAsia="zh-CN"/>
        </w:rPr>
        <w:t>。</w:t>
      </w:r>
    </w:p>
    <w:p w14:paraId="7EF91957">
      <w:pPr>
        <w:rPr>
          <w:rFonts w:hint="eastAsia"/>
          <w:lang w:eastAsia="zh-CN"/>
        </w:rPr>
      </w:pPr>
      <w:r>
        <w:rPr>
          <w:rFonts w:hint="eastAsia"/>
          <w:b/>
          <w:bCs/>
        </w:rPr>
        <w:t>完善基础工作</w:t>
      </w:r>
      <w:r>
        <w:rPr>
          <w:rFonts w:hint="eastAsia"/>
          <w:b/>
          <w:bCs/>
          <w:lang w:val="en-US" w:eastAsia="zh-CN"/>
        </w:rPr>
        <w:t xml:space="preserve"> </w:t>
      </w:r>
      <w:r>
        <w:rPr>
          <w:rFonts w:hint="eastAsia"/>
          <w:lang w:val="en-US" w:eastAsia="zh-CN"/>
        </w:rPr>
        <w:t xml:space="preserve"> </w:t>
      </w:r>
      <w:r>
        <w:t>1.深入开展节能减排活动。2013年公司坚持以年初所确定的工作思路为管理目</w:t>
      </w:r>
      <w:r>
        <w:rPr>
          <w:rFonts w:hint="eastAsia"/>
        </w:rPr>
        <w:t>标，在具体实施中，通过创新劳动组织管理，加强回采生产技术指导，重点抓好采幅控制，避免多采废石的行为发生，矿石贫化率实际为</w:t>
      </w:r>
      <w:r>
        <w:t>64.9%，与上</w:t>
      </w:r>
      <w:r>
        <w:rPr>
          <w:rFonts w:hint="eastAsia"/>
        </w:rPr>
        <w:t>年同比降低</w:t>
      </w:r>
      <w:r>
        <w:t>3.2%。长期的实践使矿业公司深感搞</w:t>
      </w:r>
      <w:r>
        <w:rPr>
          <w:rFonts w:hint="eastAsia"/>
        </w:rPr>
        <w:t>好选矿多金属回收是提高企业经济效益的一项重要工作。公司坚持发挥工程技术人员的主观能动性，强化选矿生产现场管理，密切抓好各岗位精工细作，确保选矿多金属综合回收率得到稳步提高</w:t>
      </w:r>
      <w:r>
        <w:rPr>
          <w:rFonts w:hint="eastAsia"/>
          <w:lang w:eastAsia="zh-CN"/>
        </w:rPr>
        <w:t>。</w:t>
      </w:r>
    </w:p>
    <w:p w14:paraId="71ABA76B">
      <w:pPr>
        <w:rPr>
          <w:rFonts w:hint="eastAsia"/>
        </w:rPr>
      </w:pPr>
      <w:r>
        <w:t>2.夯实安全基础、实现长周期安全生产。棉土</w:t>
      </w:r>
      <w:r>
        <w:rPr>
          <w:rFonts w:hint="eastAsia"/>
        </w:rPr>
        <w:t>窝矿业公司是一个开采</w:t>
      </w:r>
      <w:r>
        <w:t>50多年的老矿山，继承良</w:t>
      </w:r>
      <w:r>
        <w:rPr>
          <w:rFonts w:hint="eastAsia"/>
        </w:rPr>
        <w:t>好的优良传统，与时俱进。在加强安全生产管理方面，积极开展安全标准化建设、强化班组建设。通过坚持“班前讲安全、班中检</w:t>
      </w:r>
      <w:r>
        <w:rPr>
          <w:rFonts w:hint="eastAsia"/>
          <w:lang w:eastAsia="zh-CN"/>
        </w:rPr>
        <w:t>查</w:t>
      </w:r>
      <w:r>
        <w:rPr>
          <w:rFonts w:hint="eastAsia"/>
        </w:rPr>
        <w:t>安全、班后总结安全”的制度；通过坚持做好班组安全“四讲”，即讲思想、讲纪律、讲安全意识、讲安全措施，形成班组成员人人重视安全，从要我安全到我要安全、我会安全，以班组带动各岗位员工“自保、互保</w:t>
      </w:r>
      <w:r>
        <w:rPr>
          <w:rFonts w:hint="eastAsia"/>
          <w:lang w:eastAsia="zh-CN"/>
        </w:rPr>
        <w:t>、</w:t>
      </w:r>
      <w:r>
        <w:rPr>
          <w:rFonts w:hint="eastAsia"/>
        </w:rPr>
        <w:t>联保”，努力实现“三化三无”，即安全管理制度化、安全工作规范化、安全操作标准化；个人无违章、岗位无隐患、班组无事故的目标。通过坚持执行公司领导下井带班制度和建立管理人员下井跟班作业制度以及健全定期开展安全大检</w:t>
      </w:r>
      <w:r>
        <w:rPr>
          <w:rFonts w:hint="eastAsia"/>
          <w:lang w:eastAsia="zh-CN"/>
        </w:rPr>
        <w:t>查</w:t>
      </w:r>
      <w:r>
        <w:rPr>
          <w:rFonts w:hint="eastAsia"/>
        </w:rPr>
        <w:t>制度。任何时候公司都能坚持“安全第一、环保优先”的理念，一切向安全环保让路；任何情况公司都能严格按照《企业安全生产费用提取和使用管理办法》规定足额提取年度安全生产费用，用于改善安全环保基础设施。</w:t>
      </w:r>
    </w:p>
    <w:p w14:paraId="2B439BD7">
      <w:pPr>
        <w:rPr>
          <w:rFonts w:hint="eastAsia"/>
        </w:rPr>
      </w:pPr>
      <w:r>
        <w:rPr>
          <w:rFonts w:hint="eastAsia"/>
          <w:b/>
          <w:bCs/>
        </w:rPr>
        <w:t>党建和精神文明建设</w:t>
      </w:r>
      <w:r>
        <w:rPr>
          <w:rFonts w:hint="eastAsia"/>
          <w:b/>
          <w:bCs/>
          <w:lang w:val="en-US" w:eastAsia="zh-CN"/>
        </w:rPr>
        <w:t xml:space="preserve"> </w:t>
      </w:r>
      <w:r>
        <w:rPr>
          <w:rFonts w:hint="eastAsia"/>
          <w:lang w:val="en-US" w:eastAsia="zh-CN"/>
        </w:rPr>
        <w:t xml:space="preserve"> </w:t>
      </w:r>
      <w:r>
        <w:rPr>
          <w:rFonts w:hint="eastAsia"/>
        </w:rPr>
        <w:t>矿业公司贯彻落实党的十八大以来的会议精神，狠抓党风廉政建设和反腐败工作落实，重点抓好党员干部党性教育，坚持开展纪律教育学习月活动和定期组织开展好领导班子民主生活会。在掀起开展群众路线教育实践活动热潮中，公司组织党委中心组认真学习《党的群众路线教育实践活动学习文件选编》，使班子成员在思想上加深认识党提出这次群众路线教育实践活动的主要任务是聚焦到作风建设，集中解决形式主义、官僚主义、享乐主义和奢靡之风这“四风”问题</w:t>
      </w:r>
      <w:r>
        <w:rPr>
          <w:rFonts w:hint="eastAsia"/>
          <w:lang w:eastAsia="zh-CN"/>
        </w:rPr>
        <w:t>。</w:t>
      </w:r>
      <w:r>
        <w:t>9月份公司按南雄市纪委统一布置，组织了全公司</w:t>
      </w:r>
      <w:r>
        <w:rPr>
          <w:rFonts w:hint="eastAsia"/>
        </w:rPr>
        <w:t>党员干部参与广东省第一批教育实践活动“考学</w:t>
      </w:r>
      <w:r>
        <w:rPr>
          <w:rFonts w:hint="eastAsia"/>
          <w:lang w:eastAsia="zh-CN"/>
        </w:rPr>
        <w:t>”</w:t>
      </w:r>
      <w:r>
        <w:rPr>
          <w:rFonts w:hint="eastAsia"/>
        </w:rPr>
        <w:t>试题答案的活动。通过开展教育实践活动，使公司党员干部尤其是领导干部处处以《廉政准则》和党的八项规定严格要求自</w:t>
      </w:r>
      <w:r>
        <w:rPr>
          <w:rFonts w:hint="eastAsia"/>
          <w:lang w:val="en-US" w:eastAsia="zh-CN"/>
        </w:rPr>
        <w:t>己</w:t>
      </w:r>
      <w:r>
        <w:rPr>
          <w:rFonts w:hint="eastAsia"/>
        </w:rPr>
        <w:t>、自觉遵守党章、自觉按党的组织原则办事，始终保持勤俭做人、干净做事、改进工作作风、奋发进取。矿业公司坚持全心全意依靠工人阶级不动摇，不断改善员工福利待遇，为员工解难题、办实事，激励员工团结奉献，求实创新，与企业一道推进企业和谐发展。</w:t>
      </w:r>
    </w:p>
    <w:p w14:paraId="3139ED27">
      <w:pPr>
        <w:jc w:val="right"/>
        <w:rPr>
          <w:rFonts w:hint="eastAsia"/>
          <w:b/>
          <w:bCs/>
        </w:rPr>
      </w:pPr>
      <w:r>
        <w:rPr>
          <w:rFonts w:hint="eastAsia"/>
          <w:b/>
          <w:bCs/>
        </w:rPr>
        <w:t>（邓炳坤）</w:t>
      </w:r>
    </w:p>
    <w:p w14:paraId="45CF24FB">
      <w:pPr>
        <w:pStyle w:val="4"/>
        <w:bidi w:val="0"/>
        <w:rPr>
          <w:rFonts w:hint="eastAsia"/>
        </w:rPr>
      </w:pPr>
      <w:r>
        <w:rPr>
          <w:rFonts w:hint="eastAsia"/>
          <w:lang w:eastAsia="zh-CN"/>
        </w:rPr>
        <w:t>【</w:t>
      </w:r>
      <w:r>
        <w:rPr>
          <w:rFonts w:hint="eastAsia"/>
        </w:rPr>
        <w:t>韶能集团广东绿洲纸模包装制品有限公司】</w:t>
      </w:r>
    </w:p>
    <w:p w14:paraId="16188F11">
      <w:pPr>
        <w:rPr>
          <w:rFonts w:hint="eastAsia"/>
        </w:rPr>
      </w:pPr>
      <w:r>
        <w:t>2001年4月由广东韶能集团股份有限公司（深圳上</w:t>
      </w:r>
      <w:r>
        <w:rPr>
          <w:rFonts w:hint="eastAsia"/>
        </w:rPr>
        <w:t>市公司，股票代码</w:t>
      </w:r>
      <w:r>
        <w:t>000601）和南雄市国有资产投资</w:t>
      </w:r>
      <w:r>
        <w:rPr>
          <w:rFonts w:hint="eastAsia"/>
        </w:rPr>
        <w:t>有限公司共同出资组建。公司位于广东省南雄市全安镇，距韶赣</w:t>
      </w:r>
      <w:r>
        <w:rPr>
          <w:rFonts w:hint="eastAsia"/>
          <w:lang w:val="en-US" w:eastAsia="zh-CN"/>
        </w:rPr>
        <w:t>高</w:t>
      </w:r>
      <w:r>
        <w:rPr>
          <w:rFonts w:hint="eastAsia"/>
        </w:rPr>
        <w:t>速公路南雄出入口</w:t>
      </w:r>
      <w:r>
        <w:t>4千米。公司现</w:t>
      </w:r>
      <w:r>
        <w:rPr>
          <w:rFonts w:hint="eastAsia"/>
        </w:rPr>
        <w:t>有资产总额</w:t>
      </w:r>
      <w:r>
        <w:t>2亿元，拥有生产线18条，年产各类</w:t>
      </w:r>
      <w:r>
        <w:rPr>
          <w:rFonts w:hint="eastAsia"/>
        </w:rPr>
        <w:t>纸餐具产品</w:t>
      </w:r>
      <w:r>
        <w:t>7亿只；工业包装产品2000吨；现有</w:t>
      </w:r>
      <w:r>
        <w:rPr>
          <w:rFonts w:hint="eastAsia"/>
        </w:rPr>
        <w:t>员工</w:t>
      </w:r>
      <w:r>
        <w:t>700余人。经过多年来的市场开拓，产品远销</w:t>
      </w:r>
      <w:r>
        <w:rPr>
          <w:rFonts w:hint="eastAsia"/>
        </w:rPr>
        <w:t>东南亚、美洲、欧洲等世界各地，深受市场客户信赖。</w:t>
      </w:r>
    </w:p>
    <w:p w14:paraId="0B84182D">
      <w:pPr>
        <w:rPr>
          <w:rFonts w:hint="eastAsia"/>
        </w:rPr>
      </w:pPr>
      <w:r>
        <w:rPr>
          <w:rFonts w:hint="eastAsia"/>
          <w:b/>
          <w:bCs/>
        </w:rPr>
        <w:t>主要产品</w:t>
      </w:r>
      <w:r>
        <w:rPr>
          <w:rFonts w:hint="eastAsia"/>
          <w:lang w:val="en-US" w:eastAsia="zh-CN"/>
        </w:rPr>
        <w:t xml:space="preserve">  </w:t>
      </w:r>
      <w:r>
        <w:rPr>
          <w:rFonts w:hint="eastAsia"/>
        </w:rPr>
        <w:t>公司主要产品是以天然植物纸浆纤维（丛生竹、苇草、秸秆、甘蔗渣等可再生、速生植物纤维）及引用距离生产基地</w:t>
      </w:r>
      <w:r>
        <w:t>7千米外的无污染</w:t>
      </w:r>
      <w:r>
        <w:rPr>
          <w:rFonts w:hint="eastAsia"/>
        </w:rPr>
        <w:t>山泉水为原材料，通过纸浆模塑制成的一次性无毒、</w:t>
      </w:r>
      <w:r>
        <w:rPr>
          <w:rFonts w:hint="eastAsia"/>
          <w:lang w:val="en-US" w:eastAsia="zh-CN"/>
        </w:rPr>
        <w:t>卫</w:t>
      </w:r>
      <w:r>
        <w:rPr>
          <w:rFonts w:hint="eastAsia"/>
        </w:rPr>
        <w:t>生可降解环保餐具。产品具有造型美观、防水、防油、无毒、卫生、</w:t>
      </w:r>
      <w:r>
        <w:t>90天全降解、使用方便等</w:t>
      </w:r>
      <w:r>
        <w:rPr>
          <w:rFonts w:hint="eastAsia"/>
        </w:rPr>
        <w:t>优点。公司拥有雄厚的技术力量，研发部门功能强大，具备产品开发、加工能力，可根据客户独特需求设计制造各类纸模制品（高档电子产品、精美环保墙纸等精品工业包装）。</w:t>
      </w:r>
    </w:p>
    <w:p w14:paraId="592CFA52">
      <w:pPr>
        <w:rPr>
          <w:rFonts w:hint="eastAsia"/>
        </w:rPr>
      </w:pPr>
      <w:r>
        <w:rPr>
          <w:rFonts w:hint="eastAsia"/>
          <w:b/>
          <w:bCs/>
        </w:rPr>
        <w:t>产品认证</w:t>
      </w:r>
      <w:r>
        <w:rPr>
          <w:rFonts w:hint="eastAsia"/>
          <w:b/>
          <w:bCs/>
          <w:lang w:val="en-US" w:eastAsia="zh-CN"/>
        </w:rPr>
        <w:t xml:space="preserve"> </w:t>
      </w:r>
      <w:r>
        <w:rPr>
          <w:rFonts w:hint="eastAsia"/>
          <w:lang w:val="en-US" w:eastAsia="zh-CN"/>
        </w:rPr>
        <w:t xml:space="preserve"> </w:t>
      </w:r>
      <w:r>
        <w:rPr>
          <w:rFonts w:hint="eastAsia"/>
        </w:rPr>
        <w:t>公司取得全国工业产品生产许可证（</w:t>
      </w:r>
      <w:r>
        <w:t>QS），I</w:t>
      </w:r>
      <w:r>
        <w:rPr>
          <w:rFonts w:hint="eastAsia"/>
          <w:lang w:val="en-US" w:eastAsia="zh-CN"/>
        </w:rPr>
        <w:t>S</w:t>
      </w:r>
      <w:r>
        <w:t>O9001质量管理体系认证，ISO14001环</w:t>
      </w:r>
      <w:r>
        <w:rPr>
          <w:rFonts w:hint="eastAsia"/>
        </w:rPr>
        <w:t>境管理体系认证，</w:t>
      </w:r>
      <w:r>
        <w:t>BRC英国零售商全球标准</w:t>
      </w:r>
      <w:r>
        <w:rPr>
          <w:rFonts w:hint="eastAsia"/>
          <w:lang w:eastAsia="zh-CN"/>
        </w:rPr>
        <w:t>——</w:t>
      </w:r>
      <w:r>
        <w:t>食</w:t>
      </w:r>
      <w:r>
        <w:rPr>
          <w:rFonts w:hint="eastAsia"/>
        </w:rPr>
        <w:t>品包装材料认证，</w:t>
      </w:r>
      <w:r>
        <w:t>NSF美国卫生基金会认证，北美</w:t>
      </w:r>
      <w:r>
        <w:rPr>
          <w:rFonts w:hint="eastAsia"/>
        </w:rPr>
        <w:t>食品包装材供应商标准认证等质量体系认证，及通过</w:t>
      </w:r>
      <w:r>
        <w:t>“FDA标准检测”、“德国绿色实验室堆肥全降</w:t>
      </w:r>
      <w:r>
        <w:rPr>
          <w:rFonts w:hint="eastAsia"/>
        </w:rPr>
        <w:t>解实验”等一系列欧美国家国际标准检测，是中国连锁餐饮指定环保纸餐具企业，</w:t>
      </w:r>
      <w:r>
        <w:t>2013年更荣获“中</w:t>
      </w:r>
      <w:r>
        <w:rPr>
          <w:rFonts w:hint="eastAsia"/>
        </w:rPr>
        <w:t>国连锁餐饮杰出供应商”称号。</w:t>
      </w:r>
    </w:p>
    <w:p w14:paraId="111B0F9D">
      <w:pPr>
        <w:rPr>
          <w:rFonts w:hint="eastAsia"/>
        </w:rPr>
      </w:pPr>
      <w:r>
        <w:rPr>
          <w:rFonts w:hint="eastAsia"/>
          <w:b/>
          <w:bCs/>
        </w:rPr>
        <w:t>技术创新</w:t>
      </w:r>
      <w:r>
        <w:rPr>
          <w:rFonts w:hint="eastAsia"/>
          <w:b/>
          <w:bCs/>
          <w:lang w:val="en-US" w:eastAsia="zh-CN"/>
        </w:rPr>
        <w:t xml:space="preserve"> </w:t>
      </w:r>
      <w:r>
        <w:rPr>
          <w:rFonts w:hint="eastAsia"/>
          <w:lang w:val="en-US" w:eastAsia="zh-CN"/>
        </w:rPr>
        <w:t xml:space="preserve"> </w:t>
      </w:r>
      <w:r>
        <w:rPr>
          <w:rFonts w:hint="eastAsia"/>
        </w:rPr>
        <w:t>公司严格执行国家</w:t>
      </w:r>
      <w:r>
        <w:t>GB-1996食品</w:t>
      </w:r>
      <w:r>
        <w:rPr>
          <w:rFonts w:hint="eastAsia"/>
        </w:rPr>
        <w:t>卫生行业标准，工艺水平成熟稳定，理化微生物检验技术及质量标准检验标准处于国内同行的前列。公司设有专业微生物理化（细菌）培养检验室，生产质量监控措施完善，实行生产原材料全检—产品生产过程检验—产品出货前检验“三检”工序，是全国纸浆模塑行业中唯一一家实施</w:t>
      </w:r>
      <w:r>
        <w:t>12位条</w:t>
      </w:r>
      <w:r>
        <w:rPr>
          <w:rFonts w:hint="eastAsia"/>
        </w:rPr>
        <w:t>码产品质量可追索管理的企业。公司通过不断采取节能减排措施及技术创新、改造，技术力量、生产成本已达到国际先进水平，采用的导热油加热热压技术、冲床模具切边技术等在国内均处领先优势地位。公司无论生产规模、技术力量、工艺水平、检验方法在国内同行企业中均处于绝对领先地位。</w:t>
      </w:r>
    </w:p>
    <w:p w14:paraId="5FFAA3CD">
      <w:r>
        <w:rPr>
          <w:rFonts w:hint="eastAsia"/>
          <w:b/>
          <w:bCs/>
        </w:rPr>
        <w:t>扩产升级</w:t>
      </w:r>
      <w:r>
        <w:rPr>
          <w:rFonts w:hint="eastAsia"/>
          <w:b/>
          <w:bCs/>
          <w:lang w:val="en-US" w:eastAsia="zh-CN"/>
        </w:rPr>
        <w:t xml:space="preserve"> </w:t>
      </w:r>
      <w:r>
        <w:rPr>
          <w:rFonts w:hint="eastAsia"/>
          <w:lang w:val="en-US" w:eastAsia="zh-CN"/>
        </w:rPr>
        <w:t xml:space="preserve"> </w:t>
      </w:r>
      <w:r>
        <w:t>2013年度实现生产总值137176万</w:t>
      </w:r>
      <w:r>
        <w:rPr>
          <w:rFonts w:hint="eastAsia"/>
        </w:rPr>
        <w:t>元，同比增加</w:t>
      </w:r>
      <w:r>
        <w:t>8.9%；销售收</w:t>
      </w:r>
      <w:r>
        <w:rPr>
          <w:rFonts w:hint="eastAsia"/>
          <w:lang w:val="en-US" w:eastAsia="zh-CN"/>
        </w:rPr>
        <w:t>入</w:t>
      </w:r>
      <w:r>
        <w:t>13237万元，同比</w:t>
      </w:r>
      <w:r>
        <w:rPr>
          <w:rFonts w:hint="eastAsia"/>
        </w:rPr>
        <w:t>增加</w:t>
      </w:r>
      <w:r>
        <w:t>1.9%。二期工程预计投资9000万元，新增6</w:t>
      </w:r>
      <w:r>
        <w:rPr>
          <w:rFonts w:hint="eastAsia"/>
        </w:rPr>
        <w:t>条全自动生产线，预计</w:t>
      </w:r>
      <w:r>
        <w:t>2014年底试投产。</w:t>
      </w:r>
    </w:p>
    <w:p w14:paraId="4B0BF5D3">
      <w:pPr>
        <w:rPr>
          <w:rFonts w:hint="eastAsia"/>
          <w:lang w:eastAsia="zh-CN"/>
        </w:rPr>
      </w:pPr>
      <w:r>
        <w:rPr>
          <w:rFonts w:hint="eastAsia"/>
        </w:rPr>
        <w:t>发展规划公司“十二·五”发展规划，计划投资</w:t>
      </w:r>
      <w:r>
        <w:t>11亿元兴建7幢全自动生产车间，实现年产值50亿元，税利3亿元目标的国际行业龙头企业。车</w:t>
      </w:r>
      <w:r>
        <w:rPr>
          <w:rFonts w:hint="eastAsia"/>
        </w:rPr>
        <w:t>间按行业和产品生产的特点，按原材料（浆板等）→制浆→机台生产→</w:t>
      </w:r>
      <w:r>
        <w:t>+冲切包装→产品入仓流程，集</w:t>
      </w:r>
      <w:r>
        <w:rPr>
          <w:rFonts w:hint="eastAsia"/>
        </w:rPr>
        <w:t>原材料仓库、生产车间、成品仓库一体化封闭式流程设计，达到餐具产品生产的</w:t>
      </w:r>
      <w:r>
        <w:t>GMP管理要求</w:t>
      </w:r>
      <w:r>
        <w:rPr>
          <w:rFonts w:hint="eastAsia"/>
          <w:lang w:eastAsia="zh-CN"/>
        </w:rPr>
        <w:t>。</w:t>
      </w:r>
    </w:p>
    <w:p w14:paraId="3BF60BF0">
      <w:pPr>
        <w:rPr>
          <w:rFonts w:hint="eastAsia"/>
        </w:rPr>
      </w:pPr>
      <w:r>
        <w:rPr>
          <w:rFonts w:hint="eastAsia"/>
        </w:rPr>
        <w:t>企业文化公司一贯坚持“质量优、服务优”的经营方针，倡导“绿洲、健康、环保”的消费观念，秉承“以尊敬的心善待每一位员工”的管理理念，以人为本，深化责任，增强员工凝聚力，促进企业和谐稳定的发展。</w:t>
      </w:r>
    </w:p>
    <w:p w14:paraId="5224A494">
      <w:pPr>
        <w:jc w:val="right"/>
        <w:rPr>
          <w:rFonts w:hint="eastAsia"/>
          <w:b/>
          <w:bCs/>
        </w:rPr>
      </w:pPr>
      <w:r>
        <w:rPr>
          <w:rFonts w:hint="eastAsia"/>
          <w:b/>
          <w:bCs/>
        </w:rPr>
        <w:t>（韦小翠）</w:t>
      </w:r>
    </w:p>
    <w:p w14:paraId="079492CE">
      <w:pPr>
        <w:pStyle w:val="10"/>
        <w:bidi w:val="0"/>
        <w:rPr>
          <w:rFonts w:hint="eastAsia"/>
          <w:b/>
          <w:bCs/>
        </w:rPr>
      </w:pPr>
      <w:r>
        <w:rPr>
          <w:rFonts w:hint="eastAsia"/>
          <w:b/>
          <w:bCs/>
        </w:rPr>
        <w:t>附：</w:t>
      </w:r>
      <w:r>
        <w:rPr>
          <w:b/>
          <w:bCs/>
        </w:rPr>
        <w:t>2013年韶能集团广东绿洲纸模包装制品有限公</w:t>
      </w:r>
      <w:r>
        <w:rPr>
          <w:rFonts w:hint="eastAsia"/>
          <w:b/>
          <w:bCs/>
        </w:rPr>
        <w:t>司领导班子成员名单</w:t>
      </w:r>
    </w:p>
    <w:p w14:paraId="0B21CA77">
      <w:pPr>
        <w:pStyle w:val="10"/>
        <w:bidi w:val="0"/>
        <w:rPr>
          <w:rFonts w:hint="eastAsia"/>
        </w:rPr>
      </w:pPr>
      <w:r>
        <w:rPr>
          <w:rFonts w:hint="eastAsia"/>
          <w:b/>
          <w:bCs/>
        </w:rPr>
        <w:t>董</w:t>
      </w:r>
      <w:r>
        <w:rPr>
          <w:rFonts w:hint="eastAsia"/>
          <w:b/>
          <w:bCs/>
          <w:lang w:val="en-US" w:eastAsia="zh-CN"/>
        </w:rPr>
        <w:t xml:space="preserve"> </w:t>
      </w:r>
      <w:r>
        <w:rPr>
          <w:rFonts w:hint="eastAsia"/>
          <w:b/>
          <w:bCs/>
        </w:rPr>
        <w:t>事</w:t>
      </w:r>
      <w:r>
        <w:rPr>
          <w:rFonts w:hint="eastAsia"/>
          <w:b/>
          <w:bCs/>
          <w:lang w:val="en-US" w:eastAsia="zh-CN"/>
        </w:rPr>
        <w:t xml:space="preserve"> </w:t>
      </w:r>
      <w:r>
        <w:rPr>
          <w:rFonts w:hint="eastAsia"/>
          <w:b/>
          <w:bCs/>
        </w:rPr>
        <w:t>长：</w:t>
      </w:r>
      <w:r>
        <w:rPr>
          <w:rFonts w:hint="eastAsia"/>
        </w:rPr>
        <w:t>谢泰波</w:t>
      </w:r>
    </w:p>
    <w:p w14:paraId="7D504AE9">
      <w:pPr>
        <w:pStyle w:val="10"/>
        <w:bidi w:val="0"/>
        <w:rPr>
          <w:rFonts w:hint="eastAsia"/>
        </w:rPr>
      </w:pPr>
      <w:r>
        <w:rPr>
          <w:rFonts w:hint="eastAsia"/>
          <w:b/>
          <w:bCs/>
        </w:rPr>
        <w:t>总</w:t>
      </w:r>
      <w:r>
        <w:rPr>
          <w:rFonts w:hint="eastAsia"/>
          <w:b/>
          <w:bCs/>
          <w:lang w:val="en-US" w:eastAsia="zh-CN"/>
        </w:rPr>
        <w:t xml:space="preserve"> </w:t>
      </w:r>
      <w:r>
        <w:rPr>
          <w:rFonts w:hint="eastAsia"/>
          <w:b/>
          <w:bCs/>
        </w:rPr>
        <w:t>经</w:t>
      </w:r>
      <w:r>
        <w:rPr>
          <w:rFonts w:hint="eastAsia"/>
          <w:b/>
          <w:bCs/>
          <w:lang w:val="en-US" w:eastAsia="zh-CN"/>
        </w:rPr>
        <w:t xml:space="preserve"> </w:t>
      </w:r>
      <w:r>
        <w:rPr>
          <w:rFonts w:hint="eastAsia"/>
          <w:b/>
          <w:bCs/>
        </w:rPr>
        <w:t>理：</w:t>
      </w:r>
      <w:r>
        <w:rPr>
          <w:rFonts w:hint="eastAsia"/>
        </w:rPr>
        <w:t>刘保林</w:t>
      </w:r>
    </w:p>
    <w:p w14:paraId="76089548">
      <w:pPr>
        <w:pStyle w:val="10"/>
        <w:bidi w:val="0"/>
        <w:rPr>
          <w:rFonts w:hint="eastAsia"/>
        </w:rPr>
      </w:pPr>
      <w:r>
        <w:rPr>
          <w:rFonts w:hint="eastAsia"/>
          <w:b/>
          <w:bCs/>
        </w:rPr>
        <w:t>副总经理：</w:t>
      </w:r>
      <w:r>
        <w:rPr>
          <w:rFonts w:hint="eastAsia"/>
        </w:rPr>
        <w:t>王苑坤</w:t>
      </w:r>
      <w:r>
        <w:rPr>
          <w:rFonts w:hint="eastAsia"/>
          <w:lang w:val="en-US" w:eastAsia="zh-CN"/>
        </w:rPr>
        <w:t xml:space="preserve">   </w:t>
      </w:r>
      <w:r>
        <w:rPr>
          <w:rFonts w:hint="eastAsia"/>
        </w:rPr>
        <w:t>张海峰</w:t>
      </w:r>
      <w:r>
        <w:rPr>
          <w:rFonts w:hint="eastAsia"/>
          <w:lang w:val="en-US" w:eastAsia="zh-CN"/>
        </w:rPr>
        <w:t xml:space="preserve">   </w:t>
      </w:r>
      <w:r>
        <w:rPr>
          <w:rFonts w:hint="eastAsia"/>
        </w:rPr>
        <w:t>林俊峰</w:t>
      </w:r>
    </w:p>
    <w:p w14:paraId="44679CAE">
      <w:pPr>
        <w:pStyle w:val="4"/>
        <w:bidi w:val="0"/>
        <w:rPr>
          <w:rFonts w:hint="eastAsia"/>
        </w:rPr>
      </w:pPr>
      <w:r>
        <w:rPr>
          <w:rFonts w:hint="eastAsia"/>
        </w:rPr>
        <w:t>【韶能集团韶关南雄珠</w:t>
      </w:r>
      <w:r>
        <w:rPr>
          <w:rFonts w:hint="eastAsia"/>
          <w:lang w:val="en-US" w:eastAsia="zh-CN"/>
        </w:rPr>
        <w:t>玑</w:t>
      </w:r>
      <w:r>
        <w:rPr>
          <w:rFonts w:hint="eastAsia"/>
        </w:rPr>
        <w:t>纸业有限公司】</w:t>
      </w:r>
    </w:p>
    <w:p w14:paraId="12B7A1B9">
      <w:pPr>
        <w:rPr>
          <w:rFonts w:hint="eastAsia"/>
        </w:rPr>
      </w:pPr>
      <w:r>
        <w:rPr>
          <w:rFonts w:hint="eastAsia"/>
        </w:rPr>
        <w:t>韶能集团韶关南雄珠玑纸业有限公司由南雄造纸总厂组（筹建于</w:t>
      </w:r>
      <w:r>
        <w:t>1988年），2005年7月由广东韶能集团股</w:t>
      </w:r>
      <w:r>
        <w:rPr>
          <w:rFonts w:hint="eastAsia"/>
        </w:rPr>
        <w:t>份有限公司收购管理重组</w:t>
      </w:r>
      <w:r>
        <w:rPr>
          <w:rFonts w:hint="eastAsia"/>
          <w:lang w:val="en-US" w:eastAsia="zh-CN"/>
        </w:rPr>
        <w:t>.</w:t>
      </w:r>
      <w:r>
        <w:t>2010年3月成为集团</w:t>
      </w:r>
      <w:r>
        <w:rPr>
          <w:rFonts w:hint="eastAsia"/>
        </w:rPr>
        <w:t>子公司，是国有控股法人单位，现有员工</w:t>
      </w:r>
      <w:r>
        <w:t>560人。</w:t>
      </w:r>
      <w:r>
        <w:rPr>
          <w:rFonts w:hint="eastAsia"/>
        </w:rPr>
        <w:t>公司利用</w:t>
      </w:r>
      <w:r>
        <w:rPr>
          <w:rFonts w:hint="eastAsia"/>
          <w:lang w:eastAsia="zh-CN"/>
        </w:rPr>
        <w:t>粤</w:t>
      </w:r>
      <w:r>
        <w:rPr>
          <w:rFonts w:hint="eastAsia"/>
        </w:rPr>
        <w:t>北山区丰富的竹类资源为纤维原料，</w:t>
      </w:r>
      <w:r>
        <w:t>2010年通过技术改造实现传统产业升级转型，拥有</w:t>
      </w:r>
      <w:r>
        <w:rPr>
          <w:rFonts w:hint="eastAsia"/>
        </w:rPr>
        <w:t>年生产漂白硫酸盐竹浆</w:t>
      </w:r>
      <w:r>
        <w:t>6.5万吨，印刷书写纸3.5</w:t>
      </w:r>
      <w:r>
        <w:rPr>
          <w:rFonts w:hint="eastAsia"/>
        </w:rPr>
        <w:t>万吨，漂白硫酸盐竹浆板</w:t>
      </w:r>
      <w:r>
        <w:t>5万吨的生产能力。从2011年开始大力创建丛生竹原料基地，至2013年</w:t>
      </w:r>
      <w:r>
        <w:rPr>
          <w:rFonts w:hint="eastAsia"/>
        </w:rPr>
        <w:t>底已发展种植</w:t>
      </w:r>
      <w:r>
        <w:t>20000多亩，企业走出一条“公司+</w:t>
      </w:r>
      <w:r>
        <w:rPr>
          <w:rFonts w:hint="eastAsia"/>
        </w:rPr>
        <w:t>农户</w:t>
      </w:r>
      <w:r>
        <w:t>+基地”的新模式，主要产品为“珠玑牌”优</w:t>
      </w:r>
      <w:r>
        <w:rPr>
          <w:rFonts w:hint="eastAsia"/>
        </w:rPr>
        <w:t>质印刷书写纸和漂白硫酸盐竹浆板，产品销往广东、江西、福建、浙江、上海、天津、云南等地区，年销售收入超亿元，是南雄市工业经济的骨干企业之一，是韶关市农业龙头企业，亦是广东省农业龙头企业、广东省林业龙头企业、广东省清洁生产企业。</w:t>
      </w:r>
    </w:p>
    <w:p w14:paraId="72BADA74">
      <w:pPr>
        <w:rPr>
          <w:rFonts w:hint="eastAsia"/>
        </w:rPr>
      </w:pPr>
      <w:r>
        <w:rPr>
          <w:rFonts w:hint="eastAsia"/>
          <w:b/>
          <w:bCs/>
        </w:rPr>
        <w:t>主要产品</w:t>
      </w:r>
      <w:r>
        <w:rPr>
          <w:rFonts w:hint="eastAsia"/>
          <w:b/>
          <w:bCs/>
          <w:lang w:val="en-US" w:eastAsia="zh-CN"/>
        </w:rPr>
        <w:t xml:space="preserve"> </w:t>
      </w:r>
      <w:r>
        <w:rPr>
          <w:rFonts w:hint="eastAsia"/>
          <w:lang w:val="en-US" w:eastAsia="zh-CN"/>
        </w:rPr>
        <w:t xml:space="preserve"> </w:t>
      </w:r>
      <w:r>
        <w:rPr>
          <w:rFonts w:hint="eastAsia"/>
        </w:rPr>
        <w:t>利用自制漂白硫酸盐竹浆生产印刷书写纸和漂白硫酸盐竹浆板，同时，相继开发系列牛皮纸，产品规格：印刷书写纸有正度、大度平板纸和卷筒纸，本色包装箱用纸、染色原纸、复合原纸、胶粘原纸，再生牛皮纸、电子牛卡纸及生活用纸等系列产品。</w:t>
      </w:r>
    </w:p>
    <w:p w14:paraId="08169837">
      <w:r>
        <w:rPr>
          <w:rFonts w:hint="eastAsia"/>
          <w:b/>
          <w:bCs/>
        </w:rPr>
        <w:t>企业效益</w:t>
      </w:r>
      <w:r>
        <w:rPr>
          <w:rFonts w:hint="eastAsia"/>
          <w:b/>
          <w:bCs/>
          <w:lang w:val="en-US" w:eastAsia="zh-CN"/>
        </w:rPr>
        <w:t xml:space="preserve">  </w:t>
      </w:r>
      <w:r>
        <w:t>2013年生产印刷书写纸10450吨</w:t>
      </w:r>
      <w:r>
        <w:rPr>
          <w:rFonts w:hint="eastAsia"/>
        </w:rPr>
        <w:t>漂白硫酸盐竹浆板</w:t>
      </w:r>
      <w:r>
        <w:t>14450吨，销售印刷书写纸10570吨，漂白硫酸盐竹浆板14361吨，实现销售</w:t>
      </w:r>
      <w:r>
        <w:rPr>
          <w:rFonts w:hint="eastAsia"/>
        </w:rPr>
        <w:t>收入</w:t>
      </w:r>
      <w:r>
        <w:t>9651万元，工业总产值9600万元，完成节能</w:t>
      </w:r>
      <w:r>
        <w:rPr>
          <w:rFonts w:hint="eastAsia"/>
        </w:rPr>
        <w:t>量</w:t>
      </w:r>
      <w:r>
        <w:t>145002吨标准煤，完成政府的节能目标。</w:t>
      </w:r>
    </w:p>
    <w:p w14:paraId="62DBD941">
      <w:pPr>
        <w:rPr>
          <w:rFonts w:hint="eastAsia"/>
        </w:rPr>
      </w:pPr>
      <w:r>
        <w:rPr>
          <w:rFonts w:hint="eastAsia"/>
          <w:b/>
          <w:bCs/>
        </w:rPr>
        <w:t>企业管理</w:t>
      </w:r>
      <w:r>
        <w:rPr>
          <w:rFonts w:hint="eastAsia"/>
          <w:b/>
          <w:bCs/>
          <w:lang w:val="en-US" w:eastAsia="zh-CN"/>
        </w:rPr>
        <w:t xml:space="preserve">  </w:t>
      </w:r>
      <w:r>
        <w:rPr>
          <w:rFonts w:hint="eastAsia"/>
        </w:rPr>
        <w:t>不断健全完善各项管理机制，健全完善各项内控管理机制，从生产、采购、技改、销售、投标、财务等流程进行全面过程优化、科学高效、风险可控的规范管理，达到提高工作效率、减少浪费、降低成本、控制风险、提升经营效益的目的，确保公司生产经营动作制度化、规范化、稳定持续发展。公司重大项目、投资及人事变动实行公平、公正、公开的原则，实行厂务公开。同时，对安全生产高度重视，落实节能减排，落实安全、环保工作责任制，及时预防和排</w:t>
      </w:r>
      <w:r>
        <w:rPr>
          <w:rFonts w:hint="eastAsia"/>
          <w:lang w:eastAsia="zh-CN"/>
        </w:rPr>
        <w:t>查</w:t>
      </w:r>
      <w:r>
        <w:rPr>
          <w:rFonts w:hint="eastAsia"/>
        </w:rPr>
        <w:t>安全隐患，杜绝重大事故的发生，投入</w:t>
      </w:r>
      <w:r>
        <w:t>100多万元资金加大环保治</w:t>
      </w:r>
      <w:r>
        <w:rPr>
          <w:rFonts w:hint="eastAsia"/>
        </w:rPr>
        <w:t>理，废水、废气排放达到国家规定的标准，各项指标符合国家和省环保标准。</w:t>
      </w:r>
    </w:p>
    <w:p w14:paraId="23F0A3EB">
      <w:pPr>
        <w:rPr>
          <w:rFonts w:hint="eastAsia"/>
        </w:rPr>
      </w:pPr>
      <w:r>
        <w:rPr>
          <w:rFonts w:hint="eastAsia"/>
          <w:b/>
          <w:bCs/>
        </w:rPr>
        <w:t>技术创新</w:t>
      </w:r>
      <w:r>
        <w:rPr>
          <w:rFonts w:hint="eastAsia"/>
          <w:b/>
          <w:bCs/>
          <w:lang w:val="en-US" w:eastAsia="zh-CN"/>
        </w:rPr>
        <w:t xml:space="preserve">  </w:t>
      </w:r>
      <w:r>
        <w:rPr>
          <w:rFonts w:hint="eastAsia"/>
        </w:rPr>
        <w:t>依靠科技进步，促进企业转型升级发展，淘汰陈旧落后的耗能工艺与设备，制浆漂白的新技术、新设备、新工艺均达到国内同行业中的先进水平。通过技术改进，走“高新精优特”的产品结构，适时开发系列牛皮纸、本色浆系列包装原纸和生活用纸产品，实现产品多元化，提升市场竞争能力和增强企业抗风险能力。在集团公司的支持下，对</w:t>
      </w:r>
      <w:r>
        <w:t>1880mm纸机和2362mm纸机改造流送系统</w:t>
      </w:r>
      <w:r>
        <w:rPr>
          <w:rFonts w:hint="eastAsia"/>
        </w:rPr>
        <w:t>及流浆箱、压光机，稳定</w:t>
      </w:r>
      <w:r>
        <w:rPr>
          <w:rFonts w:hint="eastAsia"/>
          <w:lang w:val="en-US" w:eastAsia="zh-CN"/>
        </w:rPr>
        <w:t>工</w:t>
      </w:r>
      <w:r>
        <w:t>艺技术，产品质量稳中</w:t>
      </w:r>
      <w:r>
        <w:rPr>
          <w:rFonts w:hint="eastAsia"/>
        </w:rPr>
        <w:t>有升，生产消耗稳中有降。</w:t>
      </w:r>
    </w:p>
    <w:p w14:paraId="3D6A4509">
      <w:pPr>
        <w:rPr>
          <w:rFonts w:hint="eastAsia"/>
        </w:rPr>
      </w:pPr>
      <w:r>
        <w:rPr>
          <w:rFonts w:hint="eastAsia"/>
          <w:b/>
          <w:bCs/>
        </w:rPr>
        <w:t>企业文化</w:t>
      </w:r>
      <w:r>
        <w:rPr>
          <w:rFonts w:hint="eastAsia"/>
          <w:b/>
          <w:bCs/>
          <w:lang w:val="en-US" w:eastAsia="zh-CN"/>
        </w:rPr>
        <w:t xml:space="preserve">  </w:t>
      </w:r>
      <w:r>
        <w:rPr>
          <w:rFonts w:hint="eastAsia"/>
        </w:rPr>
        <w:t>公司始终坚持“诚信经营、质量第</w:t>
      </w:r>
      <w:r>
        <w:rPr>
          <w:rFonts w:hint="eastAsia"/>
          <w:lang w:val="en-US" w:eastAsia="zh-CN"/>
        </w:rPr>
        <w:t>一、</w:t>
      </w:r>
      <w:r>
        <w:rPr>
          <w:rFonts w:hint="eastAsia"/>
        </w:rPr>
        <w:t>客户至上”的经济宗旨，践行“以人为本、以人为善”的理念，围绕“一切以企业利益为核心</w:t>
      </w:r>
      <w:r>
        <w:rPr>
          <w:rFonts w:hint="eastAsia"/>
          <w:lang w:eastAsia="zh-CN"/>
        </w:rPr>
        <w:t>”</w:t>
      </w:r>
      <w:r>
        <w:rPr>
          <w:rFonts w:hint="eastAsia"/>
        </w:rPr>
        <w:t>的要求，群策群力，开拓创新，勇于拼搏，推动企业持续稳定健康发展。公司领导班子，以科学发展观为指导，坚持科技创新，科技进步，坚持安全生</w:t>
      </w:r>
      <w:r>
        <w:rPr>
          <w:rFonts w:hint="eastAsia"/>
          <w:lang w:val="en-US" w:eastAsia="zh-CN"/>
        </w:rPr>
        <w:t>产</w:t>
      </w:r>
      <w:r>
        <w:rPr>
          <w:rFonts w:hint="eastAsia"/>
        </w:rPr>
        <w:t>，坚持节能环保，构建和谐、环保平安企业。</w:t>
      </w:r>
    </w:p>
    <w:p w14:paraId="0CB893CA">
      <w:pPr>
        <w:rPr>
          <w:rFonts w:hint="eastAsia"/>
        </w:rPr>
      </w:pPr>
      <w:r>
        <w:t>2013年经中共南雄市直属机关工作委员会批复</w:t>
      </w:r>
      <w:r>
        <w:rPr>
          <w:rFonts w:hint="eastAsia"/>
        </w:rPr>
        <w:t>支部选举结果，陈盛全、何水泉、舒后先、沈红林、朱庆雄</w:t>
      </w:r>
      <w:r>
        <w:t>5位同志为支部委员，其中：陈盛全同</w:t>
      </w:r>
      <w:r>
        <w:rPr>
          <w:rFonts w:hint="eastAsia"/>
        </w:rPr>
        <w:t>志任支部书记、何水泉同志任支部副书记、舒后先同志任支部纪检委员、沈红林同志任组织委员兼宣传委员、朱庆雄同志任安全委员。</w:t>
      </w:r>
    </w:p>
    <w:p w14:paraId="56F10A25">
      <w:pPr>
        <w:jc w:val="right"/>
        <w:rPr>
          <w:rFonts w:hint="eastAsia"/>
          <w:b/>
          <w:bCs/>
        </w:rPr>
      </w:pPr>
      <w:r>
        <w:rPr>
          <w:rFonts w:hint="eastAsia"/>
          <w:b/>
          <w:bCs/>
          <w:lang w:eastAsia="zh-CN"/>
        </w:rPr>
        <w:t>（</w:t>
      </w:r>
      <w:r>
        <w:rPr>
          <w:rFonts w:hint="eastAsia"/>
          <w:b/>
          <w:bCs/>
        </w:rPr>
        <w:t>刘宏春）</w:t>
      </w:r>
    </w:p>
    <w:p w14:paraId="0FEF9524">
      <w:pPr>
        <w:pStyle w:val="10"/>
        <w:bidi w:val="0"/>
        <w:rPr>
          <w:rFonts w:hint="eastAsia"/>
          <w:b/>
          <w:bCs/>
        </w:rPr>
      </w:pPr>
      <w:r>
        <w:rPr>
          <w:rFonts w:hint="eastAsia"/>
          <w:b/>
          <w:bCs/>
        </w:rPr>
        <w:t>附：</w:t>
      </w:r>
      <w:r>
        <w:rPr>
          <w:b/>
          <w:bCs/>
        </w:rPr>
        <w:t>2013年韶能集团南雄珠玑纸业有限公司领导班</w:t>
      </w:r>
      <w:r>
        <w:rPr>
          <w:rFonts w:hint="eastAsia"/>
          <w:b/>
          <w:bCs/>
        </w:rPr>
        <w:t>子成员名单</w:t>
      </w:r>
    </w:p>
    <w:p w14:paraId="1C473B50">
      <w:pPr>
        <w:pStyle w:val="10"/>
        <w:bidi w:val="0"/>
        <w:rPr>
          <w:rFonts w:hint="eastAsia"/>
        </w:rPr>
      </w:pPr>
      <w:r>
        <w:rPr>
          <w:rFonts w:hint="eastAsia"/>
          <w:b/>
          <w:bCs/>
        </w:rPr>
        <w:t>董</w:t>
      </w:r>
      <w:r>
        <w:rPr>
          <w:rFonts w:hint="eastAsia"/>
          <w:b/>
          <w:bCs/>
          <w:lang w:val="en-US" w:eastAsia="zh-CN"/>
        </w:rPr>
        <w:t xml:space="preserve"> </w:t>
      </w:r>
      <w:r>
        <w:rPr>
          <w:rFonts w:hint="eastAsia"/>
          <w:b/>
          <w:bCs/>
        </w:rPr>
        <w:t>事</w:t>
      </w:r>
      <w:r>
        <w:rPr>
          <w:rFonts w:hint="eastAsia"/>
          <w:b/>
          <w:bCs/>
          <w:lang w:val="en-US" w:eastAsia="zh-CN"/>
        </w:rPr>
        <w:t xml:space="preserve"> </w:t>
      </w:r>
      <w:r>
        <w:rPr>
          <w:rFonts w:hint="eastAsia"/>
          <w:b/>
          <w:bCs/>
        </w:rPr>
        <w:t>长：</w:t>
      </w:r>
      <w:r>
        <w:rPr>
          <w:rFonts w:hint="eastAsia"/>
        </w:rPr>
        <w:t>钟跃元</w:t>
      </w:r>
    </w:p>
    <w:p w14:paraId="09A28936">
      <w:pPr>
        <w:pStyle w:val="10"/>
        <w:bidi w:val="0"/>
        <w:rPr>
          <w:rFonts w:hint="eastAsia"/>
        </w:rPr>
      </w:pPr>
      <w:r>
        <w:rPr>
          <w:rFonts w:hint="eastAsia"/>
          <w:b/>
          <w:bCs/>
        </w:rPr>
        <w:t>总</w:t>
      </w:r>
      <w:r>
        <w:rPr>
          <w:rFonts w:hint="eastAsia"/>
          <w:b/>
          <w:bCs/>
          <w:lang w:val="en-US" w:eastAsia="zh-CN"/>
        </w:rPr>
        <w:t xml:space="preserve"> </w:t>
      </w:r>
      <w:r>
        <w:rPr>
          <w:rFonts w:hint="eastAsia"/>
          <w:b/>
          <w:bCs/>
        </w:rPr>
        <w:t>经</w:t>
      </w:r>
      <w:r>
        <w:rPr>
          <w:rFonts w:hint="eastAsia"/>
          <w:b/>
          <w:bCs/>
          <w:lang w:val="en-US" w:eastAsia="zh-CN"/>
        </w:rPr>
        <w:t xml:space="preserve"> </w:t>
      </w:r>
      <w:r>
        <w:rPr>
          <w:rFonts w:hint="eastAsia"/>
          <w:b/>
          <w:bCs/>
        </w:rPr>
        <w:t>理：</w:t>
      </w:r>
      <w:r>
        <w:rPr>
          <w:rFonts w:hint="eastAsia"/>
        </w:rPr>
        <w:t>陈盛全</w:t>
      </w:r>
    </w:p>
    <w:p w14:paraId="3AC892AF">
      <w:pPr>
        <w:pStyle w:val="10"/>
        <w:bidi w:val="0"/>
        <w:rPr>
          <w:rFonts w:hint="eastAsia"/>
        </w:rPr>
      </w:pPr>
      <w:r>
        <w:rPr>
          <w:rFonts w:hint="eastAsia"/>
          <w:b/>
          <w:bCs/>
        </w:rPr>
        <w:t>副总经理：</w:t>
      </w:r>
      <w:r>
        <w:rPr>
          <w:rFonts w:hint="eastAsia"/>
        </w:rPr>
        <w:t>谢军生</w:t>
      </w:r>
      <w:r>
        <w:rPr>
          <w:rFonts w:hint="eastAsia"/>
          <w:lang w:val="en-US" w:eastAsia="zh-CN"/>
        </w:rPr>
        <w:t xml:space="preserve">   </w:t>
      </w:r>
      <w:r>
        <w:rPr>
          <w:rFonts w:hint="eastAsia"/>
        </w:rPr>
        <w:t>舒后先</w:t>
      </w:r>
    </w:p>
    <w:p w14:paraId="335A7BC8">
      <w:pPr>
        <w:pStyle w:val="4"/>
        <w:bidi w:val="0"/>
        <w:rPr>
          <w:rFonts w:hint="eastAsia"/>
        </w:rPr>
      </w:pPr>
      <w:r>
        <w:rPr>
          <w:rFonts w:hint="eastAsia"/>
        </w:rPr>
        <w:t>【南雄市浈江电业有限责任公司】</w:t>
      </w:r>
    </w:p>
    <w:p w14:paraId="07CF850A">
      <w:pPr>
        <w:rPr>
          <w:rFonts w:hint="eastAsia"/>
          <w:lang w:eastAsia="zh-CN"/>
        </w:rPr>
      </w:pPr>
      <w:r>
        <w:t>2000年12月30日成立，注册资本5671万元，是以水力发电为</w:t>
      </w:r>
      <w:r>
        <w:rPr>
          <w:rFonts w:hint="eastAsia"/>
        </w:rPr>
        <w:t>主营业务的国有股份企业。公司下设行政部、财务部、生产技术部</w:t>
      </w:r>
      <w:r>
        <w:t>3个职能部门，截至2013年12月</w:t>
      </w:r>
      <w:r>
        <w:rPr>
          <w:rFonts w:hint="eastAsia"/>
        </w:rPr>
        <w:t>下辖江头桃树江、长尾、长潭、横水，帽子峰潭溪、外溪</w:t>
      </w:r>
      <w:r>
        <w:rPr>
          <w:rFonts w:hint="eastAsia"/>
          <w:lang w:eastAsia="zh-CN"/>
        </w:rPr>
        <w:t>、</w:t>
      </w:r>
      <w:r>
        <w:rPr>
          <w:rFonts w:hint="eastAsia"/>
        </w:rPr>
        <w:t>澜河高桥、小流坑、上澜、龙坑，全安</w:t>
      </w:r>
      <w:r>
        <w:rPr>
          <w:rFonts w:hint="eastAsia"/>
          <w:lang w:val="en-US" w:eastAsia="zh-CN"/>
        </w:rPr>
        <w:t>兰</w:t>
      </w:r>
      <w:r>
        <w:rPr>
          <w:rFonts w:hint="eastAsia"/>
        </w:rPr>
        <w:t>溪</w:t>
      </w:r>
      <w:r>
        <w:rPr>
          <w:rFonts w:hint="eastAsia"/>
          <w:lang w:val="en-US" w:eastAsia="zh-CN"/>
        </w:rPr>
        <w:t>一、二、三站</w:t>
      </w:r>
      <w:r>
        <w:rPr>
          <w:rFonts w:hint="eastAsia"/>
        </w:rPr>
        <w:t>，全安大坪、龙华山、吊基岭，主田大步前、窑合、夹水口，百顺新村一、二站，邓坊杨梅，南亩中寺，珠玑周山等</w:t>
      </w:r>
      <w:r>
        <w:t>24座电站，共56台机组，总装机14410KW。按照市委市政府指</w:t>
      </w:r>
      <w:r>
        <w:rPr>
          <w:rFonts w:hint="eastAsia"/>
        </w:rPr>
        <w:t>示精神，</w:t>
      </w:r>
      <w:r>
        <w:t>2008年开始公司陆续投资1000多万元建</w:t>
      </w:r>
      <w:r>
        <w:rPr>
          <w:rFonts w:hint="eastAsia"/>
        </w:rPr>
        <w:t>设成立日供水能力为</w:t>
      </w:r>
      <w:r>
        <w:t>5000吨自来水供应公司一全</w:t>
      </w:r>
      <w:r>
        <w:rPr>
          <w:rFonts w:hint="eastAsia"/>
        </w:rPr>
        <w:t>安自来水有限责任公司，目前主要向南雄市区北片、韶关乐华陶瓷公司及全安镇区、河塘村、古塘村、王亭石村、荔迳村、杨沥村、羊角村、全安村</w:t>
      </w:r>
      <w:r>
        <w:t>7村1镇区供水</w:t>
      </w:r>
      <w:r>
        <w:rPr>
          <w:rFonts w:hint="eastAsia"/>
          <w:lang w:eastAsia="zh-CN"/>
        </w:rPr>
        <w:t>。</w:t>
      </w:r>
    </w:p>
    <w:p w14:paraId="542D163F">
      <w:pPr>
        <w:rPr>
          <w:rFonts w:hint="eastAsia"/>
        </w:rPr>
      </w:pPr>
      <w:r>
        <w:rPr>
          <w:rFonts w:hint="eastAsia"/>
          <w:b/>
          <w:bCs/>
        </w:rPr>
        <w:t>安全生产</w:t>
      </w:r>
      <w:r>
        <w:rPr>
          <w:rFonts w:hint="eastAsia"/>
          <w:lang w:val="en-US" w:eastAsia="zh-CN"/>
        </w:rPr>
        <w:t xml:space="preserve">  </w:t>
      </w:r>
      <w:r>
        <w:rPr>
          <w:rFonts w:hint="eastAsia"/>
        </w:rPr>
        <w:t>公司落实安全生产责任制，加强安全生产基础管理，同时公司领导加大对各下属单位贯彻落实安全生产工作要求的监管力度，督促做好安全生产管理工作，</w:t>
      </w:r>
      <w:r>
        <w:t>2013年实现电站安全运行零事</w:t>
      </w:r>
      <w:r>
        <w:rPr>
          <w:rFonts w:hint="eastAsia"/>
        </w:rPr>
        <w:t>故，超额完成年初制定的生产目标任务。</w:t>
      </w:r>
    </w:p>
    <w:p w14:paraId="4FDE8B5E">
      <w:pPr>
        <w:rPr>
          <w:rFonts w:hint="eastAsia"/>
        </w:rPr>
      </w:pPr>
      <w:r>
        <w:rPr>
          <w:rFonts w:hint="eastAsia"/>
          <w:b/>
          <w:bCs/>
        </w:rPr>
        <w:t>内部管理</w:t>
      </w:r>
      <w:r>
        <w:rPr>
          <w:rFonts w:hint="eastAsia"/>
          <w:b/>
          <w:bCs/>
          <w:lang w:val="en-US" w:eastAsia="zh-CN"/>
        </w:rPr>
        <w:t xml:space="preserve"> </w:t>
      </w:r>
      <w:r>
        <w:rPr>
          <w:rFonts w:hint="eastAsia"/>
          <w:lang w:val="en-US" w:eastAsia="zh-CN"/>
        </w:rPr>
        <w:t xml:space="preserve"> </w:t>
      </w:r>
      <w:r>
        <w:rPr>
          <w:rFonts w:hint="eastAsia"/>
        </w:rPr>
        <w:t>一是接受市国资委的监管和考核，结合公司开展“面向基层、整顿作风、服务群众”活动，加强对本部人员及各下属单位负责人工作职责落实情况考核，继续强化公司工作考核制度。</w:t>
      </w:r>
      <w:r>
        <w:rPr>
          <w:rFonts w:hint="eastAsia"/>
          <w:lang w:val="en-US" w:eastAsia="zh-CN"/>
        </w:rPr>
        <w:t>二</w:t>
      </w:r>
      <w:r>
        <w:rPr>
          <w:rFonts w:hint="eastAsia"/>
        </w:rPr>
        <w:t>是修订完善《公司规章制度》，进一步规范企业经营管理工作。三是认真贯彻落实中共中央八项规定、“六项禁令”的要求，厉行节约、杜绝奢侈浪费，严格执行非生产开支和赞助审批控制工作，尽量减少非生产开支及赞助开支。四是认真贯彻落实市政府工作会议纪要精神，规范公司财务核算，按时计提电站资源补偿费上缴市财政，主动与各股东镇沟通，及时做好各镇股东单位农电电费回笼工作。</w:t>
      </w:r>
    </w:p>
    <w:p w14:paraId="07C76D4B">
      <w:pPr>
        <w:rPr>
          <w:rFonts w:hint="eastAsia"/>
        </w:rPr>
      </w:pPr>
      <w:r>
        <w:rPr>
          <w:rFonts w:hint="eastAsia"/>
          <w:b/>
          <w:bCs/>
        </w:rPr>
        <w:t>党风廉政建设</w:t>
      </w:r>
      <w:r>
        <w:rPr>
          <w:rFonts w:hint="eastAsia"/>
          <w:b/>
          <w:bCs/>
          <w:lang w:val="en-US" w:eastAsia="zh-CN"/>
        </w:rPr>
        <w:t xml:space="preserve"> </w:t>
      </w:r>
      <w:r>
        <w:rPr>
          <w:rFonts w:hint="eastAsia"/>
          <w:lang w:val="en-US" w:eastAsia="zh-CN"/>
        </w:rPr>
        <w:t xml:space="preserve"> </w:t>
      </w:r>
      <w:r>
        <w:rPr>
          <w:rFonts w:hint="eastAsia"/>
        </w:rPr>
        <w:t>落实党风廉政建设责任制，实行一</w:t>
      </w:r>
      <w:r>
        <w:rPr>
          <w:rFonts w:hint="eastAsia"/>
          <w:lang w:eastAsia="zh-CN"/>
        </w:rPr>
        <w:t>岗</w:t>
      </w:r>
      <w:r>
        <w:rPr>
          <w:rFonts w:hint="eastAsia"/>
        </w:rPr>
        <w:t>两职，切实做到企业党风廉政建设与企业经营生产“两不误，两促进”。同时不断加强领导干部的廉洁自律教育，从源头上预防和</w:t>
      </w:r>
      <w:r>
        <w:rPr>
          <w:rFonts w:hint="eastAsia"/>
          <w:lang w:eastAsia="zh-CN"/>
        </w:rPr>
        <w:t>治</w:t>
      </w:r>
      <w:r>
        <w:rPr>
          <w:rFonts w:hint="eastAsia"/>
        </w:rPr>
        <w:t>理腐败。</w:t>
      </w:r>
    </w:p>
    <w:p w14:paraId="2AA87BF8">
      <w:pPr>
        <w:rPr>
          <w:rFonts w:hint="eastAsia"/>
        </w:rPr>
      </w:pPr>
      <w:r>
        <w:rPr>
          <w:rFonts w:hint="eastAsia"/>
          <w:b/>
          <w:bCs/>
        </w:rPr>
        <w:t>精神文明建设</w:t>
      </w:r>
      <w:r>
        <w:rPr>
          <w:rFonts w:hint="eastAsia"/>
          <w:b/>
          <w:bCs/>
          <w:lang w:val="en-US" w:eastAsia="zh-CN"/>
        </w:rPr>
        <w:t xml:space="preserve"> </w:t>
      </w:r>
      <w:r>
        <w:rPr>
          <w:rFonts w:hint="eastAsia"/>
          <w:lang w:val="en-US" w:eastAsia="zh-CN"/>
        </w:rPr>
        <w:t xml:space="preserve"> </w:t>
      </w:r>
      <w:r>
        <w:rPr>
          <w:rFonts w:hint="eastAsia"/>
        </w:rPr>
        <w:t>开展公司创建“五个一”精神文明单位活动，结合公司“道德讲堂”，邀请市人大、市检察院和市纪检会专家为公司领导干部及下属单位负责人上孝道仁义、预防职务犯罪、党风廉政教育课，提高公司精神文明建设水平，促进公司工作作风的转变。</w:t>
      </w:r>
    </w:p>
    <w:p w14:paraId="5AF1870B">
      <w:pPr>
        <w:rPr>
          <w:rFonts w:hint="eastAsia"/>
        </w:rPr>
      </w:pPr>
      <w:r>
        <w:rPr>
          <w:rFonts w:hint="eastAsia"/>
          <w:b/>
          <w:bCs/>
        </w:rPr>
        <w:t>员工培训</w:t>
      </w:r>
      <w:r>
        <w:rPr>
          <w:rFonts w:hint="eastAsia"/>
          <w:b/>
          <w:bCs/>
          <w:lang w:val="en-US" w:eastAsia="zh-CN"/>
        </w:rPr>
        <w:t xml:space="preserve"> </w:t>
      </w:r>
      <w:r>
        <w:rPr>
          <w:rFonts w:hint="eastAsia"/>
          <w:lang w:val="en-US" w:eastAsia="zh-CN"/>
        </w:rPr>
        <w:t xml:space="preserve"> </w:t>
      </w:r>
      <w:r>
        <w:rPr>
          <w:rFonts w:hint="eastAsia"/>
        </w:rPr>
        <w:t>开展安全生产知识培训，强化员工安全生产意识，提高安全生产管理水平。加强青年员工的培养、管理工作。</w:t>
      </w:r>
      <w:r>
        <w:t>2013年公司采取“走出</w:t>
      </w:r>
      <w:r>
        <w:rPr>
          <w:rFonts w:hint="eastAsia"/>
        </w:rPr>
        <w:t>去”、“请进来”的学习方式来提升青年员工综合素质，组织大家参观学习同行其他企业开阔视野，学习好的管理方法和经验；邀请专家讲课，补充相关专业知识；此外，组织参加上级部门组织的业务学习，如安全主任上岗证、会计上岗证、统计上岗证培训等，鼓励员工参加学历教育等。</w:t>
      </w:r>
    </w:p>
    <w:p w14:paraId="379DF23E">
      <w:pPr>
        <w:jc w:val="right"/>
        <w:rPr>
          <w:rFonts w:hint="eastAsia"/>
          <w:b/>
          <w:bCs/>
        </w:rPr>
      </w:pPr>
      <w:r>
        <w:rPr>
          <w:rFonts w:hint="eastAsia"/>
          <w:b/>
          <w:bCs/>
        </w:rPr>
        <w:t>（浈江电业有限责任公司）</w:t>
      </w:r>
    </w:p>
    <w:p w14:paraId="53C2D6F2">
      <w:pPr>
        <w:pStyle w:val="10"/>
        <w:bidi w:val="0"/>
        <w:rPr>
          <w:rFonts w:hint="eastAsia"/>
          <w:b/>
          <w:bCs/>
        </w:rPr>
      </w:pPr>
      <w:r>
        <w:rPr>
          <w:rFonts w:hint="eastAsia"/>
          <w:b/>
          <w:bCs/>
        </w:rPr>
        <w:t>附：</w:t>
      </w:r>
      <w:r>
        <w:rPr>
          <w:b/>
          <w:bCs/>
        </w:rPr>
        <w:t>2013年市浈江电业有限责任公司领导班子成员</w:t>
      </w:r>
      <w:r>
        <w:rPr>
          <w:rFonts w:hint="eastAsia"/>
          <w:b/>
          <w:bCs/>
        </w:rPr>
        <w:t>名单</w:t>
      </w:r>
    </w:p>
    <w:p w14:paraId="78530A5F">
      <w:pPr>
        <w:pStyle w:val="10"/>
        <w:bidi w:val="0"/>
      </w:pPr>
      <w:r>
        <w:rPr>
          <w:rFonts w:hint="eastAsia"/>
          <w:b/>
          <w:bCs/>
        </w:rPr>
        <w:t>董事长、总经理：</w:t>
      </w:r>
      <w:r>
        <w:rPr>
          <w:rFonts w:hint="eastAsia"/>
        </w:rPr>
        <w:t>陈泽明（任至</w:t>
      </w:r>
      <w:r>
        <w:t>12月）</w:t>
      </w:r>
    </w:p>
    <w:p w14:paraId="48EC6DD9">
      <w:pPr>
        <w:pStyle w:val="10"/>
        <w:bidi w:val="0"/>
        <w:ind w:leftChars="800"/>
      </w:pPr>
      <w:r>
        <w:rPr>
          <w:rFonts w:hint="eastAsia"/>
        </w:rPr>
        <w:t>董圣国（</w:t>
      </w:r>
      <w:r>
        <w:t>12月任）</w:t>
      </w:r>
    </w:p>
    <w:p w14:paraId="5D27CD17">
      <w:pPr>
        <w:pStyle w:val="10"/>
        <w:bidi w:val="0"/>
        <w:rPr>
          <w:rFonts w:hint="eastAsia"/>
        </w:rPr>
      </w:pPr>
      <w:r>
        <w:rPr>
          <w:rFonts w:hint="eastAsia"/>
          <w:b/>
          <w:bCs/>
        </w:rPr>
        <w:t>副总经理：</w:t>
      </w:r>
      <w:r>
        <w:rPr>
          <w:rFonts w:hint="eastAsia"/>
        </w:rPr>
        <w:t>彭志坚</w:t>
      </w:r>
      <w:r>
        <w:rPr>
          <w:rFonts w:hint="eastAsia"/>
          <w:lang w:val="en-US" w:eastAsia="zh-CN"/>
        </w:rPr>
        <w:t xml:space="preserve">   </w:t>
      </w:r>
      <w:r>
        <w:rPr>
          <w:rFonts w:hint="eastAsia"/>
        </w:rPr>
        <w:t>龙绍淦</w:t>
      </w:r>
    </w:p>
    <w:p w14:paraId="7FB98D4E">
      <w:pPr>
        <w:pStyle w:val="4"/>
        <w:bidi w:val="0"/>
        <w:rPr>
          <w:rFonts w:hint="eastAsia"/>
        </w:rPr>
      </w:pPr>
      <w:r>
        <w:rPr>
          <w:rFonts w:hint="eastAsia"/>
        </w:rPr>
        <w:t>【广东衡光化工有限公司简介】</w:t>
      </w:r>
    </w:p>
    <w:p w14:paraId="527D7769">
      <w:r>
        <w:rPr>
          <w:rFonts w:hint="eastAsia"/>
        </w:rPr>
        <w:t>广东衡光化工有限公司是衡水新光集团公司的子公司。总公司位于河北省衡水市，下辖衡水新光化工有限责任公司</w:t>
      </w:r>
      <w:r>
        <w:rPr>
          <w:rFonts w:hint="eastAsia"/>
          <w:lang w:eastAsia="zh-CN"/>
        </w:rPr>
        <w:t>、</w:t>
      </w:r>
      <w:r>
        <w:rPr>
          <w:rFonts w:hint="eastAsia"/>
        </w:rPr>
        <w:t>衡水新光帝蓝萨有限责任公司、广东衡光化工有限公司、衡水艾科赛林化学有限责任公司、河北麦格尼菲</w:t>
      </w:r>
      <w:r>
        <w:t>5个子公司。主导产品为水性丙烯酸建筑乳</w:t>
      </w:r>
      <w:r>
        <w:rPr>
          <w:rFonts w:hint="eastAsia"/>
        </w:rPr>
        <w:t>液、水性油墨乳液、医药中间体、粉末涂料助剂（</w:t>
      </w:r>
      <w:r>
        <w:t>TGIC）、PVC终止剂等八大系列80多个品种，水</w:t>
      </w:r>
      <w:r>
        <w:rPr>
          <w:rFonts w:hint="eastAsia"/>
        </w:rPr>
        <w:t>性丙烯酸建筑乳液全国第二大供应商，癫痫病药剂的中间体供应量占全球</w:t>
      </w:r>
      <w:r>
        <w:t>60%。综合生产能力可达20多万吨。</w:t>
      </w:r>
    </w:p>
    <w:p w14:paraId="30B6B970">
      <w:r>
        <w:rPr>
          <w:rFonts w:hint="eastAsia"/>
        </w:rPr>
        <w:t>广东衡光化工有限公司</w:t>
      </w:r>
      <w:r>
        <w:t>2012年3月落户南雄，</w:t>
      </w:r>
      <w:r>
        <w:rPr>
          <w:rFonts w:hint="eastAsia"/>
        </w:rPr>
        <w:t>占地约</w:t>
      </w:r>
      <w:r>
        <w:t>118亩，系1家专属水性树脂技术研究，生</w:t>
      </w:r>
      <w:r>
        <w:rPr>
          <w:rFonts w:hint="eastAsia"/>
        </w:rPr>
        <w:t>产和销售的高科技化工公司，计划总资投约</w:t>
      </w:r>
      <w:r>
        <w:t>2亿</w:t>
      </w:r>
      <w:r>
        <w:rPr>
          <w:rFonts w:hint="eastAsia"/>
        </w:rPr>
        <w:t>元，设计建设</w:t>
      </w:r>
      <w:r>
        <w:t>20条全自动化，智能化，安全自保</w:t>
      </w:r>
      <w:r>
        <w:rPr>
          <w:rFonts w:hint="eastAsia"/>
        </w:rPr>
        <w:t>护的生产线。该公司现已投资</w:t>
      </w:r>
      <w:r>
        <w:t>8000万元，一期工</w:t>
      </w:r>
      <w:r>
        <w:rPr>
          <w:rFonts w:hint="eastAsia"/>
        </w:rPr>
        <w:t>程年生产能力为</w:t>
      </w:r>
      <w:r>
        <w:t>4万吨树脂，预计建成后年产值约10亿元，年创税约3000万元。</w:t>
      </w:r>
    </w:p>
    <w:p w14:paraId="293C309B">
      <w:pPr>
        <w:pStyle w:val="4"/>
        <w:bidi w:val="0"/>
        <w:rPr>
          <w:rFonts w:hint="eastAsia"/>
        </w:rPr>
      </w:pPr>
      <w:r>
        <w:rPr>
          <w:rFonts w:hint="eastAsia"/>
        </w:rPr>
        <w:t>【韶关市乐华陶瓷洁具有限公司】</w:t>
      </w:r>
    </w:p>
    <w:p w14:paraId="25462DC8">
      <w:pPr>
        <w:rPr>
          <w:rFonts w:hint="eastAsia"/>
        </w:rPr>
      </w:pPr>
      <w:r>
        <w:rPr>
          <w:rFonts w:hint="eastAsia"/>
        </w:rPr>
        <w:t>韶关市乐华陶瓷洁具有限公司位于南雄市全安镇，是由佛山市顺德区乐华陶瓷洁具有限公司投资兴建，主要生产“</w:t>
      </w:r>
      <w:r>
        <w:t>AR</w:t>
      </w:r>
      <w:r>
        <w:rPr>
          <w:rFonts w:hint="eastAsia"/>
          <w:lang w:val="en-US" w:eastAsia="zh-CN"/>
        </w:rPr>
        <w:t>-</w:t>
      </w:r>
      <w:r>
        <w:t>R</w:t>
      </w:r>
      <w:r>
        <w:rPr>
          <w:rFonts w:hint="eastAsia"/>
          <w:lang w:val="en-US" w:eastAsia="zh-CN"/>
        </w:rPr>
        <w:t>O</w:t>
      </w:r>
      <w:r>
        <w:t>W”箭牌卫浴、陶瓷墙地抛光砖等产品。箭牌卫浴</w:t>
      </w:r>
      <w:r>
        <w:rPr>
          <w:rFonts w:hint="eastAsia"/>
        </w:rPr>
        <w:t>是国家质量免检产品，荣获“中国名牌产品”和“中国驰名商标”荣誉称号，并成为“全国首批政府绿色采购清单首选品牌”之一，箭牌卫浴已荣获行业大满贯，成为中国建陶行业的标志性品牌。</w:t>
      </w:r>
    </w:p>
    <w:p w14:paraId="72CC2763">
      <w:r>
        <w:rPr>
          <w:rFonts w:hint="eastAsia"/>
        </w:rPr>
        <w:t>韶关市乐华陶瓷洁具有限公司占地面积</w:t>
      </w:r>
      <w:r>
        <w:t>800</w:t>
      </w:r>
      <w:r>
        <w:rPr>
          <w:rFonts w:hint="eastAsia"/>
        </w:rPr>
        <w:t>亩，从</w:t>
      </w:r>
      <w:r>
        <w:t>2008年底开始筹建，预计投资15亿元，规</w:t>
      </w:r>
      <w:r>
        <w:rPr>
          <w:rFonts w:hint="eastAsia"/>
        </w:rPr>
        <w:t>划兴建</w:t>
      </w:r>
      <w:r>
        <w:t>6条抛光砖线和4条卫浴线，全部投产后，</w:t>
      </w:r>
      <w:r>
        <w:rPr>
          <w:rFonts w:hint="eastAsia"/>
        </w:rPr>
        <w:t>预计年产值约</w:t>
      </w:r>
      <w:r>
        <w:t>20亿元，用工总人数将达到6500人。</w:t>
      </w:r>
    </w:p>
    <w:p w14:paraId="24DD377D">
      <w:r>
        <w:rPr>
          <w:rFonts w:hint="eastAsia"/>
        </w:rPr>
        <w:t>目前，韶关市乐华陶瓷洁具有限公司已投入资金</w:t>
      </w:r>
      <w:r>
        <w:t>4.5亿元，现有员工1300多人，年产抛光砖300</w:t>
      </w:r>
      <w:r>
        <w:rPr>
          <w:rFonts w:hint="eastAsia"/>
        </w:rPr>
        <w:t>万平方米，陶瓷卫生洁具产品</w:t>
      </w:r>
      <w:r>
        <w:t>90万件，年产值约3.5亿元。</w:t>
      </w:r>
    </w:p>
    <w:p w14:paraId="2AA2967B">
      <w:pPr>
        <w:pStyle w:val="4"/>
        <w:bidi w:val="0"/>
        <w:rPr>
          <w:rFonts w:hint="eastAsia"/>
        </w:rPr>
      </w:pPr>
      <w:r>
        <w:rPr>
          <w:rFonts w:hint="eastAsia"/>
          <w:lang w:eastAsia="zh-CN"/>
        </w:rPr>
        <w:t>【</w:t>
      </w:r>
      <w:r>
        <w:rPr>
          <w:rFonts w:hint="eastAsia"/>
        </w:rPr>
        <w:t>广东邦固化学科技有限公司简介】</w:t>
      </w:r>
    </w:p>
    <w:p w14:paraId="73E0B08C">
      <w:pPr>
        <w:rPr>
          <w:rFonts w:hint="eastAsia"/>
        </w:rPr>
      </w:pPr>
      <w:r>
        <w:rPr>
          <w:rFonts w:hint="eastAsia"/>
        </w:rPr>
        <w:t>邦固化学成立于</w:t>
      </w:r>
      <w:r>
        <w:t>1999年，广东邦固化学科技有限公司2010年1月落户南雄，.2013年4月，公司与东莞市邦固</w:t>
      </w:r>
      <w:r>
        <w:rPr>
          <w:rFonts w:hint="eastAsia"/>
        </w:rPr>
        <w:t>化工贸易有限公司、惠州市邦固化学涂料有限公司合并，成</w:t>
      </w:r>
      <w:r>
        <w:rPr>
          <w:rFonts w:hint="eastAsia"/>
          <w:lang w:val="en-US" w:eastAsia="zh-CN"/>
        </w:rPr>
        <w:t>为</w:t>
      </w:r>
      <w:r>
        <w:rPr>
          <w:rFonts w:hint="eastAsia"/>
        </w:rPr>
        <w:t>广东邦固化学集团公司。该集团公司生产总部位于广东省南雄市，占地</w:t>
      </w:r>
      <w:r>
        <w:t>100亩，注册资本</w:t>
      </w:r>
      <w:r>
        <w:rPr>
          <w:rFonts w:hint="eastAsia"/>
        </w:rPr>
        <w:t>人民币</w:t>
      </w:r>
      <w:r>
        <w:t>1000万元，固定资产投资人民币1.2亿元，</w:t>
      </w:r>
      <w:r>
        <w:rPr>
          <w:rFonts w:hint="eastAsia"/>
        </w:rPr>
        <w:t>员工</w:t>
      </w:r>
      <w:r>
        <w:t>100余人，集研发、生产、销售一体。历经几</w:t>
      </w:r>
      <w:r>
        <w:rPr>
          <w:rFonts w:hint="eastAsia"/>
        </w:rPr>
        <w:t>年的磨砺洗礼，它正以璀璨的光华在南</w:t>
      </w:r>
      <w:r>
        <w:rPr>
          <w:rFonts w:hint="eastAsia"/>
          <w:lang w:eastAsia="zh-CN"/>
        </w:rPr>
        <w:t>粤</w:t>
      </w:r>
      <w:r>
        <w:rPr>
          <w:rFonts w:hint="eastAsia"/>
        </w:rPr>
        <w:t>大地熠熠生辉。销售总部位于广东省东莞市，下辖福建分公司、江苏分公司、上海分公司</w:t>
      </w:r>
      <w:r>
        <w:t>3个销售子公司。集</w:t>
      </w:r>
      <w:r>
        <w:rPr>
          <w:rFonts w:hint="eastAsia"/>
        </w:rPr>
        <w:t>团公司系专业从事膜类相关涂料研发、生产及销售的高科技企业，主要产品为织物箔用粉料、金银丝用涂料、皮革转移膜用涂料、医药包装用涂料、墙纸膜用涂料、电化铝用涂料等，集研发、生产、销售于一体。</w:t>
      </w:r>
    </w:p>
    <w:p w14:paraId="310CD03A">
      <w:r>
        <w:rPr>
          <w:rFonts w:hint="eastAsia"/>
        </w:rPr>
        <w:t>广东邦固化学集团公司生产总部计划总投资</w:t>
      </w:r>
      <w:r>
        <w:t>1.2亿元，建设项目分期建设，现已投资8000万</w:t>
      </w:r>
      <w:r>
        <w:rPr>
          <w:rFonts w:hint="eastAsia"/>
        </w:rPr>
        <w:t>元，一期工程年产量为</w:t>
      </w:r>
      <w:r>
        <w:t>10000吨，预计年产值2亿</w:t>
      </w:r>
      <w:r>
        <w:rPr>
          <w:rFonts w:hint="eastAsia"/>
        </w:rPr>
        <w:t>元，年创税约</w:t>
      </w:r>
      <w:r>
        <w:t>600万元。</w:t>
      </w:r>
    </w:p>
    <w:p w14:paraId="7AB3C098">
      <w:pPr>
        <w:rPr>
          <w:rFonts w:hint="eastAsia"/>
        </w:rPr>
      </w:pPr>
      <w:r>
        <w:rPr>
          <w:rFonts w:hint="eastAsia"/>
        </w:rPr>
        <w:t>邦固化学是一家专业从事膜类相关涂料研发、生产及销售的高科技企业。邦固化学的主要产品有织物箔用粉料、金银丝用涂料、皮革转移膜用涂料、烟包卡纸转移膜用涂料、医药包装用涂料、家用膜（拉丝膜）用涂料、镀铝包装膜用涂料、墙纸膜用涂料、热转印膜用涂料、电化铝用涂料、表面保护用压敏胶黏剂、背光膜组用光学膜涂料、冷烫电化铝涂料等。</w:t>
      </w:r>
    </w:p>
    <w:p w14:paraId="5A447D50">
      <w:pPr>
        <w:rPr>
          <w:rFonts w:hint="eastAsia"/>
        </w:rPr>
      </w:pPr>
      <w:r>
        <w:rPr>
          <w:rFonts w:hint="eastAsia"/>
        </w:rPr>
        <w:t>邦固化学拥有安全生产许可证，并运用</w:t>
      </w:r>
      <w:r>
        <w:t>ISO9000质量管理体系原理管理日常事务，并建立</w:t>
      </w:r>
      <w:r>
        <w:rPr>
          <w:rFonts w:hint="eastAsia"/>
        </w:rPr>
        <w:t>完善的管理评审和内部质量审核体系。邦固化学拥有从日本、韩国、德国引进的世界领先的专业生产及检测设备，同时配套</w:t>
      </w:r>
      <w:r>
        <w:t>4台大型聚氨酯反应釜、5</w:t>
      </w:r>
      <w:r>
        <w:rPr>
          <w:rFonts w:hint="eastAsia"/>
        </w:rPr>
        <w:t>台大型丙烯酸反应釜、</w:t>
      </w:r>
      <w:r>
        <w:t>5台大型搅拌釜、12个30</w:t>
      </w:r>
      <w:r>
        <w:rPr>
          <w:rFonts w:hint="eastAsia"/>
        </w:rPr>
        <w:t>米大型卧罐、</w:t>
      </w:r>
      <w:r>
        <w:t>7个200米立式储罐，年产量达44000</w:t>
      </w:r>
      <w:r>
        <w:rPr>
          <w:rFonts w:hint="eastAsia"/>
        </w:rPr>
        <w:t>吨。邦固化学依托多学科、高技术、人才密集等优势，成功地将多种技术应用到薄膜涂料上，开发出公司独有的专业产品及技术，且可提供一系列薄膜涂料的完整服务。</w:t>
      </w:r>
    </w:p>
    <w:p w14:paraId="4ADCF412">
      <w:pPr>
        <w:pStyle w:val="2"/>
        <w:bidi w:val="0"/>
        <w:rPr>
          <w:rFonts w:hint="eastAsia"/>
        </w:rPr>
      </w:pPr>
      <w:r>
        <w:rPr>
          <w:rFonts w:hint="eastAsia"/>
        </w:rPr>
        <w:t>农林水·气象·黄烟</w:t>
      </w:r>
    </w:p>
    <w:p w14:paraId="55C63558">
      <w:pPr>
        <w:pStyle w:val="3"/>
        <w:bidi w:val="0"/>
        <w:rPr>
          <w:rFonts w:hint="eastAsia"/>
          <w:lang w:val="en-US" w:eastAsia="zh-CN"/>
        </w:rPr>
      </w:pPr>
      <w:r>
        <w:rPr>
          <w:rFonts w:hint="eastAsia"/>
          <w:lang w:val="en-US" w:eastAsia="zh-CN"/>
        </w:rPr>
        <w:t>农业</w:t>
      </w:r>
    </w:p>
    <w:p w14:paraId="1C2B151E">
      <w:pPr>
        <w:pStyle w:val="4"/>
        <w:bidi w:val="0"/>
        <w:rPr>
          <w:rFonts w:hint="eastAsia"/>
        </w:rPr>
      </w:pPr>
      <w:r>
        <w:rPr>
          <w:rFonts w:hint="eastAsia"/>
        </w:rPr>
        <w:t>【概况】</w:t>
      </w:r>
    </w:p>
    <w:p w14:paraId="33EE02F8">
      <w:pPr>
        <w:rPr>
          <w:rFonts w:hint="eastAsia"/>
        </w:rPr>
      </w:pPr>
      <w:r>
        <w:rPr>
          <w:rFonts w:hint="eastAsia"/>
        </w:rPr>
        <w:t>南雄市农业局，加挂中共南雄市委农村工作办公室，是南雄市人民政府直属的正科级工作部门。内设</w:t>
      </w:r>
      <w:r>
        <w:t>9个职能股室：办公室、人事股、政策</w:t>
      </w:r>
      <w:r>
        <w:rPr>
          <w:rFonts w:hint="eastAsia"/>
        </w:rPr>
        <w:t>法规股、农村新能源建设股、农村经济体制与经营管理股（市农村集体资产管理与财务审计办公室</w:t>
      </w:r>
      <w:r>
        <w:rPr>
          <w:rFonts w:hint="eastAsia"/>
          <w:lang w:eastAsia="zh-CN"/>
        </w:rPr>
        <w:t>）、</w:t>
      </w:r>
      <w:r>
        <w:rPr>
          <w:rFonts w:hint="eastAsia"/>
        </w:rPr>
        <w:t>科教信息股、种养业管理办公室、财务与审计股（发展计划股）、农业综合开发办公室。机关行政编制</w:t>
      </w:r>
      <w:r>
        <w:t>26名，后勤服务人员数3名。下设8个事业单</w:t>
      </w:r>
      <w:r>
        <w:rPr>
          <w:rFonts w:hint="eastAsia"/>
        </w:rPr>
        <w:t>位：种子站、农技推广中心、扶贫办、农产品质量安全监督检测站、植保植检管理站、农业科学研究所、农业示范场、农村财务管理办公室，其中：种子站、农技推广中心为副科级事业单位。</w:t>
      </w:r>
      <w:r>
        <w:t>2013年，</w:t>
      </w:r>
      <w:r>
        <w:rPr>
          <w:rFonts w:hint="eastAsia"/>
        </w:rPr>
        <w:t>南雄市农业局获得南雄市科学技术进步奖、经济社会发展重大贡献先进单位、南雄市人口与计划生育综合治理工作先进单位等荣誉。</w:t>
      </w:r>
    </w:p>
    <w:p w14:paraId="51CD2E04">
      <w:pPr>
        <w:pStyle w:val="4"/>
        <w:bidi w:val="0"/>
        <w:rPr>
          <w:rFonts w:hint="eastAsia"/>
        </w:rPr>
      </w:pPr>
      <w:r>
        <w:rPr>
          <w:rFonts w:hint="eastAsia"/>
        </w:rPr>
        <w:t>【农业发展】</w:t>
      </w:r>
    </w:p>
    <w:p w14:paraId="2CF300B5">
      <w:r>
        <w:t>2013年，实现农业总产值38.6亿</w:t>
      </w:r>
      <w:r>
        <w:rPr>
          <w:rFonts w:hint="eastAsia"/>
        </w:rPr>
        <w:t>元，同比增长</w:t>
      </w:r>
      <w:r>
        <w:t>4.9%；农业增加值23.6亿元，同比</w:t>
      </w:r>
      <w:r>
        <w:rPr>
          <w:rFonts w:hint="eastAsia"/>
        </w:rPr>
        <w:t>增长</w:t>
      </w:r>
      <w:r>
        <w:t>4.8%；农民人均纯收入7727万元，同比增</w:t>
      </w:r>
      <w:r>
        <w:rPr>
          <w:rFonts w:hint="eastAsia"/>
        </w:rPr>
        <w:t>长</w:t>
      </w:r>
      <w:r>
        <w:t>13.6%。</w:t>
      </w:r>
    </w:p>
    <w:p w14:paraId="4B7B507F">
      <w:pPr>
        <w:pStyle w:val="4"/>
        <w:bidi w:val="0"/>
        <w:rPr>
          <w:rFonts w:hint="eastAsia"/>
        </w:rPr>
      </w:pPr>
      <w:r>
        <w:rPr>
          <w:rFonts w:hint="eastAsia"/>
        </w:rPr>
        <w:t>【粮油生产】</w:t>
      </w:r>
    </w:p>
    <w:p w14:paraId="5134853B">
      <w:r>
        <w:t>2013年，水稻播种面积30793.3公</w:t>
      </w:r>
      <w:r>
        <w:rPr>
          <w:rFonts w:hint="eastAsia"/>
        </w:rPr>
        <w:t>顷，总产量</w:t>
      </w:r>
      <w:r>
        <w:t>20.9万吨。早、晚造各创办两个万亩</w:t>
      </w:r>
      <w:r>
        <w:rPr>
          <w:rFonts w:hint="eastAsia"/>
        </w:rPr>
        <w:t>水稻高产示范片，其中早稻两个万亩高产示范片</w:t>
      </w:r>
      <w:r>
        <w:rPr>
          <w:rFonts w:hint="eastAsia"/>
          <w:lang w:val="en-US" w:eastAsia="zh-CN"/>
        </w:rPr>
        <w:t>平</w:t>
      </w:r>
      <w:r>
        <w:rPr>
          <w:rFonts w:hint="eastAsia"/>
        </w:rPr>
        <w:t>均亩产达</w:t>
      </w:r>
      <w:r>
        <w:t>605.5公斤，超出预定目标100.5公斤；</w:t>
      </w:r>
      <w:r>
        <w:rPr>
          <w:rFonts w:hint="eastAsia"/>
        </w:rPr>
        <w:t>晚稻两个万亩高产示范片平均亩产达</w:t>
      </w:r>
      <w:r>
        <w:t>547.1公斤，</w:t>
      </w:r>
      <w:r>
        <w:rPr>
          <w:rFonts w:hint="eastAsia"/>
        </w:rPr>
        <w:t>超出预定目标</w:t>
      </w:r>
      <w:r>
        <w:t>42.1公斤。花生播种面积7386.6公</w:t>
      </w:r>
      <w:r>
        <w:rPr>
          <w:rFonts w:hint="eastAsia"/>
        </w:rPr>
        <w:t>顷，总产量</w:t>
      </w:r>
      <w:r>
        <w:t>2.42万吨，其中雄州街道万亩花生高</w:t>
      </w:r>
      <w:r>
        <w:rPr>
          <w:rFonts w:hint="eastAsia"/>
        </w:rPr>
        <w:t>产示范片平均亩产达</w:t>
      </w:r>
      <w:r>
        <w:t>305.67公斤，比非示范片平</w:t>
      </w:r>
      <w:r>
        <w:rPr>
          <w:rFonts w:hint="eastAsia"/>
        </w:rPr>
        <w:t>均亩产增产</w:t>
      </w:r>
      <w:r>
        <w:t>85.22公斤，增产效果显著。</w:t>
      </w:r>
    </w:p>
    <w:p w14:paraId="644A8411">
      <w:pPr>
        <w:pStyle w:val="4"/>
        <w:bidi w:val="0"/>
        <w:rPr>
          <w:rFonts w:hint="eastAsia"/>
        </w:rPr>
      </w:pPr>
      <w:r>
        <w:rPr>
          <w:rFonts w:hint="eastAsia"/>
        </w:rPr>
        <w:t>【特色产业】</w:t>
      </w:r>
    </w:p>
    <w:p w14:paraId="5551C12E">
      <w:pPr>
        <w:rPr>
          <w:rFonts w:hint="eastAsia"/>
          <w:lang w:eastAsia="zh-CN"/>
        </w:rPr>
      </w:pPr>
      <w:r>
        <w:t>2013年，黄烟生产提档升级，烟叶</w:t>
      </w:r>
      <w:r>
        <w:rPr>
          <w:rFonts w:hint="eastAsia"/>
        </w:rPr>
        <w:t>合同种植面积</w:t>
      </w:r>
      <w:r>
        <w:t>67</w:t>
      </w:r>
      <w:r>
        <w:rPr>
          <w:rFonts w:hint="eastAsia"/>
          <w:lang w:val="en-US" w:eastAsia="zh-CN"/>
        </w:rPr>
        <w:t>3</w:t>
      </w:r>
      <w:r>
        <w:t>3.3公顷，收购烟叶14513吨，收</w:t>
      </w:r>
      <w:r>
        <w:rPr>
          <w:rFonts w:hint="eastAsia"/>
        </w:rPr>
        <w:t>购资金</w:t>
      </w:r>
      <w:r>
        <w:t>3.48亿元，同比增加0.14亿元，增长4.19%；平均价格24元</w:t>
      </w:r>
      <w:r>
        <w:rPr>
          <w:rFonts w:hint="eastAsia"/>
          <w:lang w:val="en-US" w:eastAsia="zh-CN"/>
        </w:rPr>
        <w:t>/</w:t>
      </w:r>
      <w:r>
        <w:t>公斤，同比增加2.66</w:t>
      </w:r>
      <w:r>
        <w:rPr>
          <w:rFonts w:hint="eastAsia"/>
          <w:lang w:val="en-US" w:eastAsia="zh-CN"/>
        </w:rPr>
        <w:t>万</w:t>
      </w:r>
      <w:r>
        <w:t>元</w:t>
      </w:r>
      <w:r>
        <w:rPr>
          <w:rFonts w:hint="eastAsia"/>
        </w:rPr>
        <w:t>公斤，增长</w:t>
      </w:r>
      <w:r>
        <w:t>12.46%。畜牧业稳定增长。2013年生</w:t>
      </w:r>
      <w:r>
        <w:rPr>
          <w:rFonts w:hint="eastAsia"/>
        </w:rPr>
        <w:t>猪饲养量</w:t>
      </w:r>
      <w:r>
        <w:t>98.3万头，同比增长5.6%，出栏65.5</w:t>
      </w:r>
      <w:r>
        <w:rPr>
          <w:rFonts w:hint="eastAsia"/>
        </w:rPr>
        <w:t>万头，同比增长</w:t>
      </w:r>
      <w:r>
        <w:t>7.6%；家禽饲养量677.9万羽，</w:t>
      </w:r>
      <w:r>
        <w:rPr>
          <w:rFonts w:hint="eastAsia"/>
        </w:rPr>
        <w:t>同比增长</w:t>
      </w:r>
      <w:r>
        <w:t>5%，其中五黑鸡饲养110.9万羽，出</w:t>
      </w:r>
      <w:r>
        <w:rPr>
          <w:rFonts w:hint="eastAsia"/>
          <w:lang w:val="en-US" w:eastAsia="zh-CN"/>
        </w:rPr>
        <w:t>栏</w:t>
      </w:r>
      <w:r>
        <w:t>80.4万羽；渔业总产15330吨，同比增长1.1%。</w:t>
      </w:r>
      <w:r>
        <w:rPr>
          <w:rFonts w:hint="eastAsia"/>
        </w:rPr>
        <w:t>中药材发展加快。罗汉果、金银花、土茯苓、石斛、田七、玉竹、射干、杜仲、桔梗、党参、厚朴、凉粉草等中药材，种植面积已达</w:t>
      </w:r>
      <w:r>
        <w:t>466.7公顷</w:t>
      </w:r>
      <w:r>
        <w:rPr>
          <w:rFonts w:hint="eastAsia"/>
          <w:lang w:eastAsia="zh-CN"/>
        </w:rPr>
        <w:t>，</w:t>
      </w:r>
      <w:r>
        <w:rPr>
          <w:rFonts w:hint="eastAsia"/>
        </w:rPr>
        <w:t>经济效益良好</w:t>
      </w:r>
      <w:r>
        <w:rPr>
          <w:rFonts w:hint="eastAsia"/>
          <w:lang w:eastAsia="zh-CN"/>
        </w:rPr>
        <w:t>。</w:t>
      </w:r>
    </w:p>
    <w:p w14:paraId="14B0B46E">
      <w:pPr>
        <w:pStyle w:val="4"/>
        <w:bidi w:val="0"/>
        <w:rPr>
          <w:rFonts w:hint="eastAsia"/>
        </w:rPr>
      </w:pPr>
      <w:r>
        <w:rPr>
          <w:rFonts w:hint="eastAsia"/>
        </w:rPr>
        <w:t>【农业基础设施】</w:t>
      </w:r>
    </w:p>
    <w:p w14:paraId="476E0BEE">
      <w:r>
        <w:t>2013年，湖口镇农业综合开发</w:t>
      </w:r>
      <w:r>
        <w:rPr>
          <w:rFonts w:hint="eastAsia"/>
        </w:rPr>
        <w:t>项目工程量已完工，完成投资</w:t>
      </w:r>
      <w:r>
        <w:t>1320万元；邓坊镇</w:t>
      </w:r>
      <w:r>
        <w:rPr>
          <w:rFonts w:hint="eastAsia"/>
        </w:rPr>
        <w:t>农业综合开发土地治理项目已全面完成项目建设，完成投资约</w:t>
      </w:r>
      <w:r>
        <w:t>1500万元；高标准基本农田建设项目</w:t>
      </w:r>
      <w:r>
        <w:rPr>
          <w:rFonts w:hint="eastAsia"/>
        </w:rPr>
        <w:t>完成了立项、规划设计、专家评审及工程招投标等前期准备工作；</w:t>
      </w:r>
      <w:r>
        <w:t>44个村级公益事业“一事一议”</w:t>
      </w:r>
      <w:r>
        <w:rPr>
          <w:rFonts w:hint="eastAsia"/>
        </w:rPr>
        <w:t>项目建设已完成总工程量的</w:t>
      </w:r>
      <w:r>
        <w:t>90%，完成投资约2700万元，其中40个项目点已全面完成工程建设；2个名村、5个示范村项目建设已全面完成。</w:t>
      </w:r>
    </w:p>
    <w:p w14:paraId="032D1AE5">
      <w:pPr>
        <w:pStyle w:val="4"/>
        <w:bidi w:val="0"/>
        <w:rPr>
          <w:rFonts w:hint="eastAsia"/>
        </w:rPr>
      </w:pPr>
      <w:r>
        <w:rPr>
          <w:rFonts w:hint="eastAsia"/>
          <w:lang w:eastAsia="zh-CN"/>
        </w:rPr>
        <w:t>【</w:t>
      </w:r>
      <w:r>
        <w:rPr>
          <w:rFonts w:hint="eastAsia"/>
        </w:rPr>
        <w:t>农业技术推广】</w:t>
      </w:r>
    </w:p>
    <w:p w14:paraId="6067E0E1">
      <w:r>
        <w:t>2013年，举办农技人员能力建</w:t>
      </w:r>
      <w:r>
        <w:rPr>
          <w:rFonts w:hint="eastAsia"/>
        </w:rPr>
        <w:t>设、农村劳动力转移“阳光工程”、花生地膜覆盖技术、黄烟地膜覆盖技术、果树栽培技术、水稻高产栽培技术、福寿螺药剂综合防治技术、腐秆剂使用技术、植物检疫等各类培训班</w:t>
      </w:r>
      <w:r>
        <w:t>27期，参训干部</w:t>
      </w:r>
      <w:r>
        <w:rPr>
          <w:rFonts w:hint="eastAsia"/>
        </w:rPr>
        <w:t>群众达</w:t>
      </w:r>
      <w:r>
        <w:t>3500人次，印发技术资料5000多份。</w:t>
      </w:r>
    </w:p>
    <w:p w14:paraId="0B61BDD6">
      <w:pPr>
        <w:pStyle w:val="4"/>
        <w:bidi w:val="0"/>
        <w:rPr>
          <w:rFonts w:hint="eastAsia"/>
        </w:rPr>
      </w:pPr>
      <w:r>
        <w:rPr>
          <w:rFonts w:hint="eastAsia"/>
        </w:rPr>
        <w:t>【农业科学研究所】</w:t>
      </w:r>
    </w:p>
    <w:p w14:paraId="4CB0543F">
      <w:pPr>
        <w:rPr>
          <w:rFonts w:hint="eastAsia"/>
        </w:rPr>
      </w:pPr>
      <w:r>
        <w:rPr>
          <w:rFonts w:hint="eastAsia"/>
        </w:rPr>
        <w:t>南雄市农科所完成国家、省</w:t>
      </w:r>
      <w:r>
        <w:rPr>
          <w:rFonts w:hint="eastAsia"/>
          <w:lang w:eastAsia="zh-CN"/>
        </w:rPr>
        <w:t>、</w:t>
      </w:r>
      <w:r>
        <w:rPr>
          <w:rFonts w:hint="eastAsia"/>
        </w:rPr>
        <w:t>市试验示范新品种</w:t>
      </w:r>
      <w:r>
        <w:t>168个，建设优质稻展示区、新</w:t>
      </w:r>
      <w:r>
        <w:rPr>
          <w:rFonts w:hint="eastAsia"/>
        </w:rPr>
        <w:t>优特蔬菜品种示范区、优质旱粮作物区、无病虫优质果树苗圃区、绿色长廊农业观赏区等示范区，取得较好效益；推广农作物病虫害综合防治技术和专业化统防统治工作，推广水稻病虫综合防治面积达</w:t>
      </w:r>
      <w:r>
        <w:t>2.67万公顷，农田鼠害综合防治面积达1.33万公</w:t>
      </w:r>
      <w:r>
        <w:rPr>
          <w:rFonts w:hint="eastAsia"/>
          <w:lang w:val="en-US" w:eastAsia="zh-CN"/>
        </w:rPr>
        <w:t>顷</w:t>
      </w:r>
      <w:r>
        <w:rPr>
          <w:rFonts w:hint="eastAsia"/>
        </w:rPr>
        <w:t>，化学除草面积</w:t>
      </w:r>
      <w:r>
        <w:t>6.67万公顷；投资120万元的</w:t>
      </w:r>
      <w:r>
        <w:rPr>
          <w:rFonts w:hint="eastAsia"/>
        </w:rPr>
        <w:t>基层农技推广体系改革与建设项目选派</w:t>
      </w:r>
      <w:r>
        <w:t>100名农技</w:t>
      </w:r>
      <w:r>
        <w:rPr>
          <w:rFonts w:hint="eastAsia"/>
        </w:rPr>
        <w:t>人员作为技术指导员，培育</w:t>
      </w:r>
      <w:r>
        <w:t>1000户科技示范户，</w:t>
      </w:r>
      <w:r>
        <w:rPr>
          <w:rFonts w:hint="eastAsia"/>
        </w:rPr>
        <w:t>确立</w:t>
      </w:r>
      <w:r>
        <w:t>4个示范基地，其中117人应用“农博士”</w:t>
      </w:r>
      <w:r>
        <w:rPr>
          <w:rFonts w:hint="eastAsia"/>
        </w:rPr>
        <w:t>软件，</w:t>
      </w:r>
      <w:r>
        <w:t>108人建立网络书屋；投资164万元的基层</w:t>
      </w:r>
      <w:r>
        <w:rPr>
          <w:rFonts w:hint="eastAsia"/>
        </w:rPr>
        <w:t>农技推广服务体系建设项目土建工程已完工，办公室配套设备已安装投入使用。</w:t>
      </w:r>
    </w:p>
    <w:p w14:paraId="39D94575">
      <w:pPr>
        <w:pStyle w:val="4"/>
        <w:bidi w:val="0"/>
        <w:rPr>
          <w:rFonts w:hint="eastAsia"/>
        </w:rPr>
      </w:pPr>
      <w:r>
        <w:rPr>
          <w:rFonts w:hint="eastAsia"/>
        </w:rPr>
        <w:t>【强农</w:t>
      </w:r>
      <w:r>
        <w:rPr>
          <w:rFonts w:hint="eastAsia"/>
          <w:lang w:val="en-US" w:eastAsia="zh-CN"/>
        </w:rPr>
        <w:t>惠</w:t>
      </w:r>
      <w:r>
        <w:rPr>
          <w:rFonts w:hint="eastAsia"/>
        </w:rPr>
        <w:t>农政策】</w:t>
      </w:r>
    </w:p>
    <w:p w14:paraId="25856300">
      <w:pPr>
        <w:rPr>
          <w:rFonts w:hint="eastAsia"/>
        </w:rPr>
      </w:pPr>
      <w:r>
        <w:rPr>
          <w:rFonts w:hint="eastAsia"/>
        </w:rPr>
        <w:t>南雄市</w:t>
      </w:r>
      <w:r>
        <w:t>59个重点帮扶村已全面对</w:t>
      </w:r>
      <w:r>
        <w:rPr>
          <w:rFonts w:hint="eastAsia"/>
        </w:rPr>
        <w:t>接，入户调</w:t>
      </w:r>
      <w:r>
        <w:rPr>
          <w:rFonts w:hint="eastAsia"/>
          <w:lang w:eastAsia="zh-CN"/>
        </w:rPr>
        <w:t>查</w:t>
      </w:r>
      <w:r>
        <w:rPr>
          <w:rFonts w:hint="eastAsia"/>
        </w:rPr>
        <w:t>、建档立卡、制订三年帮扶规划及年度规划、落实“一对一”帮扶责任人、上墙公示等阶段工作任务已完成。同时，抓好低收入住房困难户住房改造工作，</w:t>
      </w:r>
      <w:r>
        <w:t>250户改造任务已全面完工。在农业局挂</w:t>
      </w:r>
      <w:r>
        <w:rPr>
          <w:rFonts w:hint="eastAsia"/>
        </w:rPr>
        <w:t>点帮扶的黄坑镇上象村已投入扶贫资金约</w:t>
      </w:r>
      <w:r>
        <w:t>350万元，</w:t>
      </w:r>
      <w:r>
        <w:rPr>
          <w:rFonts w:hint="eastAsia"/>
        </w:rPr>
        <w:t>用于改善村委会办公条件、整治村庄环境卫生、入股浈江电业增加村集体收入、发放生产资料和慰问贫困户等项目，帮扶工作取得阶段性成效。</w:t>
      </w:r>
    </w:p>
    <w:p w14:paraId="272C80EC">
      <w:pPr>
        <w:pStyle w:val="4"/>
        <w:bidi w:val="0"/>
        <w:rPr>
          <w:rFonts w:hint="eastAsia"/>
        </w:rPr>
      </w:pPr>
      <w:r>
        <w:rPr>
          <w:rFonts w:hint="eastAsia"/>
        </w:rPr>
        <w:t>【农业产业化组织规模】</w:t>
      </w:r>
    </w:p>
    <w:p w14:paraId="38E21918">
      <w:pPr>
        <w:rPr>
          <w:rFonts w:hint="eastAsia"/>
        </w:rPr>
      </w:pPr>
      <w:r>
        <w:rPr>
          <w:rFonts w:hint="eastAsia"/>
        </w:rPr>
        <w:t>南雄市农业龙头企业建设不断发展。从“三品一标认证”、贷款贴息方面对基础好、潜力大、带动力强的龙头企业予以扶持，并协调信贷部门与企业开展合作。</w:t>
      </w:r>
      <w:r>
        <w:t>2家龙头企</w:t>
      </w:r>
      <w:r>
        <w:rPr>
          <w:rFonts w:hint="eastAsia"/>
        </w:rPr>
        <w:t>业已获得“三品一标”认证，</w:t>
      </w:r>
      <w:r>
        <w:t>1家已建有专门质检</w:t>
      </w:r>
      <w:r>
        <w:rPr>
          <w:rFonts w:hint="eastAsia"/>
        </w:rPr>
        <w:t>机构；广东金友集团有限公司获得省级贷款贴息专项资金</w:t>
      </w:r>
      <w:r>
        <w:t>78万元。2013年，农民专业合作社建设迅</w:t>
      </w:r>
      <w:r>
        <w:rPr>
          <w:rFonts w:hint="eastAsia"/>
        </w:rPr>
        <w:t>猛，农民专业合作社已发展到</w:t>
      </w:r>
      <w:r>
        <w:t>396家，其中省级农</w:t>
      </w:r>
      <w:r>
        <w:rPr>
          <w:rFonts w:hint="eastAsia"/>
        </w:rPr>
        <w:t>民专业合作社示范社</w:t>
      </w:r>
      <w:r>
        <w:t>2家，市级示范社5家和县级</w:t>
      </w:r>
      <w:r>
        <w:rPr>
          <w:rFonts w:hint="eastAsia"/>
        </w:rPr>
        <w:t>示范社</w:t>
      </w:r>
      <w:r>
        <w:t>9家；有14家申办注册商标，12家办理</w:t>
      </w:r>
      <w:r>
        <w:rPr>
          <w:rFonts w:hint="eastAsia"/>
          <w:lang w:eastAsia="zh-CN"/>
        </w:rPr>
        <w:t>“</w:t>
      </w:r>
      <w:r>
        <w:t>三品”认证，其中有机农产品9家、无公害农产</w:t>
      </w:r>
      <w:r>
        <w:rPr>
          <w:rFonts w:hint="eastAsia"/>
        </w:rPr>
        <w:t>品</w:t>
      </w:r>
      <w:r>
        <w:t>3家。同时，农业局鼓励引导合作社与农业龙头</w:t>
      </w:r>
      <w:r>
        <w:rPr>
          <w:rFonts w:hint="eastAsia"/>
        </w:rPr>
        <w:t>企业进行合作联动，实现规模效益双提升。</w:t>
      </w:r>
    </w:p>
    <w:p w14:paraId="677B546A">
      <w:pPr>
        <w:pStyle w:val="4"/>
        <w:bidi w:val="0"/>
        <w:rPr>
          <w:rFonts w:hint="eastAsia"/>
        </w:rPr>
      </w:pPr>
      <w:r>
        <w:rPr>
          <w:rFonts w:hint="eastAsia"/>
        </w:rPr>
        <w:t>【农业招商引资显成效】</w:t>
      </w:r>
    </w:p>
    <w:p w14:paraId="691BF52A">
      <w:r>
        <w:t>2013年，围绕万亩中药</w:t>
      </w:r>
      <w:r>
        <w:rPr>
          <w:rFonts w:hint="eastAsia"/>
        </w:rPr>
        <w:t>材基地建设，农业局引进计划投资</w:t>
      </w:r>
      <w:r>
        <w:t>2934万元的南</w:t>
      </w:r>
      <w:r>
        <w:rPr>
          <w:rFonts w:hint="eastAsia"/>
        </w:rPr>
        <w:t>雄市联生药业有限公司，公司计划种植云南红豆杉、铁皮石斛、杜仲、桔梗、厚朴、党参等中药材，已种植的石斛、桔梗、麦冬、杜仲等中药材折合面积</w:t>
      </w:r>
      <w:r>
        <w:t>20公顷，长势良好。引进的台资企业陆河</w:t>
      </w:r>
      <w:r>
        <w:rPr>
          <w:rFonts w:hint="eastAsia"/>
        </w:rPr>
        <w:t>元升农业科技有限公司计划采取林地承包及“公司</w:t>
      </w:r>
      <w:r>
        <w:t>+农户”合作经营获利分红形式在主田镇大坝村委</w:t>
      </w:r>
      <w:r>
        <w:rPr>
          <w:rFonts w:hint="eastAsia"/>
        </w:rPr>
        <w:t>会打造世界之最的樱花、茶花、牛樟树种植育苗园区，项目占地面积</w:t>
      </w:r>
      <w:r>
        <w:t>220公顷，计划投资人民币1.5</w:t>
      </w:r>
      <w:r>
        <w:rPr>
          <w:rFonts w:hint="eastAsia"/>
        </w:rPr>
        <w:t>亿元，已完成</w:t>
      </w:r>
      <w:r>
        <w:t>30公里观光道路开挖、铺设消防灌</w:t>
      </w:r>
      <w:r>
        <w:rPr>
          <w:rFonts w:hint="eastAsia"/>
        </w:rPr>
        <w:t>溉管道</w:t>
      </w:r>
      <w:r>
        <w:t>40万米，已投</w:t>
      </w:r>
      <w:r>
        <w:rPr>
          <w:rFonts w:hint="eastAsia"/>
          <w:lang w:val="en-US" w:eastAsia="zh-CN"/>
        </w:rPr>
        <w:t>入</w:t>
      </w:r>
      <w:r>
        <w:t>资金5000万元。同时，引</w:t>
      </w:r>
      <w:r>
        <w:rPr>
          <w:rFonts w:hint="eastAsia"/>
        </w:rPr>
        <w:t>进广弘药业集团在界址镇试种玉竹、射干中药材种植</w:t>
      </w:r>
      <w:r>
        <w:t>7公顷，经济效益和社会效益凸显。</w:t>
      </w:r>
    </w:p>
    <w:p w14:paraId="51763B34">
      <w:pPr>
        <w:pStyle w:val="4"/>
        <w:bidi w:val="0"/>
        <w:rPr>
          <w:rFonts w:hint="eastAsia"/>
        </w:rPr>
      </w:pPr>
      <w:r>
        <w:rPr>
          <w:rFonts w:hint="eastAsia"/>
        </w:rPr>
        <w:t>【农产品质量检</w:t>
      </w:r>
      <w:r>
        <w:rPr>
          <w:rFonts w:hint="eastAsia"/>
          <w:lang w:val="en-US" w:eastAsia="zh-CN"/>
        </w:rPr>
        <w:t>测</w:t>
      </w:r>
      <w:r>
        <w:rPr>
          <w:rFonts w:hint="eastAsia"/>
        </w:rPr>
        <w:t>】</w:t>
      </w:r>
    </w:p>
    <w:p w14:paraId="7C408000">
      <w:pPr>
        <w:rPr>
          <w:rFonts w:hint="eastAsia"/>
        </w:rPr>
      </w:pPr>
      <w:r>
        <w:t>2013年，南雄市农产品质量</w:t>
      </w:r>
      <w:r>
        <w:rPr>
          <w:rFonts w:hint="eastAsia"/>
        </w:rPr>
        <w:t>安全监督检测站机构考核及实验室资质认定均通过省级验收，是韶关市首家通过认定的县（市）级农检站。农检站全年开展农残例行检测，防止不合格农产品流入市场，保证群众“舌尖上的安全”。</w:t>
      </w:r>
      <w:r>
        <w:t>2013年抽检蔬菜样品2063个，合格2010个，合格</w:t>
      </w:r>
      <w:r>
        <w:rPr>
          <w:rFonts w:hint="eastAsia"/>
        </w:rPr>
        <w:t>率为</w:t>
      </w:r>
      <w:r>
        <w:t>97.43%；开展兽残速测共抽取尿样21个，没</w:t>
      </w:r>
      <w:r>
        <w:rPr>
          <w:rFonts w:hint="eastAsia"/>
        </w:rPr>
        <w:t>有检出瘦肉精。</w:t>
      </w:r>
    </w:p>
    <w:p w14:paraId="4C6FBE9F">
      <w:pPr>
        <w:pStyle w:val="4"/>
        <w:bidi w:val="0"/>
        <w:rPr>
          <w:rFonts w:hint="eastAsia"/>
        </w:rPr>
      </w:pPr>
      <w:r>
        <w:rPr>
          <w:rFonts w:hint="eastAsia"/>
        </w:rPr>
        <w:t>【农资打假】</w:t>
      </w:r>
    </w:p>
    <w:p w14:paraId="00ADA92E">
      <w:r>
        <w:rPr>
          <w:rFonts w:hint="eastAsia"/>
        </w:rPr>
        <w:t>南雄市农业局继续开展农业综合执法行动。</w:t>
      </w:r>
      <w:r>
        <w:t>2013年清</w:t>
      </w:r>
      <w:r>
        <w:rPr>
          <w:rFonts w:hint="eastAsia"/>
          <w:lang w:eastAsia="zh-CN"/>
        </w:rPr>
        <w:t>查</w:t>
      </w:r>
      <w:r>
        <w:t>整顿农资经营门店890家次</w:t>
      </w:r>
      <w:r>
        <w:rPr>
          <w:rFonts w:hint="eastAsia"/>
          <w:lang w:eastAsia="zh-CN"/>
        </w:rPr>
        <w:t>，</w:t>
      </w:r>
      <w:r>
        <w:rPr>
          <w:rFonts w:hint="eastAsia"/>
        </w:rPr>
        <w:t>立案</w:t>
      </w:r>
      <w:r>
        <w:rPr>
          <w:rFonts w:hint="eastAsia"/>
          <w:lang w:eastAsia="zh-CN"/>
        </w:rPr>
        <w:t>查</w:t>
      </w:r>
      <w:r>
        <w:rPr>
          <w:rFonts w:hint="eastAsia"/>
        </w:rPr>
        <w:t>处</w:t>
      </w:r>
      <w:r>
        <w:t>65宗，全部结案，其中种子案件5宗、</w:t>
      </w:r>
      <w:r>
        <w:rPr>
          <w:rFonts w:hint="eastAsia"/>
        </w:rPr>
        <w:t>农药案件</w:t>
      </w:r>
      <w:r>
        <w:t>53宗、肥料案件7宗，</w:t>
      </w:r>
      <w:r>
        <w:rPr>
          <w:rFonts w:hint="eastAsia"/>
          <w:lang w:eastAsia="zh-CN"/>
        </w:rPr>
        <w:t>查</w:t>
      </w:r>
      <w:r>
        <w:t>处货物1.2万公</w:t>
      </w:r>
      <w:r>
        <w:rPr>
          <w:rFonts w:hint="eastAsia"/>
        </w:rPr>
        <w:t>斤，涉案货值</w:t>
      </w:r>
      <w:r>
        <w:t>13.7万元，罚没款23万元。同时</w:t>
      </w:r>
      <w:r>
        <w:rPr>
          <w:rFonts w:hint="eastAsia"/>
          <w:lang w:eastAsia="zh-CN"/>
        </w:rPr>
        <w:t>，</w:t>
      </w:r>
      <w:r>
        <w:rPr>
          <w:rFonts w:hint="eastAsia"/>
        </w:rPr>
        <w:t>公开销毁硫磺熏蒸辣椒</w:t>
      </w:r>
      <w:r>
        <w:t>1000公斤，依法没收硫磺850公斤。</w:t>
      </w:r>
    </w:p>
    <w:p w14:paraId="189C1EF9">
      <w:pPr>
        <w:pStyle w:val="4"/>
        <w:bidi w:val="0"/>
        <w:rPr>
          <w:rFonts w:hint="eastAsia"/>
        </w:rPr>
      </w:pPr>
      <w:r>
        <w:rPr>
          <w:rFonts w:hint="eastAsia"/>
        </w:rPr>
        <w:t>【自身服务能力】</w:t>
      </w:r>
    </w:p>
    <w:p w14:paraId="4765AF70">
      <w:pPr>
        <w:rPr>
          <w:rFonts w:hint="eastAsia"/>
        </w:rPr>
      </w:pPr>
      <w:r>
        <w:t>2013年，南雄市农业局以贴近群</w:t>
      </w:r>
      <w:r>
        <w:rPr>
          <w:rFonts w:hint="eastAsia"/>
        </w:rPr>
        <w:t>众、改进作风为载体，全面开展“面向基层、整顿作风、服务群众”主题教育活动，将服务触角向田间地头延伸，向农民群众示范推广农业新技术、新成果</w:t>
      </w:r>
      <w:r>
        <w:rPr>
          <w:rFonts w:hint="eastAsia"/>
          <w:lang w:eastAsia="zh-CN"/>
        </w:rPr>
        <w:t>、</w:t>
      </w:r>
      <w:r>
        <w:rPr>
          <w:rFonts w:hint="eastAsia"/>
        </w:rPr>
        <w:t>新品种，帮助农民解决生产中的技术难题。开展水稻高产栽培技术农民现场会</w:t>
      </w:r>
      <w:r>
        <w:t>30场，现场指导农民1500</w:t>
      </w:r>
      <w:r>
        <w:rPr>
          <w:rFonts w:hint="eastAsia"/>
        </w:rPr>
        <w:t>多人次，发放各类技术资料</w:t>
      </w:r>
      <w:r>
        <w:t>2000余份，面对面解疑答</w:t>
      </w:r>
      <w:r>
        <w:rPr>
          <w:rFonts w:hint="eastAsia"/>
        </w:rPr>
        <w:t>惑</w:t>
      </w:r>
      <w:r>
        <w:t>80</w:t>
      </w:r>
      <w:r>
        <w:rPr>
          <w:rFonts w:hint="eastAsia"/>
          <w:lang w:val="en-US" w:eastAsia="zh-CN"/>
        </w:rPr>
        <w:t>0</w:t>
      </w:r>
      <w:r>
        <w:t>余人次。同时，落实中央八项规定和省委“六</w:t>
      </w:r>
      <w:r>
        <w:rPr>
          <w:rFonts w:hint="eastAsia"/>
        </w:rPr>
        <w:t>条禁令”要求，从工作作风、廉洁自律、服务群众等方面开展监督检</w:t>
      </w:r>
      <w:r>
        <w:rPr>
          <w:rFonts w:hint="eastAsia"/>
          <w:lang w:eastAsia="zh-CN"/>
        </w:rPr>
        <w:t>查</w:t>
      </w:r>
      <w:r>
        <w:rPr>
          <w:rFonts w:hint="eastAsia"/>
        </w:rPr>
        <w:t>，干部作风有转变，服务水平有提升，工作效能明显提高。</w:t>
      </w:r>
    </w:p>
    <w:p w14:paraId="48D31631">
      <w:pPr>
        <w:jc w:val="right"/>
        <w:rPr>
          <w:rFonts w:hint="eastAsia"/>
          <w:b/>
          <w:bCs/>
        </w:rPr>
      </w:pPr>
      <w:r>
        <w:rPr>
          <w:rFonts w:hint="eastAsia"/>
          <w:b/>
          <w:bCs/>
        </w:rPr>
        <w:t>（何</w:t>
      </w:r>
      <w:r>
        <w:rPr>
          <w:rFonts w:hint="eastAsia"/>
          <w:b/>
          <w:bCs/>
          <w:lang w:val="en-US" w:eastAsia="zh-CN"/>
        </w:rPr>
        <w:t xml:space="preserve">  </w:t>
      </w:r>
      <w:r>
        <w:rPr>
          <w:rFonts w:hint="eastAsia"/>
          <w:b/>
          <w:bCs/>
        </w:rPr>
        <w:t>聪）</w:t>
      </w:r>
    </w:p>
    <w:p w14:paraId="3CE2D95C">
      <w:pPr>
        <w:pStyle w:val="10"/>
        <w:bidi w:val="0"/>
        <w:rPr>
          <w:b/>
          <w:bCs/>
        </w:rPr>
      </w:pPr>
      <w:r>
        <w:rPr>
          <w:rFonts w:hint="eastAsia"/>
          <w:b/>
          <w:bCs/>
        </w:rPr>
        <w:t>附：</w:t>
      </w:r>
      <w:r>
        <w:rPr>
          <w:b/>
          <w:bCs/>
        </w:rPr>
        <w:t>2013年市农业局领导班子成员名单</w:t>
      </w:r>
    </w:p>
    <w:p w14:paraId="38402813">
      <w:pPr>
        <w:pStyle w:val="10"/>
        <w:bidi w:val="0"/>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陈仁麟</w:t>
      </w:r>
    </w:p>
    <w:p w14:paraId="3F967791">
      <w:pPr>
        <w:pStyle w:val="10"/>
        <w:bidi w:val="0"/>
        <w:rPr>
          <w:rFonts w:hint="eastAsia"/>
        </w:rPr>
      </w:pPr>
      <w:r>
        <w:rPr>
          <w:rFonts w:hint="eastAsia"/>
          <w:b/>
          <w:bCs/>
        </w:rPr>
        <w:t>党组书记：</w:t>
      </w:r>
      <w:r>
        <w:rPr>
          <w:rFonts w:hint="eastAsia"/>
        </w:rPr>
        <w:t>赖正雄</w:t>
      </w:r>
    </w:p>
    <w:p w14:paraId="6DC4333A">
      <w:pPr>
        <w:pStyle w:val="10"/>
        <w:bidi w:val="0"/>
        <w:rPr>
          <w:rFonts w:hint="eastAsia"/>
        </w:rPr>
      </w:pPr>
      <w:r>
        <w:rPr>
          <w:rFonts w:hint="eastAsia"/>
          <w:b/>
          <w:bCs/>
        </w:rPr>
        <w:t>农口中心纪检组长：</w:t>
      </w:r>
      <w:r>
        <w:rPr>
          <w:rFonts w:hint="eastAsia"/>
        </w:rPr>
        <w:t>江学文</w:t>
      </w:r>
    </w:p>
    <w:p w14:paraId="6CE1E8A9">
      <w:pPr>
        <w:pStyle w:val="10"/>
        <w:bidi w:val="0"/>
        <w:rPr>
          <w:rFonts w:hint="eastAsia"/>
        </w:rPr>
      </w:pPr>
      <w:r>
        <w:rPr>
          <w:rFonts w:hint="eastAsia"/>
          <w:b/>
          <w:bCs/>
        </w:rPr>
        <w:t>副</w:t>
      </w:r>
      <w:r>
        <w:rPr>
          <w:rFonts w:hint="eastAsia"/>
          <w:b/>
          <w:bCs/>
          <w:lang w:val="en-US" w:eastAsia="zh-CN"/>
        </w:rPr>
        <w:t xml:space="preserve"> </w:t>
      </w:r>
      <w:r>
        <w:rPr>
          <w:rFonts w:hint="eastAsia"/>
          <w:b/>
          <w:bCs/>
        </w:rPr>
        <w:t>局</w:t>
      </w:r>
      <w:r>
        <w:rPr>
          <w:rFonts w:hint="eastAsia"/>
          <w:b/>
          <w:bCs/>
          <w:lang w:val="en-US" w:eastAsia="zh-CN"/>
        </w:rPr>
        <w:t xml:space="preserve"> </w:t>
      </w:r>
      <w:r>
        <w:rPr>
          <w:rFonts w:hint="eastAsia"/>
          <w:b/>
          <w:bCs/>
        </w:rPr>
        <w:t>长：</w:t>
      </w:r>
      <w:r>
        <w:rPr>
          <w:rFonts w:hint="eastAsia"/>
        </w:rPr>
        <w:t>徐学腾</w:t>
      </w:r>
      <w:r>
        <w:rPr>
          <w:rFonts w:hint="eastAsia"/>
          <w:lang w:val="en-US" w:eastAsia="zh-CN"/>
        </w:rPr>
        <w:t xml:space="preserve">   </w:t>
      </w:r>
      <w:r>
        <w:rPr>
          <w:rFonts w:hint="eastAsia"/>
        </w:rPr>
        <w:t>吴英徳</w:t>
      </w:r>
      <w:r>
        <w:rPr>
          <w:rFonts w:hint="eastAsia"/>
          <w:lang w:val="en-US" w:eastAsia="zh-CN"/>
        </w:rPr>
        <w:t xml:space="preserve">   </w:t>
      </w:r>
      <w:r>
        <w:rPr>
          <w:rFonts w:hint="eastAsia"/>
        </w:rPr>
        <w:t>谢斌锋</w:t>
      </w:r>
      <w:r>
        <w:rPr>
          <w:rFonts w:hint="eastAsia"/>
          <w:lang w:val="en-US" w:eastAsia="zh-CN"/>
        </w:rPr>
        <w:t xml:space="preserve">   </w:t>
      </w:r>
      <w:r>
        <w:rPr>
          <w:rFonts w:hint="eastAsia"/>
        </w:rPr>
        <w:t>曾宪忠</w:t>
      </w:r>
      <w:r>
        <w:rPr>
          <w:rFonts w:hint="eastAsia"/>
          <w:lang w:val="en-US" w:eastAsia="zh-CN"/>
        </w:rPr>
        <w:t xml:space="preserve">   </w:t>
      </w:r>
      <w:r>
        <w:rPr>
          <w:rFonts w:hint="eastAsia"/>
        </w:rPr>
        <w:t>刘运仁</w:t>
      </w:r>
    </w:p>
    <w:p w14:paraId="1D50254E">
      <w:pPr>
        <w:pStyle w:val="10"/>
        <w:bidi w:val="0"/>
        <w:rPr>
          <w:rFonts w:hint="eastAsia"/>
        </w:rPr>
      </w:pPr>
      <w:r>
        <w:rPr>
          <w:rFonts w:hint="eastAsia"/>
          <w:b/>
          <w:bCs/>
        </w:rPr>
        <w:t>工会主席：</w:t>
      </w:r>
      <w:r>
        <w:rPr>
          <w:rFonts w:hint="eastAsia"/>
        </w:rPr>
        <w:t>朱天骥</w:t>
      </w:r>
    </w:p>
    <w:p w14:paraId="6BD2AD03">
      <w:pPr>
        <w:pStyle w:val="3"/>
        <w:bidi w:val="0"/>
        <w:rPr>
          <w:rFonts w:hint="default"/>
          <w:lang w:val="en-US" w:eastAsia="zh-CN"/>
        </w:rPr>
      </w:pPr>
      <w:r>
        <w:rPr>
          <w:rFonts w:hint="eastAsia"/>
          <w:lang w:val="en-US" w:eastAsia="zh-CN"/>
        </w:rPr>
        <w:t>农业机械</w:t>
      </w:r>
    </w:p>
    <w:p w14:paraId="3C23FD46">
      <w:pPr>
        <w:pStyle w:val="4"/>
        <w:bidi w:val="0"/>
        <w:rPr>
          <w:rFonts w:hint="eastAsia"/>
        </w:rPr>
      </w:pPr>
      <w:r>
        <w:rPr>
          <w:rFonts w:hint="eastAsia"/>
        </w:rPr>
        <w:t>【概况】</w:t>
      </w:r>
    </w:p>
    <w:p w14:paraId="74AFDCC4">
      <w:pPr>
        <w:rPr>
          <w:rFonts w:hint="eastAsia"/>
        </w:rPr>
      </w:pPr>
      <w:r>
        <w:rPr>
          <w:rFonts w:hint="eastAsia"/>
        </w:rPr>
        <w:t>南雄市农机管理总站前身为市农业机械局，正科级行政单位。</w:t>
      </w:r>
      <w:r>
        <w:t>1997年根据市机构编制委员</w:t>
      </w:r>
      <w:r>
        <w:rPr>
          <w:rFonts w:hint="eastAsia"/>
        </w:rPr>
        <w:t>会文件精神，改名为市农机集团总公司，工作任务不变、经费渠道不变。</w:t>
      </w:r>
      <w:r>
        <w:t>2004年为适应南雄市农业机</w:t>
      </w:r>
      <w:r>
        <w:rPr>
          <w:rFonts w:hint="eastAsia"/>
        </w:rPr>
        <w:t>械化的发展，市机构编制委员会颁发雄市机编</w:t>
      </w:r>
      <w:r>
        <w:t>[2004]01号文，同意将市农机集团总公司更名为</w:t>
      </w:r>
      <w:r>
        <w:rPr>
          <w:rFonts w:hint="eastAsia"/>
        </w:rPr>
        <w:t>“市农机管理总站”，副科级单位，隶属农业局，人员编制</w:t>
      </w:r>
      <w:r>
        <w:t>5人，经费按原渠道不变。2011年，市农机</w:t>
      </w:r>
      <w:r>
        <w:rPr>
          <w:rFonts w:hint="eastAsia"/>
        </w:rPr>
        <w:t>管理总站经省人力资源保障厅（粤人社函</w:t>
      </w:r>
      <w:r>
        <w:t>[201</w:t>
      </w:r>
      <w:r>
        <w:rPr>
          <w:rFonts w:hint="eastAsia"/>
          <w:lang w:val="en-US" w:eastAsia="zh-CN"/>
        </w:rPr>
        <w:t>1</w:t>
      </w:r>
      <w:r>
        <w:t>4189号）批复，定为参公单位，编制仍为5人。总</w:t>
      </w:r>
      <w:r>
        <w:rPr>
          <w:rFonts w:hint="eastAsia"/>
        </w:rPr>
        <w:t>站内设办公室、业务股。主要职能：贯彻执行国家和省、市农业机械化的法律法规和方针政策，参与制订全市农业机械化发展方向、中长期规划和技术推广计划；引进国内外先进适用农业机械，引导农业机械新产品的结构调整；组织农机化示范推广应用、人员培训，重点科研项目的论证、开发；拟订农机作业规范和技术标准；实施拖拉机、联合收割机、农用运输车等农业机械的安全标准和安全监理、产品质量检验、鉴定及论证管理；指导农业机械推广体系和服务体系建设；负责农机救灾物资的安排和农业机械化统计；管理市农机学校及各镇农机管理服务站；承办市人民政府和上级主管部门交办的其他事项。</w:t>
      </w:r>
    </w:p>
    <w:p w14:paraId="6A0ADB51">
      <w:pPr>
        <w:pStyle w:val="4"/>
        <w:bidi w:val="0"/>
        <w:rPr>
          <w:rFonts w:hint="eastAsia"/>
        </w:rPr>
      </w:pPr>
      <w:r>
        <w:rPr>
          <w:rFonts w:hint="eastAsia"/>
        </w:rPr>
        <w:t>【农机拥有量】</w:t>
      </w:r>
    </w:p>
    <w:p w14:paraId="4E16D621">
      <w:pPr>
        <w:rPr>
          <w:rFonts w:hint="eastAsia"/>
          <w:lang w:eastAsia="zh-CN"/>
        </w:rPr>
      </w:pPr>
      <w:r>
        <w:t>2013年拥有各类农业机械63580</w:t>
      </w:r>
      <w:r>
        <w:rPr>
          <w:rFonts w:hint="eastAsia"/>
        </w:rPr>
        <w:t>台（套），农机总动力达到</w:t>
      </w:r>
      <w:r>
        <w:t>28.94万千瓦，总动力</w:t>
      </w:r>
      <w:r>
        <w:rPr>
          <w:rFonts w:hint="eastAsia"/>
        </w:rPr>
        <w:t>比对上年增长</w:t>
      </w:r>
      <w:r>
        <w:t>1.43%。其中：拖拉机16385台，增</w:t>
      </w:r>
      <w:r>
        <w:rPr>
          <w:rFonts w:hint="eastAsia"/>
        </w:rPr>
        <w:t>长</w:t>
      </w:r>
      <w:r>
        <w:t>0.95%，配套农具29165部，增长1.89%，联合</w:t>
      </w:r>
      <w:r>
        <w:rPr>
          <w:rFonts w:hint="eastAsia"/>
        </w:rPr>
        <w:t>收割机</w:t>
      </w:r>
      <w:r>
        <w:t>721台，增长12.5%，育插秧机械、田间作</w:t>
      </w:r>
      <w:r>
        <w:rPr>
          <w:rFonts w:hint="eastAsia"/>
        </w:rPr>
        <w:t>业机</w:t>
      </w:r>
      <w:r>
        <w:rPr>
          <w:rFonts w:hint="eastAsia"/>
          <w:lang w:val="en-US" w:eastAsia="zh-CN"/>
        </w:rPr>
        <w:t>械</w:t>
      </w:r>
      <w:r>
        <w:rPr>
          <w:rFonts w:hint="eastAsia"/>
        </w:rPr>
        <w:t>和农业运输机械也有不同幅度的增长，尤其是直接为农业生产服务的高效率、高性能大中型农业机械增长迅猛，今年新增的联合收割机</w:t>
      </w:r>
      <w:r>
        <w:t>158台，</w:t>
      </w:r>
      <w:r>
        <w:rPr>
          <w:rFonts w:hint="eastAsia"/>
        </w:rPr>
        <w:t>半数以上都是</w:t>
      </w:r>
      <w:r>
        <w:t>28马力以上的半喂入收割机，主要</w:t>
      </w:r>
      <w:r>
        <w:rPr>
          <w:rFonts w:hint="eastAsia"/>
        </w:rPr>
        <w:t>为农业生产服务的大中型拖拉机，大中型起垄机械也有一定的突破，</w:t>
      </w:r>
      <w:r>
        <w:t>2012年成立的各类农业生产合作</w:t>
      </w:r>
      <w:r>
        <w:rPr>
          <w:rFonts w:hint="eastAsia"/>
        </w:rPr>
        <w:t>社，</w:t>
      </w:r>
      <w:r>
        <w:t>2013年招标采购就购</w:t>
      </w:r>
      <w:r>
        <w:rPr>
          <w:rFonts w:hint="eastAsia"/>
          <w:lang w:val="en-US" w:eastAsia="zh-CN"/>
        </w:rPr>
        <w:t>入</w:t>
      </w:r>
      <w:r>
        <w:t>36台大中型.拖拉机</w:t>
      </w:r>
      <w:r>
        <w:rPr>
          <w:rFonts w:hint="eastAsia"/>
        </w:rPr>
        <w:t>和一批大中型配套农具；水稻低温烘干机械也有突破，金友集团、珠玑洋湖农机大户分别购入的大型粮食低温烘干机械和种子烘干机对我市农产品加工实现高效率、高品质具有重要的示范作用</w:t>
      </w:r>
      <w:r>
        <w:rPr>
          <w:rFonts w:hint="eastAsia"/>
          <w:lang w:eastAsia="zh-CN"/>
        </w:rPr>
        <w:t>。</w:t>
      </w:r>
    </w:p>
    <w:p w14:paraId="1D96E481">
      <w:pPr>
        <w:pStyle w:val="4"/>
        <w:bidi w:val="0"/>
        <w:rPr>
          <w:rFonts w:hint="eastAsia"/>
        </w:rPr>
      </w:pPr>
      <w:r>
        <w:rPr>
          <w:rFonts w:hint="eastAsia"/>
        </w:rPr>
        <w:t>【农机作业】</w:t>
      </w:r>
    </w:p>
    <w:p w14:paraId="73029EB1">
      <w:pPr>
        <w:rPr>
          <w:rFonts w:hint="eastAsia"/>
          <w:lang w:eastAsia="zh-CN"/>
        </w:rPr>
      </w:pPr>
      <w:r>
        <w:t>2013年，农机作业水平明显提高，</w:t>
      </w:r>
      <w:r>
        <w:rPr>
          <w:rFonts w:hint="eastAsia"/>
        </w:rPr>
        <w:t>其中机耕完成</w:t>
      </w:r>
      <w:r>
        <w:t>92.37万亩，占农作物种植面积的97.47%，机播（机插秧）1.44万亩，占农作物种</w:t>
      </w:r>
      <w:r>
        <w:rPr>
          <w:rFonts w:hint="eastAsia"/>
        </w:rPr>
        <w:t>植面积的</w:t>
      </w:r>
      <w:r>
        <w:t>1.56%，机收32.31万亩，占农作物种植</w:t>
      </w:r>
      <w:r>
        <w:rPr>
          <w:rFonts w:hint="eastAsia"/>
        </w:rPr>
        <w:t>面积的</w:t>
      </w:r>
      <w:r>
        <w:t>34.98%，2013年全市耕、种、收综合机械</w:t>
      </w:r>
      <w:r>
        <w:rPr>
          <w:rFonts w:hint="eastAsia"/>
        </w:rPr>
        <w:t>化水平为</w:t>
      </w:r>
      <w:r>
        <w:t>49.95%，对比2012年提高6.02个百分</w:t>
      </w:r>
      <w:r>
        <w:rPr>
          <w:rFonts w:hint="eastAsia"/>
        </w:rPr>
        <w:t>点，其中水稻机械化综合水平为</w:t>
      </w:r>
      <w:r>
        <w:t>62.07%，对比2012年提高6.39个百分点</w:t>
      </w:r>
      <w:r>
        <w:rPr>
          <w:rFonts w:hint="eastAsia"/>
          <w:lang w:eastAsia="zh-CN"/>
        </w:rPr>
        <w:t>。</w:t>
      </w:r>
    </w:p>
    <w:p w14:paraId="14594997">
      <w:pPr>
        <w:pStyle w:val="4"/>
        <w:bidi w:val="0"/>
        <w:rPr>
          <w:rFonts w:hint="eastAsia"/>
        </w:rPr>
      </w:pPr>
      <w:r>
        <w:rPr>
          <w:rFonts w:hint="eastAsia"/>
        </w:rPr>
        <w:t>【农机购置补贴】</w:t>
      </w:r>
    </w:p>
    <w:p w14:paraId="2D6D0CAD">
      <w:r>
        <w:t>2013年，争取中央财政农机购</w:t>
      </w:r>
      <w:r>
        <w:rPr>
          <w:rFonts w:hint="eastAsia"/>
        </w:rPr>
        <w:t>置补贴资金</w:t>
      </w:r>
      <w:r>
        <w:t>652万元，比对上年增加</w:t>
      </w:r>
      <w:r>
        <w:rPr>
          <w:rFonts w:hint="eastAsia"/>
          <w:lang w:val="en-US" w:eastAsia="zh-CN"/>
        </w:rPr>
        <w:t>7</w:t>
      </w:r>
      <w:r>
        <w:t>1万元，由</w:t>
      </w:r>
      <w:r>
        <w:rPr>
          <w:rFonts w:hint="eastAsia"/>
        </w:rPr>
        <w:t>于宣传工作及时跟进，实施方案落实到位，按时完成</w:t>
      </w:r>
      <w:r>
        <w:t>2013年农机补贴实施工作，新增各类农业机械2665台（套），其中收割机132台、中拖49台、手</w:t>
      </w:r>
      <w:r>
        <w:rPr>
          <w:rFonts w:hint="eastAsia"/>
        </w:rPr>
        <w:t>拖</w:t>
      </w:r>
      <w:r>
        <w:t>1022台、耕整机178台、微耕机381台、烟草起</w:t>
      </w:r>
      <w:r>
        <w:rPr>
          <w:rFonts w:hint="eastAsia"/>
        </w:rPr>
        <w:t>垄机</w:t>
      </w:r>
      <w:r>
        <w:t>360台，插秧机8台、其它机械535台，受益</w:t>
      </w:r>
      <w:r>
        <w:rPr>
          <w:rFonts w:hint="eastAsia"/>
        </w:rPr>
        <w:t>农户</w:t>
      </w:r>
      <w:r>
        <w:t>2045户。</w:t>
      </w:r>
    </w:p>
    <w:p w14:paraId="4DC3F58C">
      <w:pPr>
        <w:pStyle w:val="4"/>
        <w:bidi w:val="0"/>
        <w:rPr>
          <w:rFonts w:hint="eastAsia"/>
        </w:rPr>
      </w:pPr>
      <w:r>
        <w:rPr>
          <w:rFonts w:hint="eastAsia"/>
        </w:rPr>
        <w:t>【农机技术推广】</w:t>
      </w:r>
    </w:p>
    <w:p w14:paraId="16BA2AD2">
      <w:pPr>
        <w:rPr>
          <w:rFonts w:hint="eastAsia"/>
          <w:lang w:eastAsia="zh-CN"/>
        </w:rPr>
      </w:pPr>
      <w:r>
        <w:t>2013年组织农机经销商.生产</w:t>
      </w:r>
      <w:r>
        <w:rPr>
          <w:rFonts w:hint="eastAsia"/>
        </w:rPr>
        <w:t>厂家深入到各镇进行农机产品展示和演示，宣传适应性强、经济性能好、作业效率高的新型农机具，取得良好的效果。</w:t>
      </w:r>
      <w:r>
        <w:t>2013年推广新型农业机械658台</w:t>
      </w:r>
      <w:r>
        <w:rPr>
          <w:rFonts w:hint="eastAsia"/>
        </w:rPr>
        <w:t>（套），参看展示或演示的群众达</w:t>
      </w:r>
      <w:r>
        <w:t>6500多人次，发</w:t>
      </w:r>
      <w:r>
        <w:rPr>
          <w:rFonts w:hint="eastAsia"/>
        </w:rPr>
        <w:t>放宣传资料</w:t>
      </w:r>
      <w:r>
        <w:t>5600多份</w:t>
      </w:r>
      <w:r>
        <w:rPr>
          <w:rFonts w:hint="eastAsia"/>
          <w:lang w:eastAsia="zh-CN"/>
        </w:rPr>
        <w:t>。</w:t>
      </w:r>
    </w:p>
    <w:p w14:paraId="04AAA84B">
      <w:r>
        <w:t>2013年购入享受农机补贴的农业机械138台</w:t>
      </w:r>
      <w:r>
        <w:rPr>
          <w:rFonts w:hint="eastAsia"/>
        </w:rPr>
        <w:t>（套），使用补贴资金</w:t>
      </w:r>
      <w:r>
        <w:t>76.5万元；扶持珠玑镇洋湖</w:t>
      </w:r>
      <w:r>
        <w:rPr>
          <w:rFonts w:hint="eastAsia"/>
        </w:rPr>
        <w:t>村农机大户刘运辉购买锋陵牌大马力半喂入收割机</w:t>
      </w:r>
      <w:r>
        <w:t>1台，常发牌插秧机3台，NEWDR</w:t>
      </w:r>
      <w:r>
        <w:rPr>
          <w:rFonts w:hint="eastAsia"/>
          <w:lang w:val="en-US" w:eastAsia="zh-CN"/>
        </w:rPr>
        <w:t>0</w:t>
      </w:r>
      <w:r>
        <w:t>60-85H烘干</w:t>
      </w:r>
      <w:r>
        <w:rPr>
          <w:rFonts w:hint="eastAsia"/>
        </w:rPr>
        <w:t>机</w:t>
      </w:r>
      <w:r>
        <w:t>1台，享受农机补贴10.79万元，同时积极支持</w:t>
      </w:r>
      <w:r>
        <w:rPr>
          <w:rFonts w:hint="eastAsia"/>
        </w:rPr>
        <w:t>农业龙头企业”广东金友集团有限公司”引进高性能、高效率的粮食烘干机</w:t>
      </w:r>
      <w:r>
        <w:t>3台、链板式翻堆机1</w:t>
      </w:r>
      <w:r>
        <w:rPr>
          <w:rFonts w:hint="eastAsia"/>
        </w:rPr>
        <w:t>台，使用农机补贴</w:t>
      </w:r>
      <w:r>
        <w:t>30万元。</w:t>
      </w:r>
    </w:p>
    <w:p w14:paraId="33914DE5">
      <w:pPr>
        <w:pStyle w:val="4"/>
        <w:bidi w:val="0"/>
        <w:rPr>
          <w:rFonts w:hint="eastAsia"/>
        </w:rPr>
      </w:pPr>
      <w:r>
        <w:rPr>
          <w:rFonts w:hint="eastAsia"/>
        </w:rPr>
        <w:t>【农机安全监理】</w:t>
      </w:r>
    </w:p>
    <w:p w14:paraId="3A1D7ABE">
      <w:r>
        <w:t>2013年成立农机安全生产领导</w:t>
      </w:r>
      <w:r>
        <w:rPr>
          <w:rFonts w:hint="eastAsia"/>
        </w:rPr>
        <w:t>小组，制定并下发农机安全生产隐患排</w:t>
      </w:r>
      <w:r>
        <w:rPr>
          <w:rFonts w:hint="eastAsia"/>
          <w:lang w:eastAsia="zh-CN"/>
        </w:rPr>
        <w:t>查</w:t>
      </w:r>
      <w:r>
        <w:rPr>
          <w:rFonts w:hint="eastAsia"/>
        </w:rPr>
        <w:t>方案，与各镇农机站签订农机安全生产责任书，还利用贴标语、拉横幅、印发宣传资料等方式，向广大机手</w:t>
      </w:r>
      <w:r>
        <w:rPr>
          <w:rFonts w:hint="eastAsia"/>
          <w:lang w:eastAsia="zh-CN"/>
        </w:rPr>
        <w:t>、</w:t>
      </w:r>
      <w:r>
        <w:rPr>
          <w:rFonts w:hint="eastAsia"/>
        </w:rPr>
        <w:t>农民积极宣传农机安全生产知识和《农业机械安全监督管理条例》以及农机安全生产其它法律、法规，组织农机监理人员深入到乡村道路、田间地头进行安全检</w:t>
      </w:r>
      <w:r>
        <w:rPr>
          <w:rFonts w:hint="eastAsia"/>
          <w:lang w:eastAsia="zh-CN"/>
        </w:rPr>
        <w:t>查</w:t>
      </w:r>
      <w:r>
        <w:rPr>
          <w:rFonts w:hint="eastAsia"/>
        </w:rPr>
        <w:t>，从源头上抓好农机安全生产。在抓安全生产、强化安全意识的同时，还在办理两证</w:t>
      </w:r>
      <w:r>
        <w:rPr>
          <w:rFonts w:hint="eastAsia"/>
          <w:lang w:val="en-US" w:eastAsia="zh-CN"/>
        </w:rPr>
        <w:t>一</w:t>
      </w:r>
      <w:r>
        <w:rPr>
          <w:rFonts w:hint="eastAsia"/>
        </w:rPr>
        <w:t>牌的程序上严格把关，杜绝不合格农机入户，保证</w:t>
      </w:r>
      <w:r>
        <w:t>2013年全市没有任何农机安全事故发生。</w:t>
      </w:r>
    </w:p>
    <w:p w14:paraId="56F961A3">
      <w:r>
        <w:t>2013年新入户各类拖拉机189台，新办各类拖</w:t>
      </w:r>
      <w:r>
        <w:rPr>
          <w:rFonts w:hint="eastAsia"/>
        </w:rPr>
        <w:t>拉机驾驶证</w:t>
      </w:r>
      <w:r>
        <w:t>258个，新入户联合收割机85台，新</w:t>
      </w:r>
      <w:r>
        <w:rPr>
          <w:rFonts w:hint="eastAsia"/>
        </w:rPr>
        <w:t>办收割机驾驶证</w:t>
      </w:r>
      <w:r>
        <w:t>85个，拖拉机年审386台，收割</w:t>
      </w:r>
      <w:r>
        <w:rPr>
          <w:rFonts w:hint="eastAsia"/>
        </w:rPr>
        <w:t>机年审</w:t>
      </w:r>
      <w:r>
        <w:t>66台。</w:t>
      </w:r>
    </w:p>
    <w:p w14:paraId="11D3987D">
      <w:pPr>
        <w:pStyle w:val="4"/>
        <w:bidi w:val="0"/>
        <w:rPr>
          <w:rFonts w:hint="eastAsia"/>
        </w:rPr>
      </w:pPr>
      <w:r>
        <w:rPr>
          <w:rFonts w:hint="eastAsia"/>
        </w:rPr>
        <w:t>【农机培训】</w:t>
      </w:r>
    </w:p>
    <w:p w14:paraId="6331149B">
      <w:r>
        <w:rPr>
          <w:rFonts w:hint="eastAsia"/>
        </w:rPr>
        <w:t>开展农业机械教育培训工作，提升农机管理人员和农机操作人员的业务素质和技术水平。</w:t>
      </w:r>
      <w:r>
        <w:t>2013年以市农机学校为依托，按照复训与新</w:t>
      </w:r>
      <w:r>
        <w:rPr>
          <w:rFonts w:hint="eastAsia"/>
        </w:rPr>
        <w:t>训、理论和与实践、集中与分散相结合的方式进行农机培训。</w:t>
      </w:r>
      <w:r>
        <w:t>2013年12月底，培训农机管理人员32</w:t>
      </w:r>
      <w:r>
        <w:rPr>
          <w:rFonts w:hint="eastAsia"/>
        </w:rPr>
        <w:t>人，培训农机维修、插秧机操作手</w:t>
      </w:r>
      <w:r>
        <w:t>118人，培训拖</w:t>
      </w:r>
      <w:r>
        <w:rPr>
          <w:rFonts w:hint="eastAsia"/>
        </w:rPr>
        <w:t>拉机驾驶员</w:t>
      </w:r>
      <w:r>
        <w:t>185人，培训收割机驾驶员47人，下</w:t>
      </w:r>
      <w:r>
        <w:rPr>
          <w:rFonts w:hint="eastAsia"/>
        </w:rPr>
        <w:t>乡宣教</w:t>
      </w:r>
      <w:r>
        <w:t>10次，散发农机科技宣传、新型机具资料7500多份。</w:t>
      </w:r>
    </w:p>
    <w:p w14:paraId="330AE148">
      <w:pPr>
        <w:jc w:val="right"/>
        <w:rPr>
          <w:rFonts w:hint="eastAsia"/>
          <w:b/>
          <w:bCs/>
        </w:rPr>
      </w:pPr>
      <w:r>
        <w:rPr>
          <w:rFonts w:hint="eastAsia"/>
          <w:b/>
          <w:bCs/>
        </w:rPr>
        <w:t>（梁健灵）</w:t>
      </w:r>
    </w:p>
    <w:p w14:paraId="05E74E17">
      <w:pPr>
        <w:pStyle w:val="10"/>
        <w:bidi w:val="0"/>
        <w:rPr>
          <w:b/>
          <w:bCs/>
        </w:rPr>
      </w:pPr>
      <w:r>
        <w:rPr>
          <w:rFonts w:hint="eastAsia"/>
          <w:b/>
          <w:bCs/>
        </w:rPr>
        <w:t>附：</w:t>
      </w:r>
      <w:r>
        <w:rPr>
          <w:b/>
          <w:bCs/>
        </w:rPr>
        <w:t>2013年市农机总站领导班子成员名单</w:t>
      </w:r>
    </w:p>
    <w:p w14:paraId="0FB0ABFE">
      <w:pPr>
        <w:pStyle w:val="10"/>
        <w:bidi w:val="0"/>
        <w:rPr>
          <w:rFonts w:hint="eastAsia"/>
        </w:rPr>
      </w:pPr>
      <w:r>
        <w:rPr>
          <w:rFonts w:hint="eastAsia"/>
          <w:b/>
          <w:bCs/>
        </w:rPr>
        <w:t>站</w:t>
      </w:r>
      <w:r>
        <w:rPr>
          <w:rFonts w:hint="eastAsia"/>
          <w:b/>
          <w:bCs/>
          <w:lang w:val="en-US" w:eastAsia="zh-CN"/>
        </w:rPr>
        <w:t xml:space="preserve">  </w:t>
      </w:r>
      <w:r>
        <w:rPr>
          <w:rFonts w:hint="eastAsia"/>
          <w:b/>
          <w:bCs/>
        </w:rPr>
        <w:t>长：</w:t>
      </w:r>
      <w:r>
        <w:rPr>
          <w:rFonts w:hint="eastAsia"/>
        </w:rPr>
        <w:t>叶东霞</w:t>
      </w:r>
    </w:p>
    <w:p w14:paraId="501D7487">
      <w:pPr>
        <w:pStyle w:val="3"/>
        <w:bidi w:val="0"/>
        <w:rPr>
          <w:rFonts w:hint="eastAsia"/>
          <w:lang w:eastAsia="zh-CN"/>
        </w:rPr>
      </w:pPr>
      <w:r>
        <w:rPr>
          <w:rFonts w:hint="eastAsia"/>
        </w:rPr>
        <w:t>畜牧兽医水产</w:t>
      </w:r>
    </w:p>
    <w:p w14:paraId="5C0B19D3">
      <w:pPr>
        <w:pStyle w:val="4"/>
        <w:bidi w:val="0"/>
        <w:rPr>
          <w:rFonts w:hint="eastAsia"/>
        </w:rPr>
      </w:pPr>
      <w:r>
        <w:rPr>
          <w:rFonts w:hint="eastAsia"/>
          <w:lang w:eastAsia="zh-CN"/>
        </w:rPr>
        <w:t>【</w:t>
      </w:r>
      <w:r>
        <w:rPr>
          <w:rFonts w:hint="eastAsia"/>
        </w:rPr>
        <w:t>概况】</w:t>
      </w:r>
    </w:p>
    <w:p w14:paraId="528BA706">
      <w:r>
        <w:rPr>
          <w:rFonts w:hint="eastAsia"/>
        </w:rPr>
        <w:t>南雄市畜牧兽医水产局沿革：</w:t>
      </w:r>
      <w:r>
        <w:t>1958年10</w:t>
      </w:r>
      <w:r>
        <w:rPr>
          <w:rFonts w:hint="eastAsia"/>
        </w:rPr>
        <w:t>月成立水产畜牧局。</w:t>
      </w:r>
      <w:r>
        <w:t>1961年6月将水产畜牧局改称</w:t>
      </w:r>
      <w:r>
        <w:rPr>
          <w:rFonts w:hint="eastAsia"/>
        </w:rPr>
        <w:t>为畜牧水产管理总站。</w:t>
      </w:r>
      <w:r>
        <w:t>1985年1月畜牧水产管理总</w:t>
      </w:r>
      <w:r>
        <w:rPr>
          <w:rFonts w:hint="eastAsia"/>
        </w:rPr>
        <w:t>站划分为畜牧兽医管理总站、水产管理总站，同年</w:t>
      </w:r>
      <w:r>
        <w:t>3月19日改为畜牧局、水产局。1997年3月划分为</w:t>
      </w:r>
      <w:r>
        <w:rPr>
          <w:rFonts w:hint="eastAsia"/>
        </w:rPr>
        <w:t>畜牧管理总站，水产管理总站。</w:t>
      </w:r>
      <w:r>
        <w:t>2001年12月畜牧</w:t>
      </w:r>
      <w:r>
        <w:rPr>
          <w:rFonts w:hint="eastAsia"/>
        </w:rPr>
        <w:t>水产合并为畜牧水产技术推广中心。</w:t>
      </w:r>
      <w:r>
        <w:t>2008年12月23日改为“南雄市畜牧兽医水产局”。主要职能</w:t>
      </w:r>
      <w:r>
        <w:rPr>
          <w:rFonts w:hint="eastAsia"/>
          <w:lang w:eastAsia="zh-CN"/>
        </w:rPr>
        <w:t>：</w:t>
      </w:r>
      <w:r>
        <w:rPr>
          <w:rFonts w:hint="eastAsia"/>
        </w:rPr>
        <w:t>贯彻执行国家和省有关畜牧兽医水产管理的法律</w:t>
      </w:r>
      <w:r>
        <w:rPr>
          <w:rFonts w:hint="eastAsia"/>
          <w:lang w:eastAsia="zh-CN"/>
        </w:rPr>
        <w:t>、</w:t>
      </w:r>
      <w:r>
        <w:rPr>
          <w:rFonts w:hint="eastAsia"/>
        </w:rPr>
        <w:t>法规和方针、政策，研究拟订地方畜牧业、渔业的管理有关规定，依法实施畜牧业、渔业行业监督管理；拟订全市畜牧兽医行业、渔业发展战略、中长期发展规划并组织实施；拟订全市动物疫病防治规划，组织动物疫病监测、控制和扑杀；负责动物防疫、防疫监督、动物及动物产品检疫、兽药残留监督、饲料质量安全监督的管理工作；负责兽医医政、兽药药政工作；负责国家、行业、地方相关标准的监督实施；指导畜禽养殖、水生野生动物的开发利用；指导和推进畜牧业产业结构调整；负责畜牧养殖业、渔业环境监测管理工作；负责种畜禽</w:t>
      </w:r>
      <w:r>
        <w:rPr>
          <w:rFonts w:hint="eastAsia"/>
          <w:lang w:eastAsia="zh-CN"/>
        </w:rPr>
        <w:t>、</w:t>
      </w:r>
      <w:r>
        <w:rPr>
          <w:rFonts w:hint="eastAsia"/>
        </w:rPr>
        <w:t>牧草、饲料、饲料添加剂管理工作；负责全市畜禽及其产品和水产品质量安全管理和监控工作；组织实施畜产资源和牧草地资源保护工作；负责水生动物防疫检疫管理工作，负责组织实施水生动物的疫病控制和扑灭，负责水产养殖病害防治工作；承办市人民政府和上级主管部门交办的其他事项。机构编制：为副科级事业单位，隶属于市农业局，赋于行政管理职能。核定编制</w:t>
      </w:r>
      <w:r>
        <w:t>19名，其中干部17名、</w:t>
      </w:r>
      <w:r>
        <w:rPr>
          <w:rFonts w:hint="eastAsia"/>
        </w:rPr>
        <w:t>后勤编制</w:t>
      </w:r>
      <w:r>
        <w:t>2名，配局长1名，副局长2名，设立总</w:t>
      </w:r>
      <w:r>
        <w:rPr>
          <w:rFonts w:hint="eastAsia"/>
        </w:rPr>
        <w:t>畜牧兽医师</w:t>
      </w:r>
      <w:r>
        <w:t>1名。内设人秘股、财会股、畜牧股、</w:t>
      </w:r>
      <w:r>
        <w:rPr>
          <w:rFonts w:hint="eastAsia"/>
        </w:rPr>
        <w:t>兽医股、水产股，股长职数</w:t>
      </w:r>
      <w:r>
        <w:t>5名。人员参照公务员</w:t>
      </w:r>
      <w:r>
        <w:rPr>
          <w:rFonts w:hint="eastAsia"/>
        </w:rPr>
        <w:t>管理，经费全额纳</w:t>
      </w:r>
      <w:r>
        <w:rPr>
          <w:rFonts w:hint="eastAsia"/>
          <w:lang w:val="en-US" w:eastAsia="zh-CN"/>
        </w:rPr>
        <w:t>入</w:t>
      </w:r>
      <w:r>
        <w:rPr>
          <w:rFonts w:hint="eastAsia"/>
        </w:rPr>
        <w:t>市级财政预算。</w:t>
      </w:r>
      <w:r>
        <w:t>2013年生猪饲</w:t>
      </w:r>
      <w:r>
        <w:rPr>
          <w:rFonts w:hint="eastAsia"/>
        </w:rPr>
        <w:t>养量</w:t>
      </w:r>
      <w:r>
        <w:t>98.3万头，比上年增长5.6%；出栏生猪65.5</w:t>
      </w:r>
      <w:r>
        <w:rPr>
          <w:rFonts w:hint="eastAsia"/>
        </w:rPr>
        <w:t>万头，比上年增长</w:t>
      </w:r>
      <w:r>
        <w:t>7.6%；家禽饲养量677.9万羽，</w:t>
      </w:r>
      <w:r>
        <w:rPr>
          <w:rFonts w:hint="eastAsia"/>
        </w:rPr>
        <w:t>比上年增长</w:t>
      </w:r>
      <w:r>
        <w:t>5%，其中五黑鸡饲养110.9万羽，出</w:t>
      </w:r>
      <w:r>
        <w:rPr>
          <w:rFonts w:hint="eastAsia"/>
        </w:rPr>
        <w:t>栏</w:t>
      </w:r>
      <w:r>
        <w:t>80.4万羽；畜牧业总产值9.8亿元，占农业总</w:t>
      </w:r>
      <w:r>
        <w:rPr>
          <w:rFonts w:hint="eastAsia"/>
        </w:rPr>
        <w:t>产值的</w:t>
      </w:r>
      <w:r>
        <w:t>32%；渔业总产15330吨，比上年增长1.1%，渔业总产值15582万元，比上年增长25%。</w:t>
      </w:r>
    </w:p>
    <w:p w14:paraId="10932203">
      <w:pPr>
        <w:pStyle w:val="4"/>
        <w:bidi w:val="0"/>
        <w:rPr>
          <w:rFonts w:hint="eastAsia"/>
        </w:rPr>
      </w:pPr>
      <w:r>
        <w:rPr>
          <w:rFonts w:hint="eastAsia"/>
        </w:rPr>
        <w:t>【动物防疫】</w:t>
      </w:r>
    </w:p>
    <w:p w14:paraId="225C1F63">
      <w:pPr>
        <w:rPr>
          <w:rFonts w:hint="eastAsia"/>
        </w:rPr>
      </w:pPr>
      <w:r>
        <w:rPr>
          <w:rFonts w:hint="eastAsia"/>
        </w:rPr>
        <w:t>对照《韶关市防控重大动物疫病工作量化考核标准》，抓好强制免疫的宣传、指导和免疫示范点建设，在春、秋两防期间，加强动物防疫工作的巡</w:t>
      </w:r>
      <w:r>
        <w:rPr>
          <w:rFonts w:hint="eastAsia"/>
          <w:lang w:eastAsia="zh-CN"/>
        </w:rPr>
        <w:t>查</w:t>
      </w:r>
      <w:r>
        <w:rPr>
          <w:rFonts w:hint="eastAsia"/>
        </w:rPr>
        <w:t>和补免工作，确保免疫密度和免疫质量，督促各基层站规范填写免疫卡、免疫档案。将干部职工分成</w:t>
      </w:r>
      <w:r>
        <w:t>4个组，由班子成员每人带1个组，</w:t>
      </w:r>
      <w:r>
        <w:rPr>
          <w:rFonts w:hint="eastAsia"/>
        </w:rPr>
        <w:t>每个组负责</w:t>
      </w:r>
      <w:r>
        <w:t>4-5个镇动物防疫和动物食品安全等</w:t>
      </w:r>
      <w:r>
        <w:rPr>
          <w:rFonts w:hint="eastAsia"/>
        </w:rPr>
        <w:t>工作，每月最少</w:t>
      </w:r>
      <w:r>
        <w:t>1次到规模养殖场进行防疫治病、</w:t>
      </w:r>
      <w:r>
        <w:rPr>
          <w:rFonts w:hint="eastAsia"/>
        </w:rPr>
        <w:t>免疫、饲养技术指导，帮助养殖户解决技术问题，并对疫病进行跟踪，为养殖户无偿提供技术帮助。</w:t>
      </w:r>
      <w:r>
        <w:t>2013年，没有发生重大动物疫病、疫情，确保畜牧</w:t>
      </w:r>
      <w:r>
        <w:rPr>
          <w:rFonts w:hint="eastAsia"/>
        </w:rPr>
        <w:t>业健康可持续发展。动物防疫五大强制免疫抗体合格率和综合考核成绩均名列韶关市前列。</w:t>
      </w:r>
    </w:p>
    <w:p w14:paraId="10F3B53A">
      <w:pPr>
        <w:pStyle w:val="4"/>
        <w:bidi w:val="0"/>
        <w:rPr>
          <w:rFonts w:hint="eastAsia"/>
        </w:rPr>
      </w:pPr>
      <w:r>
        <w:rPr>
          <w:rFonts w:hint="eastAsia"/>
          <w:lang w:eastAsia="zh-CN"/>
        </w:rPr>
        <w:t>【</w:t>
      </w:r>
      <w:r>
        <w:rPr>
          <w:rFonts w:hint="eastAsia"/>
        </w:rPr>
        <w:t>动物食品安全监管】</w:t>
      </w:r>
    </w:p>
    <w:p w14:paraId="6714D563">
      <w:pPr>
        <w:rPr>
          <w:rFonts w:hint="eastAsia"/>
          <w:lang w:eastAsia="zh-CN"/>
        </w:rPr>
      </w:pPr>
      <w:r>
        <w:rPr>
          <w:rFonts w:hint="eastAsia"/>
        </w:rPr>
        <w:t>加强对养殖环节“瘦肉精”等违禁药物的监控，打击非法添加“瘦肉精</w:t>
      </w:r>
      <w:r>
        <w:rPr>
          <w:rFonts w:hint="eastAsia"/>
          <w:lang w:eastAsia="zh-CN"/>
        </w:rPr>
        <w:t>”</w:t>
      </w:r>
      <w:r>
        <w:rPr>
          <w:rFonts w:hint="eastAsia"/>
        </w:rPr>
        <w:t>等违</w:t>
      </w:r>
      <w:r>
        <w:rPr>
          <w:rFonts w:hint="eastAsia"/>
          <w:lang w:val="en-US" w:eastAsia="zh-CN"/>
        </w:rPr>
        <w:t>禁</w:t>
      </w:r>
      <w:r>
        <w:rPr>
          <w:rFonts w:hint="eastAsia"/>
        </w:rPr>
        <w:t>药物的行为，</w:t>
      </w:r>
      <w:r>
        <w:rPr>
          <w:rFonts w:hint="eastAsia"/>
          <w:lang w:eastAsia="zh-CN"/>
        </w:rPr>
        <w:t>查</w:t>
      </w:r>
      <w:r>
        <w:rPr>
          <w:rFonts w:hint="eastAsia"/>
        </w:rPr>
        <w:t>处销售假劣兽药、饲料及饲料添加剂行为。</w:t>
      </w:r>
      <w:r>
        <w:t>2013年，开展8次兽药打假专项行</w:t>
      </w:r>
      <w:r>
        <w:rPr>
          <w:rFonts w:hint="eastAsia"/>
        </w:rPr>
        <w:t>动，</w:t>
      </w:r>
      <w:r>
        <w:rPr>
          <w:rFonts w:hint="eastAsia"/>
          <w:lang w:eastAsia="zh-CN"/>
        </w:rPr>
        <w:t>查</w:t>
      </w:r>
      <w:r>
        <w:rPr>
          <w:rFonts w:hint="eastAsia"/>
        </w:rPr>
        <w:t>处</w:t>
      </w:r>
      <w:r>
        <w:t>9家涉嫌经营假劣兽药企业，缴获过期劣</w:t>
      </w:r>
      <w:r>
        <w:rPr>
          <w:rFonts w:hint="eastAsia"/>
        </w:rPr>
        <w:t>质兽药</w:t>
      </w:r>
      <w:r>
        <w:t>17.63公斤。切实加强产地检疫和屠宰检疫</w:t>
      </w:r>
      <w:r>
        <w:rPr>
          <w:rFonts w:hint="eastAsia"/>
        </w:rPr>
        <w:t>监管，加大生猪宰前、宰中、宰后检验检疫关。</w:t>
      </w:r>
      <w:r>
        <w:t>11</w:t>
      </w:r>
      <w:r>
        <w:rPr>
          <w:rFonts w:hint="eastAsia"/>
        </w:rPr>
        <w:t>月</w:t>
      </w:r>
      <w:r>
        <w:t>22日，会同市公安局、市检察院、市经信局和</w:t>
      </w:r>
      <w:r>
        <w:rPr>
          <w:rFonts w:hint="eastAsia"/>
        </w:rPr>
        <w:t>水口镇政府依法</w:t>
      </w:r>
      <w:r>
        <w:rPr>
          <w:rFonts w:hint="eastAsia"/>
          <w:lang w:eastAsia="zh-CN"/>
        </w:rPr>
        <w:t>查</w:t>
      </w:r>
      <w:r>
        <w:rPr>
          <w:rFonts w:hint="eastAsia"/>
        </w:rPr>
        <w:t>处一宗非法加工私藏来源不明猪产品黑窝点，</w:t>
      </w:r>
      <w:r>
        <w:t>2013年没有发生重大动物食品安全事</w:t>
      </w:r>
      <w:r>
        <w:rPr>
          <w:rFonts w:hint="eastAsia"/>
        </w:rPr>
        <w:t>故，确保动物食品安全</w:t>
      </w:r>
      <w:r>
        <w:rPr>
          <w:rFonts w:hint="eastAsia"/>
          <w:lang w:eastAsia="zh-CN"/>
        </w:rPr>
        <w:t>。</w:t>
      </w:r>
    </w:p>
    <w:p w14:paraId="51B80688">
      <w:pPr>
        <w:pStyle w:val="4"/>
        <w:bidi w:val="0"/>
        <w:rPr>
          <w:rFonts w:hint="eastAsia"/>
        </w:rPr>
      </w:pPr>
      <w:r>
        <w:rPr>
          <w:rFonts w:hint="eastAsia"/>
        </w:rPr>
        <w:t>【特色养殖】</w:t>
      </w:r>
    </w:p>
    <w:p w14:paraId="0DF0C628">
      <w:pPr>
        <w:rPr>
          <w:rFonts w:hint="eastAsia"/>
        </w:rPr>
      </w:pPr>
      <w:r>
        <w:rPr>
          <w:rFonts w:hint="eastAsia"/>
        </w:rPr>
        <w:t>把特色养殖作为亮点工作来抓，突出</w:t>
      </w:r>
      <w:r>
        <w:rPr>
          <w:rFonts w:hint="eastAsia"/>
          <w:lang w:val="en-US" w:eastAsia="zh-CN"/>
        </w:rPr>
        <w:t>一个</w:t>
      </w:r>
      <w:r>
        <w:rPr>
          <w:rFonts w:hint="eastAsia"/>
        </w:rPr>
        <w:t>“特”字，大力打造特色品牌。一是进一步完善建设“凌江特有鱼类国家级水产种质资源保护区”的规划建设。通过一年的努力，保护区基础建设已初具雏形，完成界桩、界碑、警示牌建设，保护区的</w:t>
      </w:r>
      <w:r>
        <w:rPr>
          <w:rFonts w:hint="eastAsia"/>
          <w:lang w:val="en-US" w:eastAsia="zh-CN"/>
        </w:rPr>
        <w:t>宣</w:t>
      </w:r>
      <w:r>
        <w:rPr>
          <w:rFonts w:hint="eastAsia"/>
        </w:rPr>
        <w:t>传教育和保护区建设的总体规划工作进</w:t>
      </w:r>
      <w:r>
        <w:rPr>
          <w:rFonts w:hint="eastAsia"/>
          <w:lang w:val="en-US" w:eastAsia="zh-CN"/>
        </w:rPr>
        <w:t>一</w:t>
      </w:r>
      <w:r>
        <w:rPr>
          <w:rFonts w:hint="eastAsia"/>
        </w:rPr>
        <w:t>步落实。二是不断推进黑颈乌龟养殖，成立黑颈乌龟专业合作社，黑颈乌龟种场基地建设正在紧锣密鼓进行，基础设施建设已基本完成，预计</w:t>
      </w:r>
      <w:r>
        <w:t>2014年</w:t>
      </w:r>
      <w:r>
        <w:rPr>
          <w:rFonts w:hint="eastAsia"/>
        </w:rPr>
        <w:t>可建成投产。三是乌迳猪繁种保育工作稳步推进，目前已拥有种猪群</w:t>
      </w:r>
      <w:r>
        <w:t>10头。四是大力抓好五黑鸡养</w:t>
      </w:r>
      <w:r>
        <w:rPr>
          <w:rFonts w:hint="eastAsia"/>
        </w:rPr>
        <w:t>殖。全市有五黑鸡规模场</w:t>
      </w:r>
      <w:r>
        <w:t>33个，出栏量达到80.4</w:t>
      </w:r>
      <w:r>
        <w:rPr>
          <w:rFonts w:hint="eastAsia"/>
        </w:rPr>
        <w:t>万羽。</w:t>
      </w:r>
    </w:p>
    <w:p w14:paraId="1EB15F15">
      <w:pPr>
        <w:pStyle w:val="4"/>
        <w:bidi w:val="0"/>
        <w:rPr>
          <w:rFonts w:hint="eastAsia"/>
        </w:rPr>
      </w:pPr>
      <w:r>
        <w:rPr>
          <w:rFonts w:hint="eastAsia"/>
          <w:lang w:eastAsia="zh-CN"/>
        </w:rPr>
        <w:t>【</w:t>
      </w:r>
      <w:r>
        <w:rPr>
          <w:rFonts w:hint="eastAsia"/>
        </w:rPr>
        <w:t>渔政管理】</w:t>
      </w:r>
    </w:p>
    <w:p w14:paraId="43F6355B">
      <w:pPr>
        <w:rPr>
          <w:rFonts w:hint="eastAsia"/>
        </w:rPr>
      </w:pPr>
      <w:r>
        <w:rPr>
          <w:rFonts w:hint="eastAsia"/>
        </w:rPr>
        <w:t>一是开展珠江流域休渔期禁止捕鱼工作，渔政大队充分利用电视、报刊、印发宣传资料、标语等形式，在重要河段、种质资源保护区开展宣传活动，教育广大市民在休渔期期间禁止捕鱼活动，有效地保护南雄市的渔业资源。二是依法加强水产品质量监管工作，对渔药、渔饲料门店进行排</w:t>
      </w:r>
      <w:r>
        <w:rPr>
          <w:rFonts w:hint="eastAsia"/>
          <w:lang w:eastAsia="zh-CN"/>
        </w:rPr>
        <w:t>查</w:t>
      </w:r>
      <w:r>
        <w:rPr>
          <w:rFonts w:hint="eastAsia"/>
        </w:rPr>
        <w:t>，组织开展</w:t>
      </w:r>
      <w:r>
        <w:t>5次渔药打假行动，</w:t>
      </w:r>
      <w:r>
        <w:rPr>
          <w:rFonts w:hint="eastAsia"/>
          <w:lang w:eastAsia="zh-CN"/>
        </w:rPr>
        <w:t>查</w:t>
      </w:r>
      <w:r>
        <w:t>出过期、失</w:t>
      </w:r>
      <w:r>
        <w:rPr>
          <w:rFonts w:hint="eastAsia"/>
        </w:rPr>
        <w:t>效渔药</w:t>
      </w:r>
      <w:r>
        <w:t>8包，渔饲料12包，并对当事人依法进行</w:t>
      </w:r>
      <w:r>
        <w:rPr>
          <w:rFonts w:hint="eastAsia"/>
        </w:rPr>
        <w:t>处理。三是开展“</w:t>
      </w:r>
      <w:r>
        <w:t>2013—雷霆”专项执法行动，加</w:t>
      </w:r>
      <w:r>
        <w:rPr>
          <w:rFonts w:hint="eastAsia"/>
        </w:rPr>
        <w:t>强对重点河段的执法检</w:t>
      </w:r>
      <w:r>
        <w:rPr>
          <w:rFonts w:hint="eastAsia"/>
          <w:lang w:eastAsia="zh-CN"/>
        </w:rPr>
        <w:t>查</w:t>
      </w:r>
      <w:r>
        <w:rPr>
          <w:rFonts w:hint="eastAsia"/>
        </w:rPr>
        <w:t>。</w:t>
      </w:r>
    </w:p>
    <w:p w14:paraId="39CF1F2E">
      <w:pPr>
        <w:pStyle w:val="4"/>
        <w:bidi w:val="0"/>
        <w:rPr>
          <w:rFonts w:hint="eastAsia"/>
        </w:rPr>
      </w:pPr>
      <w:r>
        <w:rPr>
          <w:rFonts w:hint="eastAsia"/>
        </w:rPr>
        <w:t>【信访维稳和计划生育】</w:t>
      </w:r>
    </w:p>
    <w:p w14:paraId="738D23B1">
      <w:r>
        <w:t>2013年没有出现集体上</w:t>
      </w:r>
      <w:r>
        <w:rPr>
          <w:rFonts w:hint="eastAsia"/>
        </w:rPr>
        <w:t>访、越级上访事件，维护社会的稳定。做好计划生育工作，摸清底子，完善制度，落实责任，</w:t>
      </w:r>
      <w:r>
        <w:rPr>
          <w:rFonts w:hint="eastAsia"/>
          <w:lang w:eastAsia="zh-CN"/>
        </w:rPr>
        <w:t>查</w:t>
      </w:r>
      <w:r>
        <w:rPr>
          <w:rFonts w:hint="eastAsia"/>
        </w:rPr>
        <w:t>漏补缺，采取切实有效措施，狠抓计划生育工作不放松，双</w:t>
      </w:r>
      <w:r>
        <w:rPr>
          <w:rFonts w:hint="eastAsia"/>
          <w:lang w:eastAsia="zh-CN"/>
        </w:rPr>
        <w:t>查</w:t>
      </w:r>
      <w:r>
        <w:rPr>
          <w:rFonts w:hint="eastAsia"/>
        </w:rPr>
        <w:t>率达到</w:t>
      </w:r>
      <w:r>
        <w:t>95%以上。</w:t>
      </w:r>
    </w:p>
    <w:p w14:paraId="133BE473">
      <w:pPr>
        <w:pStyle w:val="4"/>
        <w:bidi w:val="0"/>
        <w:rPr>
          <w:rFonts w:hint="eastAsia"/>
        </w:rPr>
      </w:pPr>
      <w:r>
        <w:rPr>
          <w:rFonts w:hint="eastAsia"/>
        </w:rPr>
        <w:t>【扶贫双到】</w:t>
      </w:r>
    </w:p>
    <w:p w14:paraId="30F70BC1">
      <w:pPr>
        <w:rPr>
          <w:rFonts w:hint="eastAsia"/>
        </w:rPr>
      </w:pPr>
      <w:r>
        <w:rPr>
          <w:rFonts w:hint="eastAsia"/>
          <w:lang w:val="en-US" w:eastAsia="zh-CN"/>
        </w:rPr>
        <w:t>一</w:t>
      </w:r>
      <w:r>
        <w:rPr>
          <w:rFonts w:hint="eastAsia"/>
        </w:rPr>
        <w:t>是贫困户参加新农合、新农保。上象村有贫困户</w:t>
      </w:r>
      <w:r>
        <w:t>25户89人，其中有劳动力户23户82人，无劳动能力户2户7人，60周岁以上老人19人。贫困户60周岁以上老人19人社会养老保险</w:t>
      </w:r>
      <w:r>
        <w:rPr>
          <w:rFonts w:hint="eastAsia"/>
        </w:rPr>
        <w:t>参保率达到</w:t>
      </w:r>
      <w:r>
        <w:t>100%；贫困人口89人医疗保险全部参</w:t>
      </w:r>
      <w:r>
        <w:rPr>
          <w:rFonts w:hint="eastAsia"/>
        </w:rPr>
        <w:t>保，参保率达到</w:t>
      </w:r>
      <w:r>
        <w:t>100%；二是通过入股浈江电业公</w:t>
      </w:r>
      <w:r>
        <w:rPr>
          <w:rFonts w:hint="eastAsia"/>
        </w:rPr>
        <w:t>司</w:t>
      </w:r>
      <w:r>
        <w:t>10万元、</w:t>
      </w:r>
      <w:r>
        <w:rPr>
          <w:rFonts w:hint="eastAsia"/>
          <w:lang w:val="en-US" w:eastAsia="zh-CN"/>
        </w:rPr>
        <w:t>入</w:t>
      </w:r>
      <w:r>
        <w:t>股30万元参与许村养牛项目、申报</w:t>
      </w:r>
      <w:r>
        <w:rPr>
          <w:rFonts w:hint="eastAsia"/>
        </w:rPr>
        <w:t>筹建</w:t>
      </w:r>
      <w:r>
        <w:t>20间烤烟房项目等来壮大集体经济实力；</w:t>
      </w:r>
      <w:r>
        <w:rPr>
          <w:rFonts w:hint="eastAsia"/>
          <w:lang w:val="en-US" w:eastAsia="zh-CN"/>
        </w:rPr>
        <w:t>三</w:t>
      </w:r>
      <w:r>
        <w:rPr>
          <w:rFonts w:hint="eastAsia"/>
        </w:rPr>
        <w:t>是</w:t>
      </w:r>
      <w:r>
        <w:t>2013年8月2日针对25个贫困户基本情况及发</w:t>
      </w:r>
      <w:r>
        <w:rPr>
          <w:rFonts w:hint="eastAsia"/>
        </w:rPr>
        <w:t>展经济目标，为每户提供帮扶现金</w:t>
      </w:r>
      <w:r>
        <w:t>200元，农用化</w:t>
      </w:r>
      <w:r>
        <w:rPr>
          <w:rFonts w:hint="eastAsia"/>
        </w:rPr>
        <w:t>肥</w:t>
      </w:r>
      <w:r>
        <w:t>2包，总价值700元的帮扶资金支持种植业的发</w:t>
      </w:r>
      <w:r>
        <w:rPr>
          <w:rFonts w:hint="eastAsia"/>
        </w:rPr>
        <w:t>展；四是改善村委会办公条件。原村委会建筑陈旧、简陋，筹资</w:t>
      </w:r>
      <w:r>
        <w:t>6万多元，对村委办公楼进行全面</w:t>
      </w:r>
      <w:r>
        <w:rPr>
          <w:rFonts w:hint="eastAsia"/>
        </w:rPr>
        <w:t>修缮，改善村委会的办公条件；五是根据村集体意愿，申报行业扶贫项目和一事一议项目。上象</w:t>
      </w:r>
      <w:r>
        <w:t>300</w:t>
      </w:r>
      <w:r>
        <w:rPr>
          <w:rFonts w:hint="eastAsia"/>
        </w:rPr>
        <w:t>人以上自然村</w:t>
      </w:r>
      <w:r>
        <w:t>2个都通了水泥硬化道路，大窝村小</w:t>
      </w:r>
      <w:r>
        <w:rPr>
          <w:rFonts w:hint="eastAsia"/>
        </w:rPr>
        <w:t>组计划铺设长</w:t>
      </w:r>
      <w:r>
        <w:t>1.4公里的水泥道路硬化已立项审批</w:t>
      </w:r>
      <w:r>
        <w:rPr>
          <w:rFonts w:hint="eastAsia"/>
        </w:rPr>
        <w:t>完，即将动工；六是通过努力，在资金困难的情况下，采取农民义务投工投劳及各方筹资一点的方式，现已投资</w:t>
      </w:r>
      <w:r>
        <w:t>30万元完成村文化广场建设，配备</w:t>
      </w:r>
      <w:r>
        <w:rPr>
          <w:rFonts w:hint="eastAsia"/>
        </w:rPr>
        <w:t>篮球场、羽毛球场、农民书屋等，丰富贫困村的文化生活。</w:t>
      </w:r>
    </w:p>
    <w:p w14:paraId="536B769F">
      <w:pPr>
        <w:pStyle w:val="4"/>
        <w:bidi w:val="0"/>
        <w:rPr>
          <w:rFonts w:hint="eastAsia"/>
        </w:rPr>
      </w:pPr>
      <w:r>
        <w:rPr>
          <w:rFonts w:hint="eastAsia"/>
        </w:rPr>
        <w:t>【党务、政务公开和党风</w:t>
      </w:r>
      <w:r>
        <w:rPr>
          <w:rFonts w:hint="eastAsia"/>
          <w:lang w:val="en-US" w:eastAsia="zh-CN"/>
        </w:rPr>
        <w:t>廉</w:t>
      </w:r>
      <w:r>
        <w:rPr>
          <w:rFonts w:hint="eastAsia"/>
        </w:rPr>
        <w:t>政建设】</w:t>
      </w:r>
    </w:p>
    <w:p w14:paraId="1D907A60">
      <w:pPr>
        <w:rPr>
          <w:rFonts w:hint="eastAsia"/>
        </w:rPr>
      </w:pPr>
      <w:r>
        <w:rPr>
          <w:rFonts w:hint="eastAsia"/>
        </w:rPr>
        <w:t>一是在党员干部中广泛开展“面向基层，整顿作风，服务群众”为主题的实践教育活动和纪律教育学习月活动，严格按规定要求做好每一阶段工作。二是按要求切实做好党务、政务公开工作，准确、及时公布相关内容。三是狠抓了</w:t>
      </w:r>
      <w:r>
        <w:rPr>
          <w:rFonts w:hint="eastAsia"/>
          <w:lang w:val="en-US" w:eastAsia="zh-CN"/>
        </w:rPr>
        <w:t>中央</w:t>
      </w:r>
      <w:r>
        <w:rPr>
          <w:rFonts w:hint="eastAsia"/>
        </w:rPr>
        <w:t>八项规定、“六条禁令”的学习贯彻，严格执行</w:t>
      </w:r>
      <w:r>
        <w:rPr>
          <w:rFonts w:hint="eastAsia"/>
          <w:lang w:val="en-US" w:eastAsia="zh-CN"/>
        </w:rPr>
        <w:t>中央</w:t>
      </w:r>
      <w:r>
        <w:rPr>
          <w:rFonts w:hint="eastAsia"/>
        </w:rPr>
        <w:t>八项规定和廉洁自律的相关规定，切实抓好党员干部党风廉政建设，完善各项管理制度，党风廉政建设不断加强。</w:t>
      </w:r>
    </w:p>
    <w:p w14:paraId="1E9A0DAE">
      <w:pPr>
        <w:jc w:val="right"/>
        <w:rPr>
          <w:rFonts w:hint="eastAsia"/>
          <w:b/>
          <w:bCs/>
        </w:rPr>
      </w:pPr>
      <w:r>
        <w:rPr>
          <w:rFonts w:hint="eastAsia"/>
          <w:b/>
          <w:bCs/>
        </w:rPr>
        <w:t>（李芳红）</w:t>
      </w:r>
    </w:p>
    <w:p w14:paraId="44A67C22">
      <w:pPr>
        <w:pStyle w:val="10"/>
        <w:bidi w:val="0"/>
        <w:rPr>
          <w:b/>
          <w:bCs/>
        </w:rPr>
      </w:pPr>
      <w:r>
        <w:rPr>
          <w:rFonts w:hint="eastAsia"/>
          <w:b/>
          <w:bCs/>
        </w:rPr>
        <w:t>附：</w:t>
      </w:r>
      <w:r>
        <w:rPr>
          <w:b/>
          <w:bCs/>
        </w:rPr>
        <w:t>2013年市畜牧水产局领导班子成员名单</w:t>
      </w:r>
    </w:p>
    <w:p w14:paraId="4A570CEC">
      <w:pPr>
        <w:pStyle w:val="10"/>
        <w:bidi w:val="0"/>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曾宪忠（兼）</w:t>
      </w:r>
    </w:p>
    <w:p w14:paraId="69C70D70">
      <w:pPr>
        <w:pStyle w:val="10"/>
        <w:bidi w:val="0"/>
        <w:rPr>
          <w:rFonts w:hint="eastAsia"/>
        </w:rPr>
      </w:pPr>
      <w:r>
        <w:rPr>
          <w:rFonts w:hint="eastAsia"/>
          <w:b/>
          <w:bCs/>
        </w:rPr>
        <w:t>副</w:t>
      </w:r>
      <w:r>
        <w:rPr>
          <w:rFonts w:hint="eastAsia"/>
          <w:b/>
          <w:bCs/>
          <w:lang w:val="en-US" w:eastAsia="zh-CN"/>
        </w:rPr>
        <w:t xml:space="preserve"> </w:t>
      </w:r>
      <w:r>
        <w:rPr>
          <w:rFonts w:hint="eastAsia"/>
          <w:b/>
          <w:bCs/>
        </w:rPr>
        <w:t>局</w:t>
      </w:r>
      <w:r>
        <w:rPr>
          <w:rFonts w:hint="eastAsia"/>
          <w:b/>
          <w:bCs/>
          <w:lang w:val="en-US" w:eastAsia="zh-CN"/>
        </w:rPr>
        <w:t xml:space="preserve"> </w:t>
      </w:r>
      <w:r>
        <w:rPr>
          <w:rFonts w:hint="eastAsia"/>
          <w:b/>
          <w:bCs/>
        </w:rPr>
        <w:t>长：</w:t>
      </w:r>
      <w:r>
        <w:rPr>
          <w:rFonts w:hint="eastAsia"/>
        </w:rPr>
        <w:t>张帮生</w:t>
      </w:r>
      <w:r>
        <w:rPr>
          <w:rFonts w:hint="eastAsia"/>
          <w:lang w:val="en-US" w:eastAsia="zh-CN"/>
        </w:rPr>
        <w:t xml:space="preserve">   </w:t>
      </w:r>
      <w:r>
        <w:rPr>
          <w:rFonts w:hint="eastAsia"/>
        </w:rPr>
        <w:t>张燕宏</w:t>
      </w:r>
    </w:p>
    <w:p w14:paraId="49550449">
      <w:pPr>
        <w:pStyle w:val="10"/>
        <w:bidi w:val="0"/>
        <w:rPr>
          <w:rFonts w:hint="eastAsia"/>
        </w:rPr>
      </w:pPr>
      <w:r>
        <w:rPr>
          <w:rFonts w:hint="eastAsia"/>
          <w:b/>
          <w:bCs/>
        </w:rPr>
        <w:t>工会主席：</w:t>
      </w:r>
      <w:r>
        <w:rPr>
          <w:rFonts w:hint="eastAsia"/>
        </w:rPr>
        <w:t>龚金凤</w:t>
      </w:r>
    </w:p>
    <w:p w14:paraId="5A9F3E25">
      <w:pPr>
        <w:pStyle w:val="10"/>
        <w:bidi w:val="0"/>
        <w:rPr>
          <w:rFonts w:hint="eastAsia"/>
        </w:rPr>
      </w:pPr>
      <w:r>
        <w:rPr>
          <w:rFonts w:hint="eastAsia"/>
          <w:b/>
          <w:bCs/>
        </w:rPr>
        <w:t>总畜牧兽医师：</w:t>
      </w:r>
      <w:r>
        <w:rPr>
          <w:rFonts w:hint="eastAsia"/>
        </w:rPr>
        <w:t>谢俊兰</w:t>
      </w:r>
    </w:p>
    <w:p w14:paraId="7E02CA8D">
      <w:pPr>
        <w:pStyle w:val="3"/>
        <w:bidi w:val="0"/>
        <w:rPr>
          <w:rFonts w:hint="eastAsia"/>
          <w:lang w:val="en-US" w:eastAsia="zh-CN"/>
        </w:rPr>
      </w:pPr>
      <w:r>
        <w:rPr>
          <w:rFonts w:hint="eastAsia"/>
          <w:lang w:val="en-US" w:eastAsia="zh-CN"/>
        </w:rPr>
        <w:t>林业</w:t>
      </w:r>
    </w:p>
    <w:p w14:paraId="37DDAAD7">
      <w:pPr>
        <w:pStyle w:val="4"/>
        <w:bidi w:val="0"/>
        <w:rPr>
          <w:rFonts w:hint="eastAsia"/>
        </w:rPr>
      </w:pPr>
      <w:r>
        <w:rPr>
          <w:rFonts w:hint="eastAsia"/>
        </w:rPr>
        <w:t>【概况】</w:t>
      </w:r>
    </w:p>
    <w:p w14:paraId="02F69F86">
      <w:r>
        <w:t>2013年南雄市有林业用地面积239.33万</w:t>
      </w:r>
      <w:r>
        <w:rPr>
          <w:rFonts w:hint="eastAsia"/>
        </w:rPr>
        <w:t>亩，占总面积的</w:t>
      </w:r>
      <w:r>
        <w:t>66.8%，有有林地面积215.69万</w:t>
      </w:r>
      <w:r>
        <w:rPr>
          <w:rFonts w:hint="eastAsia"/>
        </w:rPr>
        <w:t>亩，森林覆盖率</w:t>
      </w:r>
      <w:r>
        <w:t>64.8%，活立木蓄积量790万立方</w:t>
      </w:r>
      <w:r>
        <w:rPr>
          <w:rFonts w:hint="eastAsia"/>
        </w:rPr>
        <w:t>米，林木年生长量在</w:t>
      </w:r>
      <w:r>
        <w:t>34万立方米左右；现已区划</w:t>
      </w:r>
      <w:r>
        <w:rPr>
          <w:rFonts w:hint="eastAsia"/>
        </w:rPr>
        <w:t>界定生态公益林</w:t>
      </w:r>
      <w:r>
        <w:t>84.43万亩，其中国家级公益林21.09万亩，省级生态公益林63.34万亩；建立自</w:t>
      </w:r>
      <w:r>
        <w:rPr>
          <w:rFonts w:hint="eastAsia"/>
        </w:rPr>
        <w:t>然保护区</w:t>
      </w:r>
      <w:r>
        <w:t>3个，面积17.7万亩，其中省级1个，即</w:t>
      </w:r>
      <w:r>
        <w:rPr>
          <w:rFonts w:hint="eastAsia"/>
        </w:rPr>
        <w:t>小流坑一青嶂山省级自然保护区，面积</w:t>
      </w:r>
      <w:r>
        <w:t>11.7万亩，</w:t>
      </w:r>
      <w:r>
        <w:rPr>
          <w:rFonts w:hint="eastAsia"/>
        </w:rPr>
        <w:t>县级</w:t>
      </w:r>
      <w:r>
        <w:t>2个，即孔江水源自然保护和瀑布水库自然保</w:t>
      </w:r>
      <w:r>
        <w:rPr>
          <w:rFonts w:hint="eastAsia"/>
        </w:rPr>
        <w:t>护区，面积均为</w:t>
      </w:r>
      <w:r>
        <w:t>3万亩；现已建立森林公园6个，</w:t>
      </w:r>
      <w:r>
        <w:rPr>
          <w:rFonts w:hint="eastAsia"/>
        </w:rPr>
        <w:t>分别是帽子峰省级森林公园和雄州、梅关、珠玑</w:t>
      </w:r>
      <w:r>
        <w:rPr>
          <w:rFonts w:hint="eastAsia"/>
          <w:lang w:eastAsia="zh-CN"/>
        </w:rPr>
        <w:t>、</w:t>
      </w:r>
      <w:r>
        <w:rPr>
          <w:rFonts w:hint="eastAsia"/>
        </w:rPr>
        <w:t>苍石寨、竹蒿坑等县级森林公园，森林公园划定面积</w:t>
      </w:r>
      <w:r>
        <w:t>16.9万亩；建立国家级湿地公园1个，即孔江</w:t>
      </w:r>
      <w:r>
        <w:rPr>
          <w:rFonts w:hint="eastAsia"/>
        </w:rPr>
        <w:t>国家湿地公园，面积</w:t>
      </w:r>
      <w:r>
        <w:t>2.5万亩；现有国营、联办和</w:t>
      </w:r>
      <w:r>
        <w:rPr>
          <w:rFonts w:hint="eastAsia"/>
        </w:rPr>
        <w:t>非公有制林场</w:t>
      </w:r>
      <w:r>
        <w:t>71家，经营面积25万亩。</w:t>
      </w:r>
    </w:p>
    <w:p w14:paraId="579F05D0">
      <w:pPr>
        <w:pStyle w:val="4"/>
        <w:bidi w:val="0"/>
        <w:rPr>
          <w:rFonts w:hint="eastAsia"/>
        </w:rPr>
      </w:pPr>
      <w:r>
        <w:rPr>
          <w:rFonts w:hint="eastAsia"/>
        </w:rPr>
        <w:t>【造林绿化】</w:t>
      </w:r>
    </w:p>
    <w:p w14:paraId="3B00D8FF">
      <w:r>
        <w:t>2013年完成造林任务59550亩，其</w:t>
      </w:r>
      <w:r>
        <w:rPr>
          <w:rFonts w:hint="eastAsia"/>
        </w:rPr>
        <w:t>中完成采伐迹地更新</w:t>
      </w:r>
      <w:r>
        <w:t>14000亩，林业重点生态工程</w:t>
      </w:r>
      <w:r>
        <w:rPr>
          <w:rFonts w:hint="eastAsia"/>
        </w:rPr>
        <w:t>也已全面完成种植任务</w:t>
      </w:r>
      <w:r>
        <w:t>45550亩、完成韶赣高速生</w:t>
      </w:r>
      <w:r>
        <w:rPr>
          <w:rFonts w:hint="eastAsia"/>
        </w:rPr>
        <w:t>态景观林带建设</w:t>
      </w:r>
      <w:r>
        <w:t>31公里1860亩、完成“万村绿”</w:t>
      </w:r>
      <w:r>
        <w:rPr>
          <w:rFonts w:hint="eastAsia"/>
        </w:rPr>
        <w:t>南雄市</w:t>
      </w:r>
      <w:r>
        <w:t>20个示范点的种植任务。</w:t>
      </w:r>
    </w:p>
    <w:p w14:paraId="0D1EC539">
      <w:pPr>
        <w:pStyle w:val="4"/>
        <w:bidi w:val="0"/>
        <w:rPr>
          <w:rFonts w:hint="eastAsia"/>
        </w:rPr>
      </w:pPr>
      <w:r>
        <w:rPr>
          <w:rFonts w:hint="eastAsia"/>
        </w:rPr>
        <w:t>【封山育林】</w:t>
      </w:r>
    </w:p>
    <w:p w14:paraId="0B310FA4">
      <w:pPr>
        <w:rPr>
          <w:rFonts w:hint="eastAsia"/>
        </w:rPr>
      </w:pPr>
      <w:r>
        <w:t>2013年，林业局抓好南雄市118万</w:t>
      </w:r>
      <w:r>
        <w:rPr>
          <w:rFonts w:hint="eastAsia"/>
        </w:rPr>
        <w:t>亩封山育林工作，落实封山育林领导责任，落实护林员管护责任和封育措施，确保封山育林工作的落实，召开封山育林推进会，为确保封山育林工作达到预期的成效，林业局组成</w:t>
      </w:r>
      <w:r>
        <w:t>6个检</w:t>
      </w:r>
      <w:r>
        <w:rPr>
          <w:rFonts w:hint="eastAsia"/>
          <w:lang w:eastAsia="zh-CN"/>
        </w:rPr>
        <w:t>查</w:t>
      </w:r>
      <w:r>
        <w:t>组对各镇、街</w:t>
      </w:r>
      <w:r>
        <w:rPr>
          <w:rFonts w:hint="eastAsia"/>
        </w:rPr>
        <w:t>道的封山育林工作进行全面检</w:t>
      </w:r>
      <w:r>
        <w:rPr>
          <w:rFonts w:hint="eastAsia"/>
          <w:lang w:eastAsia="zh-CN"/>
        </w:rPr>
        <w:t>查</w:t>
      </w:r>
      <w:r>
        <w:rPr>
          <w:rFonts w:hint="eastAsia"/>
        </w:rPr>
        <w:t>。</w:t>
      </w:r>
    </w:p>
    <w:p w14:paraId="64D37F52">
      <w:pPr>
        <w:pStyle w:val="4"/>
        <w:bidi w:val="0"/>
        <w:rPr>
          <w:rFonts w:hint="eastAsia"/>
        </w:rPr>
      </w:pPr>
      <w:r>
        <w:rPr>
          <w:rFonts w:hint="eastAsia"/>
        </w:rPr>
        <w:t>【生态工程建设】</w:t>
      </w:r>
    </w:p>
    <w:p w14:paraId="7EA2AC5A">
      <w:r>
        <w:t>1月14日，南雄市在省财政</w:t>
      </w:r>
      <w:r>
        <w:rPr>
          <w:rFonts w:hint="eastAsia"/>
        </w:rPr>
        <w:t>厅、省林业厅联合举行</w:t>
      </w:r>
      <w:r>
        <w:t>2013年广东省森林碳汇重</w:t>
      </w:r>
      <w:r>
        <w:rPr>
          <w:rFonts w:hint="eastAsia"/>
        </w:rPr>
        <w:t>点生态工程建设资金竞争性分配评审会中竞得建设资金</w:t>
      </w:r>
      <w:r>
        <w:t>927.75万元。2013年，森林碳汇工</w:t>
      </w:r>
      <w:r>
        <w:rPr>
          <w:rFonts w:hint="eastAsia"/>
        </w:rPr>
        <w:t>程建设总任务</w:t>
      </w:r>
      <w:r>
        <w:t>37950亩，其中人工造林15675亩</w:t>
      </w:r>
      <w:r>
        <w:rPr>
          <w:rFonts w:hint="eastAsia"/>
          <w:lang w:eastAsia="zh-CN"/>
        </w:rPr>
        <w:t>、</w:t>
      </w:r>
      <w:r>
        <w:rPr>
          <w:rFonts w:hint="eastAsia"/>
        </w:rPr>
        <w:t>套种补植</w:t>
      </w:r>
      <w:r>
        <w:t>8025亩、更新造林2750亩、封山育林11500亩，已全面完成种植任务。</w:t>
      </w:r>
    </w:p>
    <w:p w14:paraId="4EEE75DB">
      <w:pPr>
        <w:pStyle w:val="4"/>
        <w:bidi w:val="0"/>
        <w:rPr>
          <w:rFonts w:hint="eastAsia"/>
        </w:rPr>
      </w:pPr>
      <w:r>
        <w:rPr>
          <w:rFonts w:hint="eastAsia"/>
          <w:lang w:eastAsia="zh-CN"/>
        </w:rPr>
        <w:t>【</w:t>
      </w:r>
      <w:r>
        <w:rPr>
          <w:rFonts w:hint="eastAsia"/>
        </w:rPr>
        <w:t>面向基层】</w:t>
      </w:r>
    </w:p>
    <w:p w14:paraId="2561309C">
      <w:pPr>
        <w:rPr>
          <w:rFonts w:hint="eastAsia"/>
        </w:rPr>
      </w:pPr>
      <w:r>
        <w:t>2013年，为切实加强对基层工作的</w:t>
      </w:r>
      <w:r>
        <w:rPr>
          <w:rFonts w:hint="eastAsia"/>
        </w:rPr>
        <w:t>服务和指导，林业局适时建立健全《森林公安分局、局属各部门单位挂点联系基层林业工作与考核办法》等相关制度，推行挂点联系工作机制。明确森林公安分局、局机关各部门分别对口挂点联系</w:t>
      </w:r>
      <w:r>
        <w:rPr>
          <w:rFonts w:hint="eastAsia"/>
          <w:lang w:val="en-US" w:eastAsia="zh-CN"/>
        </w:rPr>
        <w:t>一</w:t>
      </w:r>
      <w:r>
        <w:rPr>
          <w:rFonts w:hint="eastAsia"/>
        </w:rPr>
        <w:t>个镇（街道）的林业工作，旨在帮助和指导基层解决在林业工作中遇到的难点、热点问题，帮助基层人员更好的完成工作，提高工作效率，也有效地增强了机关干部深入基层，服务群众的工作积极性和责任感，推动基层林业工作的扎实开展。</w:t>
      </w:r>
    </w:p>
    <w:p w14:paraId="166A4A9D">
      <w:pPr>
        <w:pStyle w:val="4"/>
        <w:bidi w:val="0"/>
        <w:rPr>
          <w:rFonts w:hint="eastAsia"/>
        </w:rPr>
      </w:pPr>
      <w:r>
        <w:rPr>
          <w:rFonts w:hint="eastAsia"/>
        </w:rPr>
        <w:t>【林政管理】</w:t>
      </w:r>
    </w:p>
    <w:p w14:paraId="4B47BF70">
      <w:r>
        <w:t>2013年，林业局按要求严格对林木</w:t>
      </w:r>
      <w:r>
        <w:rPr>
          <w:rFonts w:hint="eastAsia"/>
        </w:rPr>
        <w:t>采伐加强管理，审批伐区</w:t>
      </w:r>
      <w:r>
        <w:t>76个，采伐面积782公</w:t>
      </w:r>
      <w:r>
        <w:rPr>
          <w:rFonts w:hint="eastAsia"/>
        </w:rPr>
        <w:t>顷，木材采伐蓄积</w:t>
      </w:r>
      <w:r>
        <w:t>4167立方米，毛竹75万条。加</w:t>
      </w:r>
      <w:r>
        <w:rPr>
          <w:rFonts w:hint="eastAsia"/>
        </w:rPr>
        <w:t>大对木材检</w:t>
      </w:r>
      <w:r>
        <w:rPr>
          <w:rFonts w:hint="eastAsia"/>
          <w:lang w:eastAsia="zh-CN"/>
        </w:rPr>
        <w:t>查</w:t>
      </w:r>
      <w:r>
        <w:rPr>
          <w:rFonts w:hint="eastAsia"/>
        </w:rPr>
        <w:t>站的管理，南雄市检</w:t>
      </w:r>
      <w:r>
        <w:rPr>
          <w:rFonts w:hint="eastAsia"/>
          <w:lang w:eastAsia="zh-CN"/>
        </w:rPr>
        <w:t>查</w:t>
      </w:r>
      <w:r>
        <w:rPr>
          <w:rFonts w:hint="eastAsia"/>
        </w:rPr>
        <w:t>站</w:t>
      </w:r>
      <w:r>
        <w:rPr>
          <w:rFonts w:hint="eastAsia"/>
          <w:lang w:eastAsia="zh-CN"/>
        </w:rPr>
        <w:t>查</w:t>
      </w:r>
      <w:r>
        <w:rPr>
          <w:rFonts w:hint="eastAsia"/>
        </w:rPr>
        <w:t>处违法运输木材案件</w:t>
      </w:r>
      <w:r>
        <w:t>200余起，没收木材百立方米，行政处</w:t>
      </w:r>
      <w:r>
        <w:rPr>
          <w:rFonts w:hint="eastAsia"/>
        </w:rPr>
        <w:t>罚</w:t>
      </w:r>
      <w:r>
        <w:t>230人次。完成市林地落界和总体规划工作，对</w:t>
      </w:r>
      <w:r>
        <w:rPr>
          <w:rFonts w:hint="eastAsia"/>
        </w:rPr>
        <w:t>临时征占用林地审批</w:t>
      </w:r>
      <w:r>
        <w:t>18宗。林政股联合相关股室</w:t>
      </w:r>
      <w:r>
        <w:rPr>
          <w:rFonts w:hint="eastAsia"/>
        </w:rPr>
        <w:t>完成对竹制品加工现场核定，根据测试结果制定出市毛竹制品标准，并从</w:t>
      </w:r>
      <w:r>
        <w:t>6月份开始试行。生产木材3.4万立方米，毛竹120万条。</w:t>
      </w:r>
    </w:p>
    <w:p w14:paraId="640EA1E4">
      <w:pPr>
        <w:pStyle w:val="4"/>
        <w:bidi w:val="0"/>
        <w:rPr>
          <w:rFonts w:hint="eastAsia"/>
        </w:rPr>
      </w:pPr>
      <w:r>
        <w:rPr>
          <w:rFonts w:hint="eastAsia"/>
        </w:rPr>
        <w:t>【森林资源保护】</w:t>
      </w:r>
    </w:p>
    <w:p w14:paraId="62902691">
      <w:pPr>
        <w:rPr>
          <w:rFonts w:hint="eastAsia"/>
          <w:lang w:eastAsia="zh-CN"/>
        </w:rPr>
      </w:pPr>
      <w:r>
        <w:t>2013年，林业局始终坚持严格</w:t>
      </w:r>
      <w:r>
        <w:rPr>
          <w:rFonts w:hint="eastAsia"/>
        </w:rPr>
        <w:t>控制林木采伐限额，严格控制林木采伐，加强以伐区管理为中心的林木采伐源头管理，加强竹木加工厂企业监管，加强非公有制林场管理。</w:t>
      </w:r>
      <w:r>
        <w:t>2013年，森</w:t>
      </w:r>
      <w:r>
        <w:rPr>
          <w:rFonts w:hint="eastAsia"/>
        </w:rPr>
        <w:t>林公安分局联合各执法部门先后组织开展“冬季行动”、“天网行动”专项整治行动。</w:t>
      </w:r>
      <w:r>
        <w:rPr>
          <w:rFonts w:hint="eastAsia"/>
          <w:lang w:eastAsia="zh-CN"/>
        </w:rPr>
        <w:t>查</w:t>
      </w:r>
      <w:r>
        <w:rPr>
          <w:rFonts w:hint="eastAsia"/>
        </w:rPr>
        <w:t>处林业违法犯罪案件</w:t>
      </w:r>
      <w:r>
        <w:t>468宗，其中刑事案件19宗，行政案件449</w:t>
      </w:r>
      <w:r>
        <w:rPr>
          <w:rFonts w:hint="eastAsia"/>
        </w:rPr>
        <w:t>宗，处理各类林业违法人员</w:t>
      </w:r>
      <w:r>
        <w:t>500余人次，</w:t>
      </w:r>
      <w:r>
        <w:rPr>
          <w:rFonts w:hint="eastAsia"/>
          <w:lang w:eastAsia="zh-CN"/>
        </w:rPr>
        <w:t>查</w:t>
      </w:r>
      <w:r>
        <w:t>处率</w:t>
      </w:r>
      <w:r>
        <w:rPr>
          <w:rFonts w:hint="eastAsia"/>
        </w:rPr>
        <w:t>达</w:t>
      </w:r>
      <w:r>
        <w:t>100%</w:t>
      </w:r>
      <w:r>
        <w:rPr>
          <w:rFonts w:hint="eastAsia"/>
          <w:lang w:eastAsia="zh-CN"/>
        </w:rPr>
        <w:t>；</w:t>
      </w:r>
    </w:p>
    <w:p w14:paraId="378DFE2A">
      <w:pPr>
        <w:pStyle w:val="4"/>
        <w:bidi w:val="0"/>
        <w:rPr>
          <w:rFonts w:hint="eastAsia"/>
        </w:rPr>
      </w:pPr>
      <w:r>
        <w:rPr>
          <w:rFonts w:hint="eastAsia"/>
        </w:rPr>
        <w:t>【森林防火】</w:t>
      </w:r>
    </w:p>
    <w:p w14:paraId="1D372DFD">
      <w:pPr>
        <w:rPr>
          <w:rFonts w:hint="eastAsia"/>
        </w:rPr>
      </w:pPr>
      <w:r>
        <w:t>2013年，林业局全面落实森林防火</w:t>
      </w:r>
      <w:r>
        <w:rPr>
          <w:rFonts w:hint="eastAsia"/>
        </w:rPr>
        <w:t>责任，加强防火宣传工作，严格野外用火管理，抓好队伍建设，强化值班、报告制度，实施对山头地块进行视频防火监控，派专人</w:t>
      </w:r>
      <w:r>
        <w:t>24小时值班。尽最</w:t>
      </w:r>
      <w:r>
        <w:rPr>
          <w:rFonts w:hint="eastAsia"/>
        </w:rPr>
        <w:t>大努力将全市森林火灾过火面积控制在</w:t>
      </w:r>
      <w:r>
        <w:t>0.5‰以下，</w:t>
      </w:r>
      <w:r>
        <w:rPr>
          <w:rFonts w:hint="eastAsia"/>
        </w:rPr>
        <w:t>确保森林资源的安全。</w:t>
      </w:r>
    </w:p>
    <w:p w14:paraId="3CBAC60A">
      <w:pPr>
        <w:pStyle w:val="4"/>
        <w:bidi w:val="0"/>
        <w:rPr>
          <w:rFonts w:hint="eastAsia"/>
        </w:rPr>
      </w:pPr>
      <w:r>
        <w:rPr>
          <w:rFonts w:hint="eastAsia"/>
          <w:lang w:eastAsia="zh-CN"/>
        </w:rPr>
        <w:t>【</w:t>
      </w:r>
      <w:r>
        <w:rPr>
          <w:rFonts w:hint="eastAsia"/>
        </w:rPr>
        <w:t>野生动物保护】</w:t>
      </w:r>
    </w:p>
    <w:p w14:paraId="59662394">
      <w:pPr>
        <w:rPr>
          <w:rFonts w:hint="eastAsia"/>
        </w:rPr>
      </w:pPr>
      <w:r>
        <w:t>2013年，林业局全面启动应对</w:t>
      </w:r>
      <w:r>
        <w:rPr>
          <w:rFonts w:hint="eastAsia"/>
        </w:rPr>
        <w:t>野生动物</w:t>
      </w:r>
      <w:r>
        <w:t>H7N9禽流感疫情应急反应工作机制，从</w:t>
      </w:r>
      <w:r>
        <w:rPr>
          <w:rFonts w:hint="eastAsia"/>
        </w:rPr>
        <w:t>加强领导、制定预案、加强市场监管、强化面上防控四个方面做好</w:t>
      </w:r>
      <w:r>
        <w:t>H7N9禽流感防控工作，同时清理</w:t>
      </w:r>
      <w:r>
        <w:rPr>
          <w:rFonts w:hint="eastAsia"/>
        </w:rPr>
        <w:t>整顿市场、饭店等公共场所，缴活体野生动物</w:t>
      </w:r>
      <w:r>
        <w:t>216</w:t>
      </w:r>
      <w:r>
        <w:rPr>
          <w:rFonts w:hint="eastAsia"/>
        </w:rPr>
        <w:t>只，并及时放生。</w:t>
      </w:r>
    </w:p>
    <w:p w14:paraId="645F13BF">
      <w:pPr>
        <w:pStyle w:val="4"/>
        <w:bidi w:val="0"/>
        <w:rPr>
          <w:rFonts w:hint="eastAsia"/>
        </w:rPr>
      </w:pPr>
      <w:r>
        <w:rPr>
          <w:rFonts w:hint="eastAsia"/>
        </w:rPr>
        <w:t>【新一轮绿化】</w:t>
      </w:r>
    </w:p>
    <w:p w14:paraId="3AD9D06D">
      <w:pPr>
        <w:rPr>
          <w:rFonts w:hint="eastAsia"/>
        </w:rPr>
      </w:pPr>
      <w:r>
        <w:t>9月22日，在南雄市人民大会堂</w:t>
      </w:r>
      <w:r>
        <w:rPr>
          <w:rFonts w:hint="eastAsia"/>
        </w:rPr>
        <w:t>召开新一轮绿化南雄大行动动员大会。会议传达贯彻省委、省政府召开的新一轮绿化广东大行动工作会议精神，总结回顾南雄市近年来的林业工作情况，并结合实际，全面部署和动员新一轮绿化南雄大行动工作。</w:t>
      </w:r>
    </w:p>
    <w:p w14:paraId="4E370792">
      <w:pPr>
        <w:pStyle w:val="4"/>
        <w:bidi w:val="0"/>
        <w:rPr>
          <w:rFonts w:hint="eastAsia"/>
        </w:rPr>
      </w:pPr>
      <w:r>
        <w:rPr>
          <w:rFonts w:hint="eastAsia"/>
        </w:rPr>
        <w:t>【政策性森林保险试点】</w:t>
      </w:r>
    </w:p>
    <w:p w14:paraId="7254DF04">
      <w:pPr>
        <w:rPr>
          <w:rFonts w:hint="eastAsia"/>
          <w:lang w:val="en-US" w:eastAsia="zh-CN"/>
        </w:rPr>
      </w:pPr>
      <w:r>
        <w:t>2013年，广东省全面推</w:t>
      </w:r>
      <w:r>
        <w:rPr>
          <w:rFonts w:hint="eastAsia"/>
        </w:rPr>
        <w:t>行政策性森林保险。每亩保险金额平均为</w:t>
      </w:r>
      <w:r>
        <w:t>500元，</w:t>
      </w:r>
      <w:r>
        <w:rPr>
          <w:rFonts w:hint="eastAsia"/>
        </w:rPr>
        <w:t>森林综合险保险费率为</w:t>
      </w:r>
      <w:r>
        <w:t>4‰</w:t>
      </w:r>
      <w:r>
        <w:rPr>
          <w:rFonts w:hint="eastAsia"/>
          <w:lang w:eastAsia="zh-CN"/>
        </w:rPr>
        <w:t>。</w:t>
      </w:r>
      <w:r>
        <w:t>生态公益林保费全部</w:t>
      </w:r>
      <w:r>
        <w:rPr>
          <w:rFonts w:hint="eastAsia"/>
        </w:rPr>
        <w:t>由各级财政补贴；商品林保费各级财政补贴</w:t>
      </w:r>
      <w:r>
        <w:t>70%</w:t>
      </w:r>
      <w:r>
        <w:rPr>
          <w:rFonts w:hint="eastAsia"/>
          <w:lang w:eastAsia="zh-CN"/>
        </w:rPr>
        <w:t>，</w:t>
      </w:r>
      <w:r>
        <w:rPr>
          <w:rFonts w:hint="eastAsia"/>
        </w:rPr>
        <w:t>投保人承担</w:t>
      </w:r>
      <w:r>
        <w:t>30%。林业局充分发挥专业优势，对政</w:t>
      </w:r>
      <w:r>
        <w:rPr>
          <w:rFonts w:hint="eastAsia"/>
        </w:rPr>
        <w:t>策性森林保险实施提供技术支持，同时也积极做好宣传工作，在各乡镇发放宣传单</w:t>
      </w:r>
      <w:r>
        <w:t>7000多张，让</w:t>
      </w:r>
      <w:r>
        <w:rPr>
          <w:rFonts w:hint="eastAsia"/>
          <w:lang w:val="en-US" w:eastAsia="zh-CN"/>
        </w:rPr>
        <w:t>广</w:t>
      </w:r>
      <w:r>
        <w:rPr>
          <w:rFonts w:hint="eastAsia"/>
        </w:rPr>
        <w:t>大林农和林业企业经营者充分了解政策性森林保险的内容和规定，切实提高保险服务水平和能力。</w:t>
      </w:r>
      <w:r>
        <w:t>2013年已全面完成商品林的投保任务，投保率高达114%，在韶关市进度排名第</w:t>
      </w:r>
      <w:r>
        <w:rPr>
          <w:rFonts w:hint="eastAsia"/>
          <w:lang w:val="en-US" w:eastAsia="zh-CN"/>
        </w:rPr>
        <w:t>一。</w:t>
      </w:r>
    </w:p>
    <w:p w14:paraId="338A5AE5">
      <w:pPr>
        <w:pStyle w:val="4"/>
        <w:bidi w:val="0"/>
        <w:rPr>
          <w:rFonts w:hint="eastAsia"/>
        </w:rPr>
      </w:pPr>
      <w:r>
        <w:rPr>
          <w:rFonts w:hint="eastAsia"/>
        </w:rPr>
        <w:t>【公安局森林分局】</w:t>
      </w:r>
    </w:p>
    <w:p w14:paraId="5923FDBF">
      <w:pPr>
        <w:rPr>
          <w:rFonts w:hint="eastAsia"/>
          <w:lang w:eastAsia="zh-CN"/>
        </w:rPr>
      </w:pPr>
      <w:r>
        <w:rPr>
          <w:rFonts w:hint="eastAsia"/>
        </w:rPr>
        <w:t>南雄市公安局森林分局为南雄市林业局直属行政单位的副科级单位，内设</w:t>
      </w:r>
      <w:r>
        <w:t>3个</w:t>
      </w:r>
      <w:r>
        <w:rPr>
          <w:rFonts w:hint="eastAsia"/>
        </w:rPr>
        <w:t>股（队），有编制人员</w:t>
      </w:r>
      <w:r>
        <w:t>13名。主要职能是负责协调</w:t>
      </w:r>
      <w:r>
        <w:rPr>
          <w:rFonts w:hint="eastAsia"/>
        </w:rPr>
        <w:t>督促和</w:t>
      </w:r>
      <w:r>
        <w:rPr>
          <w:rFonts w:hint="eastAsia"/>
          <w:lang w:eastAsia="zh-CN"/>
        </w:rPr>
        <w:t>查</w:t>
      </w:r>
      <w:r>
        <w:rPr>
          <w:rFonts w:hint="eastAsia"/>
        </w:rPr>
        <w:t>处破坏森林资源的各种刑事案件和治安案件。</w:t>
      </w:r>
      <w:r>
        <w:t>2013年，通过开展“三打两建”、“护林2013”、“风雷行动”等专项行动，</w:t>
      </w:r>
      <w:r>
        <w:rPr>
          <w:rFonts w:hint="eastAsia"/>
          <w:lang w:eastAsia="zh-CN"/>
        </w:rPr>
        <w:t>查</w:t>
      </w:r>
      <w:r>
        <w:t>处各类森林案</w:t>
      </w:r>
      <w:r>
        <w:rPr>
          <w:rFonts w:hint="eastAsia"/>
        </w:rPr>
        <w:t>件</w:t>
      </w:r>
      <w:r>
        <w:t>188起，其中刑事案件23起；林业行政案件164</w:t>
      </w:r>
      <w:r>
        <w:rPr>
          <w:rFonts w:hint="eastAsia"/>
        </w:rPr>
        <w:t>起，治安案件</w:t>
      </w:r>
      <w:r>
        <w:t>1起。严厉打击破坏森林资源违法犯</w:t>
      </w:r>
      <w:r>
        <w:rPr>
          <w:rFonts w:hint="eastAsia"/>
        </w:rPr>
        <w:t>罪活动，维护林区治安秩序稳定，为推动社会经济发展发挥积极作用</w:t>
      </w:r>
      <w:r>
        <w:rPr>
          <w:rFonts w:hint="eastAsia"/>
          <w:lang w:eastAsia="zh-CN"/>
        </w:rPr>
        <w:t>。</w:t>
      </w:r>
    </w:p>
    <w:p w14:paraId="548A14F7">
      <w:pPr>
        <w:pStyle w:val="4"/>
        <w:bidi w:val="0"/>
        <w:rPr>
          <w:rFonts w:hint="eastAsia"/>
        </w:rPr>
      </w:pPr>
      <w:r>
        <w:rPr>
          <w:rFonts w:hint="eastAsia"/>
        </w:rPr>
        <w:t>【林业研究】</w:t>
      </w:r>
    </w:p>
    <w:p w14:paraId="7E45E121">
      <w:pPr>
        <w:rPr>
          <w:rFonts w:hint="eastAsia"/>
          <w:lang w:eastAsia="zh-CN"/>
        </w:rPr>
      </w:pPr>
      <w:r>
        <w:rPr>
          <w:rFonts w:hint="eastAsia"/>
        </w:rPr>
        <w:t>南雄市林业科学研究所成立于</w:t>
      </w:r>
      <w:r>
        <w:t>1965年12月，经营面积220多亩，是一所以应用和推广林业</w:t>
      </w:r>
      <w:r>
        <w:rPr>
          <w:rFonts w:hint="eastAsia"/>
        </w:rPr>
        <w:t>科技及苗木培育为主营的事业单位。现有人员编制</w:t>
      </w:r>
      <w:r>
        <w:t>6</w:t>
      </w:r>
      <w:r>
        <w:rPr>
          <w:rFonts w:hint="eastAsia"/>
        </w:rPr>
        <w:t>人，林业工程师</w:t>
      </w:r>
      <w:r>
        <w:t>2人，助理工程师2人。2013年，南</w:t>
      </w:r>
      <w:r>
        <w:rPr>
          <w:rFonts w:hint="eastAsia"/>
        </w:rPr>
        <w:t>雄市林业科学研究所完成苗木生产管理近</w:t>
      </w:r>
      <w:r>
        <w:t>220亩，新</w:t>
      </w:r>
      <w:r>
        <w:rPr>
          <w:rFonts w:hint="eastAsia"/>
        </w:rPr>
        <w:t>增苗木培育面积</w:t>
      </w:r>
      <w:r>
        <w:t>20亩；为南雄市提供各项工程造林绿</w:t>
      </w:r>
      <w:r>
        <w:rPr>
          <w:rFonts w:hint="eastAsia"/>
        </w:rPr>
        <w:t>化苗木近</w:t>
      </w:r>
      <w:r>
        <w:t>260万株，其中杉苗50万株，枫香、木荷</w:t>
      </w:r>
      <w:r>
        <w:rPr>
          <w:rFonts w:hint="eastAsia"/>
          <w:lang w:eastAsia="zh-CN"/>
        </w:rPr>
        <w:t>、</w:t>
      </w:r>
      <w:r>
        <w:rPr>
          <w:rFonts w:hint="eastAsia"/>
        </w:rPr>
        <w:t>香樟、杜英等优良乡土阔叶树苗木，一年苗木约</w:t>
      </w:r>
      <w:r>
        <w:t>210</w:t>
      </w:r>
      <w:r>
        <w:rPr>
          <w:rFonts w:hint="eastAsia"/>
        </w:rPr>
        <w:t>万株，保证南雄市碳汇林及其它工程造林苗木需求量</w:t>
      </w:r>
      <w:r>
        <w:rPr>
          <w:rFonts w:hint="eastAsia"/>
          <w:lang w:eastAsia="zh-CN"/>
        </w:rPr>
        <w:t>；</w:t>
      </w:r>
      <w:r>
        <w:rPr>
          <w:rFonts w:hint="eastAsia"/>
        </w:rPr>
        <w:t>销售各类苗木达</w:t>
      </w:r>
      <w:r>
        <w:t>270万株，其中为南雄市“万村绿</w:t>
      </w:r>
      <w:r>
        <w:rPr>
          <w:rFonts w:hint="eastAsia"/>
          <w:lang w:eastAsia="zh-CN"/>
        </w:rPr>
        <w:t>”</w:t>
      </w:r>
      <w:r>
        <w:rPr>
          <w:rFonts w:hint="eastAsia"/>
        </w:rPr>
        <w:t>造林绿化提供苗木近</w:t>
      </w:r>
      <w:r>
        <w:t>10万株</w:t>
      </w:r>
      <w:r>
        <w:rPr>
          <w:rFonts w:hint="eastAsia"/>
          <w:lang w:eastAsia="zh-CN"/>
        </w:rPr>
        <w:t>。</w:t>
      </w:r>
    </w:p>
    <w:p w14:paraId="5FE0023E">
      <w:pPr>
        <w:jc w:val="right"/>
        <w:rPr>
          <w:rFonts w:hint="eastAsia"/>
          <w:b/>
          <w:bCs/>
        </w:rPr>
      </w:pPr>
      <w:r>
        <w:rPr>
          <w:rFonts w:hint="eastAsia"/>
          <w:b/>
          <w:bCs/>
        </w:rPr>
        <w:t>（陈</w:t>
      </w:r>
      <w:r>
        <w:rPr>
          <w:rFonts w:hint="eastAsia"/>
          <w:b/>
          <w:bCs/>
          <w:lang w:val="en-US" w:eastAsia="zh-CN"/>
        </w:rPr>
        <w:t xml:space="preserve">  </w:t>
      </w:r>
      <w:r>
        <w:rPr>
          <w:rFonts w:hint="eastAsia"/>
          <w:b/>
          <w:bCs/>
        </w:rPr>
        <w:t>帆）</w:t>
      </w:r>
    </w:p>
    <w:p w14:paraId="3297F6AC">
      <w:pPr>
        <w:pStyle w:val="10"/>
        <w:bidi w:val="0"/>
        <w:rPr>
          <w:b/>
          <w:bCs/>
        </w:rPr>
      </w:pPr>
      <w:r>
        <w:rPr>
          <w:rFonts w:hint="eastAsia"/>
          <w:b/>
          <w:bCs/>
        </w:rPr>
        <w:t>附：</w:t>
      </w:r>
      <w:r>
        <w:rPr>
          <w:b/>
          <w:bCs/>
        </w:rPr>
        <w:t>2013年市林业局领导班子成员名单</w:t>
      </w:r>
    </w:p>
    <w:p w14:paraId="3051FA28">
      <w:pPr>
        <w:pStyle w:val="10"/>
        <w:bidi w:val="0"/>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张英宏</w:t>
      </w:r>
    </w:p>
    <w:p w14:paraId="09E8D2B4">
      <w:pPr>
        <w:pStyle w:val="10"/>
        <w:bidi w:val="0"/>
        <w:rPr>
          <w:rFonts w:hint="eastAsia"/>
        </w:rPr>
      </w:pPr>
      <w:r>
        <w:rPr>
          <w:rFonts w:hint="eastAsia"/>
          <w:b/>
          <w:bCs/>
        </w:rPr>
        <w:t>副</w:t>
      </w:r>
      <w:r>
        <w:rPr>
          <w:rFonts w:hint="eastAsia"/>
          <w:b/>
          <w:bCs/>
          <w:lang w:val="en-US" w:eastAsia="zh-CN"/>
        </w:rPr>
        <w:t xml:space="preserve"> </w:t>
      </w:r>
      <w:r>
        <w:rPr>
          <w:rFonts w:hint="eastAsia"/>
          <w:b/>
          <w:bCs/>
        </w:rPr>
        <w:t>局</w:t>
      </w:r>
      <w:r>
        <w:rPr>
          <w:rFonts w:hint="eastAsia"/>
          <w:b/>
          <w:bCs/>
          <w:lang w:val="en-US" w:eastAsia="zh-CN"/>
        </w:rPr>
        <w:t xml:space="preserve"> </w:t>
      </w:r>
      <w:r>
        <w:rPr>
          <w:rFonts w:hint="eastAsia"/>
          <w:b/>
          <w:bCs/>
        </w:rPr>
        <w:t>长：</w:t>
      </w:r>
      <w:r>
        <w:rPr>
          <w:rFonts w:hint="eastAsia"/>
        </w:rPr>
        <w:t>李天勤</w:t>
      </w:r>
      <w:r>
        <w:rPr>
          <w:rFonts w:hint="eastAsia"/>
          <w:lang w:val="en-US" w:eastAsia="zh-CN"/>
        </w:rPr>
        <w:t xml:space="preserve">   </w:t>
      </w:r>
      <w:r>
        <w:rPr>
          <w:rFonts w:hint="eastAsia"/>
        </w:rPr>
        <w:t>王绪育</w:t>
      </w:r>
      <w:r>
        <w:rPr>
          <w:rFonts w:hint="eastAsia"/>
          <w:lang w:val="en-US" w:eastAsia="zh-CN"/>
        </w:rPr>
        <w:t xml:space="preserve">   </w:t>
      </w:r>
      <w:r>
        <w:rPr>
          <w:rFonts w:hint="eastAsia"/>
        </w:rPr>
        <w:t>郭</w:t>
      </w:r>
      <w:r>
        <w:rPr>
          <w:rFonts w:hint="eastAsia"/>
          <w:lang w:val="en-US" w:eastAsia="zh-CN"/>
        </w:rPr>
        <w:t xml:space="preserve">  </w:t>
      </w:r>
      <w:r>
        <w:rPr>
          <w:rFonts w:hint="eastAsia"/>
        </w:rPr>
        <w:t>忠</w:t>
      </w:r>
      <w:r>
        <w:rPr>
          <w:rFonts w:hint="eastAsia"/>
          <w:lang w:val="en-US" w:eastAsia="zh-CN"/>
        </w:rPr>
        <w:t xml:space="preserve">   </w:t>
      </w:r>
      <w:r>
        <w:rPr>
          <w:rFonts w:hint="eastAsia"/>
        </w:rPr>
        <w:t>黄得龙</w:t>
      </w:r>
    </w:p>
    <w:p w14:paraId="5D63DA01">
      <w:pPr>
        <w:pStyle w:val="10"/>
        <w:bidi w:val="0"/>
        <w:rPr>
          <w:rFonts w:hint="eastAsia"/>
        </w:rPr>
      </w:pPr>
      <w:r>
        <w:rPr>
          <w:rFonts w:hint="eastAsia"/>
          <w:b/>
          <w:bCs/>
        </w:rPr>
        <w:t>纪检组长</w:t>
      </w:r>
      <w:r>
        <w:rPr>
          <w:rFonts w:hint="eastAsia"/>
        </w:rPr>
        <w:t>：高韶金</w:t>
      </w:r>
    </w:p>
    <w:p w14:paraId="4088F43B">
      <w:pPr>
        <w:pStyle w:val="10"/>
        <w:bidi w:val="0"/>
        <w:rPr>
          <w:rFonts w:hint="eastAsia"/>
        </w:rPr>
      </w:pPr>
      <w:r>
        <w:rPr>
          <w:rFonts w:hint="eastAsia"/>
          <w:b/>
          <w:bCs/>
        </w:rPr>
        <w:t>工会主席：</w:t>
      </w:r>
      <w:r>
        <w:rPr>
          <w:rFonts w:hint="eastAsia"/>
        </w:rPr>
        <w:t>李雨英</w:t>
      </w:r>
    </w:p>
    <w:p w14:paraId="3ACA6085">
      <w:pPr>
        <w:pStyle w:val="10"/>
        <w:bidi w:val="0"/>
        <w:rPr>
          <w:rFonts w:hint="eastAsia"/>
        </w:rPr>
      </w:pPr>
      <w:r>
        <w:rPr>
          <w:rFonts w:hint="eastAsia"/>
          <w:b/>
          <w:bCs/>
        </w:rPr>
        <w:t>公安局森林分局长：</w:t>
      </w:r>
      <w:r>
        <w:rPr>
          <w:rFonts w:hint="eastAsia"/>
        </w:rPr>
        <w:t>黄得龙</w:t>
      </w:r>
    </w:p>
    <w:p w14:paraId="0C04FF94">
      <w:pPr>
        <w:pStyle w:val="3"/>
        <w:bidi w:val="0"/>
        <w:rPr>
          <w:rFonts w:hint="eastAsia"/>
          <w:lang w:val="en-US" w:eastAsia="zh-CN"/>
        </w:rPr>
      </w:pPr>
      <w:r>
        <w:rPr>
          <w:rFonts w:hint="eastAsia"/>
        </w:rPr>
        <w:t>翠屏</w:t>
      </w:r>
      <w:r>
        <w:rPr>
          <w:rFonts w:hint="eastAsia"/>
          <w:lang w:val="en-US" w:eastAsia="zh-CN"/>
        </w:rPr>
        <w:t>公司</w:t>
      </w:r>
    </w:p>
    <w:p w14:paraId="008DC3F8">
      <w:pPr>
        <w:pStyle w:val="4"/>
        <w:bidi w:val="0"/>
        <w:rPr>
          <w:rFonts w:hint="eastAsia"/>
        </w:rPr>
      </w:pPr>
      <w:r>
        <w:rPr>
          <w:rFonts w:hint="eastAsia"/>
          <w:lang w:eastAsia="zh-CN"/>
        </w:rPr>
        <w:t>【</w:t>
      </w:r>
      <w:r>
        <w:rPr>
          <w:rFonts w:hint="eastAsia"/>
        </w:rPr>
        <w:t>概况】</w:t>
      </w:r>
    </w:p>
    <w:p w14:paraId="6839C7A3">
      <w:r>
        <w:rPr>
          <w:rFonts w:hint="eastAsia"/>
        </w:rPr>
        <w:t>广东翠屏实业股份有限公司（以下简称翠屏公司）是由原南雄帽子峰林场全资改组，</w:t>
      </w:r>
      <w:r>
        <w:t>1994</w:t>
      </w:r>
      <w:r>
        <w:rPr>
          <w:rFonts w:hint="eastAsia"/>
        </w:rPr>
        <w:t>年</w:t>
      </w:r>
      <w:r>
        <w:t>6月由广东省体改委批准，并经广东省工商局登</w:t>
      </w:r>
      <w:r>
        <w:rPr>
          <w:rFonts w:hint="eastAsia"/>
        </w:rPr>
        <w:t>记注册的股份制有限公司，注册资本</w:t>
      </w:r>
      <w:r>
        <w:t>6878万元，20</w:t>
      </w:r>
      <w:r>
        <w:rPr>
          <w:rFonts w:hint="eastAsia"/>
          <w:lang w:val="en-US" w:eastAsia="zh-CN"/>
        </w:rPr>
        <w:t>1</w:t>
      </w:r>
      <w:r>
        <w:t>1年8月正式划归韶关市工商局管理。</w:t>
      </w:r>
    </w:p>
    <w:p w14:paraId="2571A46A">
      <w:r>
        <w:rPr>
          <w:rFonts w:hint="eastAsia"/>
        </w:rPr>
        <w:t>公司下设办公室、财务部、资产部、人事部</w:t>
      </w:r>
      <w:r>
        <w:rPr>
          <w:rFonts w:hint="eastAsia"/>
          <w:lang w:eastAsia="zh-CN"/>
        </w:rPr>
        <w:t>、</w:t>
      </w:r>
      <w:r>
        <w:rPr>
          <w:rFonts w:hint="eastAsia"/>
        </w:rPr>
        <w:t>生产部、销售部、养路队、电业公司、旅游公司</w:t>
      </w:r>
      <w:r>
        <w:rPr>
          <w:rFonts w:hint="eastAsia"/>
          <w:lang w:eastAsia="zh-CN"/>
        </w:rPr>
        <w:t>、</w:t>
      </w:r>
      <w:r>
        <w:rPr>
          <w:rFonts w:hint="eastAsia"/>
        </w:rPr>
        <w:t>园林公司、招待所等，公司经营主要以林业、电业为主。翠屏公司目前有人数</w:t>
      </w:r>
      <w:r>
        <w:t>643人，其中在册人员361人（在岗.124人，待岗57人，内退181人，</w:t>
      </w:r>
      <w:r>
        <w:rPr>
          <w:rFonts w:hint="eastAsia"/>
        </w:rPr>
        <w:t>病休</w:t>
      </w:r>
      <w:r>
        <w:t>1人，在职停保5人），退休273人。</w:t>
      </w:r>
    </w:p>
    <w:p w14:paraId="317D83D6">
      <w:pPr>
        <w:pStyle w:val="4"/>
        <w:bidi w:val="0"/>
        <w:rPr>
          <w:rFonts w:hint="eastAsia"/>
        </w:rPr>
      </w:pPr>
      <w:r>
        <w:rPr>
          <w:rFonts w:hint="eastAsia"/>
        </w:rPr>
        <w:t>【林业】</w:t>
      </w:r>
    </w:p>
    <w:p w14:paraId="4E4AA347">
      <w:r>
        <w:t>2013年完成1264.4亩的造林任务，抚育</w:t>
      </w:r>
      <w:r>
        <w:rPr>
          <w:rFonts w:hint="eastAsia"/>
        </w:rPr>
        <w:t>中幼林</w:t>
      </w:r>
      <w:r>
        <w:t>2933.2多亩，育苗105580株，维修防火线77888</w:t>
      </w:r>
      <w:r>
        <w:rPr>
          <w:rFonts w:hint="eastAsia"/>
          <w:lang w:val="en-US" w:eastAsia="zh-CN"/>
        </w:rPr>
        <w:t>米</w:t>
      </w:r>
      <w:r>
        <w:t>，间伐4259.418立方米，主伐6370立方</w:t>
      </w:r>
      <w:r>
        <w:rPr>
          <w:rFonts w:hint="eastAsia"/>
        </w:rPr>
        <w:t>米，主伐材平均售价约</w:t>
      </w:r>
      <w:r>
        <w:t>1147.6元</w:t>
      </w:r>
      <w:r>
        <w:rPr>
          <w:rFonts w:hint="eastAsia"/>
          <w:lang w:val="en-US" w:eastAsia="zh-CN"/>
        </w:rPr>
        <w:t>/</w:t>
      </w:r>
      <w:r>
        <w:t>立方米。公司坚</w:t>
      </w:r>
      <w:r>
        <w:rPr>
          <w:rFonts w:hint="eastAsia"/>
        </w:rPr>
        <w:t>持“采育”结合的政策及对中幼林的精心抚育，公司帽子峰林场在经营</w:t>
      </w:r>
      <w:r>
        <w:t>50多年来还一直保持着“青</w:t>
      </w:r>
      <w:r>
        <w:rPr>
          <w:rFonts w:hint="eastAsia"/>
        </w:rPr>
        <w:t>山绿水”的良好自然生态环境，</w:t>
      </w:r>
      <w:r>
        <w:t>2013年木材仍蓄积</w:t>
      </w:r>
      <w:r>
        <w:rPr>
          <w:rFonts w:hint="eastAsia"/>
        </w:rPr>
        <w:t>有</w:t>
      </w:r>
      <w:r>
        <w:t>25万立方米以上。</w:t>
      </w:r>
    </w:p>
    <w:p w14:paraId="6CDC0005">
      <w:r>
        <w:rPr>
          <w:rFonts w:hint="eastAsia"/>
        </w:rPr>
        <w:t>在木材销售方面，采取“木材公开销售竞价（活立杉木、间伐材）”的竞标销售机制。</w:t>
      </w:r>
      <w:r>
        <w:t>2013年</w:t>
      </w:r>
      <w:r>
        <w:rPr>
          <w:rFonts w:hint="eastAsia"/>
        </w:rPr>
        <w:t>完成木材销售</w:t>
      </w:r>
      <w:r>
        <w:t>10629.418立方米，实现销售收入1148万元。</w:t>
      </w:r>
    </w:p>
    <w:p w14:paraId="3FA1C2B4">
      <w:pPr>
        <w:pStyle w:val="4"/>
        <w:bidi w:val="0"/>
        <w:rPr>
          <w:rFonts w:hint="eastAsia"/>
        </w:rPr>
      </w:pPr>
      <w:r>
        <w:rPr>
          <w:rFonts w:hint="eastAsia"/>
        </w:rPr>
        <w:t>【水利发电】</w:t>
      </w:r>
    </w:p>
    <w:p w14:paraId="449C76C3">
      <w:pPr>
        <w:rPr>
          <w:rFonts w:hint="eastAsia"/>
        </w:rPr>
      </w:pPr>
      <w:r>
        <w:t>2013年，南雄降雨量普遍较大，且</w:t>
      </w:r>
      <w:r>
        <w:rPr>
          <w:rFonts w:hint="eastAsia"/>
        </w:rPr>
        <w:t>比较均匀。水力发电上网电度约</w:t>
      </w:r>
      <w:r>
        <w:t>1100万千瓦时，</w:t>
      </w:r>
      <w:r>
        <w:rPr>
          <w:rFonts w:hint="eastAsia"/>
        </w:rPr>
        <w:t>实现销售收入</w:t>
      </w:r>
      <w:r>
        <w:t>496万元（税后），超额完成年度</w:t>
      </w:r>
      <w:r>
        <w:rPr>
          <w:rFonts w:hint="eastAsia"/>
        </w:rPr>
        <w:t>计划。</w:t>
      </w:r>
    </w:p>
    <w:p w14:paraId="2F24EF6F">
      <w:pPr>
        <w:pStyle w:val="4"/>
        <w:bidi w:val="0"/>
        <w:rPr>
          <w:rFonts w:hint="eastAsia"/>
        </w:rPr>
      </w:pPr>
      <w:r>
        <w:rPr>
          <w:rFonts w:hint="eastAsia"/>
        </w:rPr>
        <w:t>【生态旅游】</w:t>
      </w:r>
    </w:p>
    <w:p w14:paraId="3A292568">
      <w:pPr>
        <w:rPr>
          <w:rFonts w:hint="eastAsia"/>
        </w:rPr>
      </w:pPr>
      <w:r>
        <w:rPr>
          <w:rFonts w:hint="eastAsia"/>
        </w:rPr>
        <w:t>从</w:t>
      </w:r>
      <w:r>
        <w:t>2012年开始，公司经营班子就以</w:t>
      </w:r>
      <w:r>
        <w:rPr>
          <w:rFonts w:hint="eastAsia"/>
        </w:rPr>
        <w:t>将开发帽子峰林场生态旅游放在日常工作中。在保证林、电正常生产的前提下，公司组织人员成立旅游公司和园林公司，增加公司旅游工作力度。</w:t>
      </w:r>
    </w:p>
    <w:p w14:paraId="367B9219">
      <w:r>
        <w:t>2013年来林场观赏和拍摄银杏叶的游客比往年</w:t>
      </w:r>
      <w:r>
        <w:rPr>
          <w:rFonts w:hint="eastAsia"/>
        </w:rPr>
        <w:t>要多，最高峰出现一天有</w:t>
      </w:r>
      <w:r>
        <w:t>12000人次，接待游客近10万人次。全年旅游门票收入约170万元。</w:t>
      </w:r>
    </w:p>
    <w:p w14:paraId="034E8891">
      <w:pPr>
        <w:pStyle w:val="4"/>
        <w:bidi w:val="0"/>
      </w:pPr>
      <w:r>
        <w:rPr>
          <w:rFonts w:hint="eastAsia"/>
        </w:rPr>
        <w:t>【申报“全国</w:t>
      </w:r>
      <w:r>
        <w:t>100家最美森林旅游景区”】</w:t>
      </w:r>
    </w:p>
    <w:p w14:paraId="0D3D77B9">
      <w:r>
        <w:t>帽子峰</w:t>
      </w:r>
      <w:r>
        <w:rPr>
          <w:rFonts w:hint="eastAsia"/>
        </w:rPr>
        <w:t>林场是省级森林公园，资源林相优美，山水如画，在省林业厅和市政府的支持下，林场加紧组织相关材料和影像、图片，聘请广州大学生态旅游专业教授设计和规划申报，圆满的完成整个申报过程，评选结果在全国排名第</w:t>
      </w:r>
      <w:r>
        <w:t>33名。</w:t>
      </w:r>
    </w:p>
    <w:p w14:paraId="357BC9D0">
      <w:pPr>
        <w:pStyle w:val="4"/>
        <w:bidi w:val="0"/>
        <w:rPr>
          <w:rFonts w:hint="eastAsia"/>
        </w:rPr>
      </w:pPr>
      <w:r>
        <w:rPr>
          <w:rFonts w:hint="eastAsia"/>
        </w:rPr>
        <w:t>【荣誉称号】</w:t>
      </w:r>
    </w:p>
    <w:p w14:paraId="07AD420F">
      <w:pPr>
        <w:rPr>
          <w:rFonts w:hint="eastAsia"/>
        </w:rPr>
      </w:pPr>
      <w:r>
        <w:t>2013年公司的职工旅馆开展得非常</w:t>
      </w:r>
      <w:r>
        <w:rPr>
          <w:rFonts w:hint="eastAsia"/>
        </w:rPr>
        <w:t>火红，可一次性提供</w:t>
      </w:r>
      <w:r>
        <w:t>500个游客住宿，1000人次就</w:t>
      </w:r>
      <w:r>
        <w:rPr>
          <w:rFonts w:hint="eastAsia"/>
        </w:rPr>
        <w:t>餐，以及各农土特产（如白果、板鸭、冬笋、冬菇、蜂蜜等）销售都非常火爆。</w:t>
      </w:r>
      <w:r>
        <w:t>2013年12月获得</w:t>
      </w:r>
      <w:r>
        <w:rPr>
          <w:rFonts w:hint="eastAsia"/>
        </w:rPr>
        <w:t>韶关市旅游局、农业局颁发的“韶关市农家乐旅游示范点”称号牌匾。</w:t>
      </w:r>
    </w:p>
    <w:p w14:paraId="1617EDDF">
      <w:pPr>
        <w:jc w:val="right"/>
        <w:rPr>
          <w:rFonts w:hint="eastAsia"/>
          <w:b/>
          <w:bCs/>
        </w:rPr>
      </w:pPr>
      <w:r>
        <w:rPr>
          <w:rFonts w:hint="eastAsia"/>
          <w:b/>
          <w:bCs/>
        </w:rPr>
        <w:t>（李</w:t>
      </w:r>
      <w:r>
        <w:rPr>
          <w:rFonts w:hint="eastAsia"/>
          <w:b/>
          <w:bCs/>
          <w:lang w:val="en-US" w:eastAsia="zh-CN"/>
        </w:rPr>
        <w:t xml:space="preserve">  </w:t>
      </w:r>
      <w:r>
        <w:rPr>
          <w:rFonts w:hint="eastAsia"/>
          <w:b/>
          <w:bCs/>
        </w:rPr>
        <w:t>荣）</w:t>
      </w:r>
    </w:p>
    <w:p w14:paraId="5AFC2558">
      <w:pPr>
        <w:pStyle w:val="10"/>
        <w:bidi w:val="0"/>
        <w:rPr>
          <w:b/>
          <w:bCs/>
        </w:rPr>
      </w:pPr>
      <w:r>
        <w:rPr>
          <w:rFonts w:hint="eastAsia"/>
          <w:b/>
          <w:bCs/>
        </w:rPr>
        <w:t>附：</w:t>
      </w:r>
      <w:r>
        <w:rPr>
          <w:b/>
          <w:bCs/>
        </w:rPr>
        <w:t>2013年市翠屏公司领导班子成员名单</w:t>
      </w:r>
    </w:p>
    <w:p w14:paraId="04697AF8">
      <w:pPr>
        <w:pStyle w:val="10"/>
        <w:bidi w:val="0"/>
        <w:rPr>
          <w:rFonts w:hint="eastAsia"/>
        </w:rPr>
      </w:pPr>
      <w:r>
        <w:rPr>
          <w:rFonts w:hint="eastAsia"/>
          <w:b/>
          <w:bCs/>
        </w:rPr>
        <w:t>党委书记、董事长：</w:t>
      </w:r>
      <w:r>
        <w:rPr>
          <w:rFonts w:hint="eastAsia"/>
        </w:rPr>
        <w:t>王弟勤</w:t>
      </w:r>
    </w:p>
    <w:p w14:paraId="29C25D6E">
      <w:pPr>
        <w:pStyle w:val="10"/>
        <w:bidi w:val="0"/>
        <w:rPr>
          <w:rFonts w:hint="eastAsia"/>
        </w:rPr>
      </w:pPr>
      <w:r>
        <w:rPr>
          <w:rFonts w:hint="eastAsia"/>
          <w:b/>
          <w:bCs/>
        </w:rPr>
        <w:t>总经理：</w:t>
      </w:r>
      <w:r>
        <w:rPr>
          <w:rFonts w:hint="eastAsia"/>
        </w:rPr>
        <w:t>张春辉</w:t>
      </w:r>
    </w:p>
    <w:p w14:paraId="5684090A">
      <w:pPr>
        <w:pStyle w:val="10"/>
        <w:bidi w:val="0"/>
        <w:rPr>
          <w:rFonts w:hint="eastAsia"/>
        </w:rPr>
      </w:pPr>
      <w:r>
        <w:rPr>
          <w:rFonts w:hint="eastAsia"/>
          <w:b/>
          <w:bCs/>
        </w:rPr>
        <w:t>监事会主席：</w:t>
      </w:r>
      <w:r>
        <w:rPr>
          <w:rFonts w:hint="eastAsia"/>
        </w:rPr>
        <w:t>李时有</w:t>
      </w:r>
    </w:p>
    <w:p w14:paraId="54E92747">
      <w:pPr>
        <w:pStyle w:val="10"/>
        <w:bidi w:val="0"/>
        <w:rPr>
          <w:rFonts w:hint="eastAsia"/>
        </w:rPr>
      </w:pPr>
      <w:r>
        <w:rPr>
          <w:rFonts w:hint="eastAsia"/>
          <w:b/>
          <w:bCs/>
        </w:rPr>
        <w:t>副总经理</w:t>
      </w:r>
      <w:r>
        <w:rPr>
          <w:rFonts w:hint="eastAsia"/>
        </w:rPr>
        <w:t>：钟达辉</w:t>
      </w:r>
      <w:r>
        <w:rPr>
          <w:rFonts w:hint="eastAsia"/>
          <w:lang w:val="en-US" w:eastAsia="zh-CN"/>
        </w:rPr>
        <w:t xml:space="preserve">   </w:t>
      </w:r>
      <w:r>
        <w:rPr>
          <w:rFonts w:hint="eastAsia"/>
        </w:rPr>
        <w:t>黄志荣</w:t>
      </w:r>
    </w:p>
    <w:p w14:paraId="7B0F07C4">
      <w:pPr>
        <w:pStyle w:val="10"/>
        <w:bidi w:val="0"/>
        <w:rPr>
          <w:rFonts w:hint="eastAsia"/>
        </w:rPr>
      </w:pPr>
      <w:r>
        <w:rPr>
          <w:rFonts w:hint="eastAsia"/>
          <w:b/>
          <w:bCs/>
        </w:rPr>
        <w:t>党委组织、宣传委员：</w:t>
      </w:r>
      <w:r>
        <w:rPr>
          <w:rFonts w:hint="eastAsia"/>
        </w:rPr>
        <w:t>李</w:t>
      </w:r>
      <w:r>
        <w:rPr>
          <w:rFonts w:hint="eastAsia"/>
          <w:lang w:val="en-US" w:eastAsia="zh-CN"/>
        </w:rPr>
        <w:t xml:space="preserve">  </w:t>
      </w:r>
      <w:r>
        <w:rPr>
          <w:rFonts w:hint="eastAsia"/>
        </w:rPr>
        <w:t>荣</w:t>
      </w:r>
    </w:p>
    <w:p w14:paraId="1AD3C97C">
      <w:pPr>
        <w:pStyle w:val="3"/>
        <w:bidi w:val="0"/>
        <w:rPr>
          <w:rFonts w:hint="eastAsia"/>
        </w:rPr>
      </w:pPr>
      <w:r>
        <w:rPr>
          <w:rFonts w:hint="eastAsia"/>
        </w:rPr>
        <w:t>孔江国家湿地公园</w:t>
      </w:r>
    </w:p>
    <w:p w14:paraId="47606ED8">
      <w:pPr>
        <w:pStyle w:val="4"/>
        <w:bidi w:val="0"/>
        <w:rPr>
          <w:rFonts w:hint="eastAsia"/>
        </w:rPr>
      </w:pPr>
      <w:r>
        <w:rPr>
          <w:rFonts w:hint="eastAsia"/>
        </w:rPr>
        <w:t>【概况】</w:t>
      </w:r>
    </w:p>
    <w:p w14:paraId="750E36EF">
      <w:r>
        <w:rPr>
          <w:rFonts w:hint="eastAsia"/>
        </w:rPr>
        <w:t>广东孔江国家湿地公园，是于</w:t>
      </w:r>
      <w:r>
        <w:t>201l年3</w:t>
      </w:r>
      <w:r>
        <w:rPr>
          <w:rFonts w:hint="eastAsia"/>
        </w:rPr>
        <w:t>月</w:t>
      </w:r>
      <w:r>
        <w:t>25日，经国家林业局正式批准为国家级湿地公</w:t>
      </w:r>
      <w:r>
        <w:rPr>
          <w:rFonts w:hint="eastAsia"/>
        </w:rPr>
        <w:t>园建设试点。</w:t>
      </w:r>
      <w:r>
        <w:t>2011年11月25日，南雄市机构编制</w:t>
      </w:r>
      <w:r>
        <w:rPr>
          <w:rFonts w:hint="eastAsia"/>
        </w:rPr>
        <w:t>委员会下发《关于同意设立广东孔江国家湿地公园管理处的批复》文件（雄编</w:t>
      </w:r>
      <w:r>
        <w:t>[2011]75号），正式</w:t>
      </w:r>
      <w:r>
        <w:rPr>
          <w:rFonts w:hint="eastAsia"/>
        </w:rPr>
        <w:t>设立孔江国家湿地公园管理机构。</w:t>
      </w:r>
      <w:r>
        <w:t>2013年4月8日</w:t>
      </w:r>
      <w:r>
        <w:rPr>
          <w:rFonts w:hint="eastAsia"/>
        </w:rPr>
        <w:t>构编制委员会下发关于印发《南雄市孔江国家湿地公园管理处机构编制方案》的通知（雄编</w:t>
      </w:r>
      <w:r>
        <w:t>[2013]18号），批准内设6个正股级机构：即综合股、科</w:t>
      </w:r>
      <w:r>
        <w:rPr>
          <w:rFonts w:hint="eastAsia"/>
        </w:rPr>
        <w:t>研</w:t>
      </w:r>
      <w:r>
        <w:rPr>
          <w:rFonts w:hint="eastAsia"/>
          <w:lang w:val="en-US" w:eastAsia="zh-CN"/>
        </w:rPr>
        <w:t>宣</w:t>
      </w:r>
      <w:r>
        <w:rPr>
          <w:rFonts w:hint="eastAsia"/>
        </w:rPr>
        <w:t>教股、社区共管股和湿地保护管理站、气象水文水质监测站、野生动植物监测救护站。管理处隶属南雄市林业局管理，为正科级事业单位，核定人员编制</w:t>
      </w:r>
      <w:r>
        <w:t>12人。该湿地公园地处国家具有国际意义</w:t>
      </w:r>
      <w:r>
        <w:rPr>
          <w:rFonts w:hint="eastAsia"/>
        </w:rPr>
        <w:t>的陆地生物多样性关键地区的南岭南麓（南雄市东北部，东经</w:t>
      </w:r>
      <w:r>
        <w:t>114°37</w:t>
      </w:r>
      <w:r>
        <w:rPr>
          <w:rFonts w:hint="eastAsia"/>
          <w:lang w:val="en-US" w:eastAsia="zh-CN"/>
        </w:rPr>
        <w:t>′</w:t>
      </w:r>
      <w:r>
        <w:t>55</w:t>
      </w:r>
      <w:r>
        <w:rPr>
          <w:rFonts w:hint="eastAsia"/>
          <w:lang w:val="en-US" w:eastAsia="zh-CN"/>
        </w:rPr>
        <w:t>″</w:t>
      </w:r>
      <w:r>
        <w:t>~114°43</w:t>
      </w:r>
      <w:r>
        <w:rPr>
          <w:rFonts w:hint="eastAsia"/>
          <w:lang w:val="en-US" w:eastAsia="zh-CN"/>
        </w:rPr>
        <w:t>′</w:t>
      </w:r>
      <w:r>
        <w:t>13</w:t>
      </w:r>
      <w:r>
        <w:rPr>
          <w:rFonts w:hint="eastAsia"/>
          <w:lang w:val="en-US" w:eastAsia="zh-CN"/>
        </w:rPr>
        <w:t>″</w:t>
      </w:r>
      <w:r>
        <w:t>，北纬25°15</w:t>
      </w:r>
      <w:r>
        <w:rPr>
          <w:rFonts w:hint="eastAsia"/>
          <w:lang w:val="en-US" w:eastAsia="zh-CN"/>
        </w:rPr>
        <w:t>′</w:t>
      </w:r>
      <w:r>
        <w:t>32</w:t>
      </w:r>
      <w:r>
        <w:rPr>
          <w:rFonts w:hint="eastAsia"/>
          <w:lang w:val="en-US" w:eastAsia="zh-CN"/>
        </w:rPr>
        <w:t>″</w:t>
      </w:r>
      <w:r>
        <w:t>~25°19</w:t>
      </w:r>
      <w:r>
        <w:rPr>
          <w:rFonts w:hint="eastAsia"/>
          <w:lang w:val="en-US" w:eastAsia="zh-CN"/>
        </w:rPr>
        <w:t>′</w:t>
      </w:r>
      <w:r>
        <w:t>54</w:t>
      </w:r>
      <w:r>
        <w:rPr>
          <w:rFonts w:hint="eastAsia"/>
          <w:lang w:val="en-US" w:eastAsia="zh-CN"/>
        </w:rPr>
        <w:t>″</w:t>
      </w:r>
      <w:r>
        <w:t>），为北江源头，号称“广东第</w:t>
      </w:r>
      <w:r>
        <w:rPr>
          <w:rFonts w:hint="eastAsia"/>
          <w:lang w:val="en-US" w:eastAsia="zh-CN"/>
        </w:rPr>
        <w:t>一</w:t>
      </w:r>
      <w:r>
        <w:rPr>
          <w:rFonts w:hint="eastAsia"/>
        </w:rPr>
        <w:t>库”。范围主要包括孔江水库、孔江水库上下游段及周边区域，涉及到乌迳、界址</w:t>
      </w:r>
      <w:r>
        <w:t>2个镇7个行政</w:t>
      </w:r>
      <w:r>
        <w:rPr>
          <w:rFonts w:hint="eastAsia"/>
        </w:rPr>
        <w:t>村，总面积</w:t>
      </w:r>
      <w:r>
        <w:t>1667.9公顷，其中湿地面积639</w:t>
      </w:r>
      <w:r>
        <w:rPr>
          <w:rFonts w:hint="eastAsia"/>
          <w:lang w:val="en-US" w:eastAsia="zh-CN"/>
        </w:rPr>
        <w:t>.</w:t>
      </w:r>
      <w:r>
        <w:t>2公</w:t>
      </w:r>
      <w:r>
        <w:rPr>
          <w:rFonts w:hint="eastAsia"/>
        </w:rPr>
        <w:t>顷。主要保护对象为：水系和水质、水岸、栖息地（生境）、野生动植物和湿地文化资源。其主要职责是：依法对湿地公园自然资源实施保护管理；负责湿地公园规划编制、建设项目审核；组织开展湿地恢复、物种保护、湿地植被演替控制技术等科学研究和生态旅游开发等工作。管理处于</w:t>
      </w:r>
      <w:r>
        <w:t>2012年8月13日正式揭牌成立。</w:t>
      </w:r>
    </w:p>
    <w:p w14:paraId="26B519EA">
      <w:pPr>
        <w:pStyle w:val="4"/>
        <w:bidi w:val="0"/>
        <w:rPr>
          <w:rFonts w:hint="eastAsia"/>
        </w:rPr>
      </w:pPr>
      <w:r>
        <w:rPr>
          <w:rFonts w:hint="eastAsia"/>
        </w:rPr>
        <w:t>【资源状况】</w:t>
      </w:r>
    </w:p>
    <w:p w14:paraId="01F4299E">
      <w:pPr>
        <w:rPr>
          <w:rFonts w:hint="eastAsia"/>
        </w:rPr>
      </w:pPr>
      <w:r>
        <w:rPr>
          <w:rFonts w:hint="eastAsia"/>
        </w:rPr>
        <w:t>孔江国家湿地公园生物多样性丰富，生态环境良好，景色迷人，具有重要的保护价值、科研价值和旅游价值。区内有野生维管植物</w:t>
      </w:r>
      <w:r>
        <w:t>17</w:t>
      </w:r>
      <w:r>
        <w:rPr>
          <w:rFonts w:hint="eastAsia"/>
          <w:lang w:val="en-US" w:eastAsia="zh-CN"/>
        </w:rPr>
        <w:t>1</w:t>
      </w:r>
      <w:r>
        <w:t>科571属1029种，野生陆生、水生、两栖动物48目166科357属574种；公园周边的罗汉岩是一处发</w:t>
      </w:r>
      <w:r>
        <w:rPr>
          <w:rFonts w:hint="eastAsia"/>
        </w:rPr>
        <w:t>育典型的丹霞地貌，丹霞地貌与水域环境相得益彰，是广东唯一的水映丹霞景区。良好的湿地资源以及独特的水映丹霞景观使得公园享有“百岛湖”和“粤北第一库”之称。</w:t>
      </w:r>
    </w:p>
    <w:p w14:paraId="2DEB8954">
      <w:pPr>
        <w:pStyle w:val="4"/>
        <w:bidi w:val="0"/>
        <w:rPr>
          <w:rFonts w:hint="eastAsia"/>
        </w:rPr>
      </w:pPr>
      <w:r>
        <w:rPr>
          <w:rFonts w:hint="eastAsia"/>
        </w:rPr>
        <w:t>【主要任务】</w:t>
      </w:r>
    </w:p>
    <w:p w14:paraId="2DE70072">
      <w:pPr>
        <w:rPr>
          <w:rFonts w:hint="eastAsia"/>
        </w:rPr>
      </w:pPr>
      <w:r>
        <w:rPr>
          <w:rFonts w:hint="eastAsia"/>
        </w:rPr>
        <w:t>（一）宣传和贯彻执行国家、省、市有关湿地保护与管理的法律法规和方针政策</w:t>
      </w:r>
      <w:r>
        <w:rPr>
          <w:rFonts w:hint="eastAsia"/>
          <w:lang w:eastAsia="zh-CN"/>
        </w:rPr>
        <w:t>；</w:t>
      </w:r>
      <w:r>
        <w:rPr>
          <w:rFonts w:hint="eastAsia"/>
        </w:rPr>
        <w:t>（二）结合实际，研究编制辖区内的具体生态保护及管理与建设规划，并负责组织实施；（三）负责辖区内各项保护和管理工作，建立健全自然资源保护的各项规章制度，不断完善湿地保护管理体系，科学修复、合理利用湿地资源，充分发挥湿地的多种效益和功能，促进湿地公园规范健康发展；（四）负责对辖区内的湿地保护、开发建设、项目立项、宣传科教、治安保卫以及市场营销、旅游开发、环境卫生、社区发展等事务实行统一领导和管理，适时开展湿地恢复、物种保护和湿地植被演替控制技术等生态科学研究工作；（五）调</w:t>
      </w:r>
      <w:r>
        <w:rPr>
          <w:rFonts w:hint="eastAsia"/>
          <w:lang w:eastAsia="zh-CN"/>
        </w:rPr>
        <w:t>查</w:t>
      </w:r>
      <w:r>
        <w:rPr>
          <w:rFonts w:hint="eastAsia"/>
        </w:rPr>
        <w:t>孔江国家湿地公园的自然资源并建立档案，保护湿地公园内自然环境和自然资源；（六）加强湿地生态监测和园区管理，实现科学经营管理，努力提升湿地保护、恢复和合理利用及科学管理水平。</w:t>
      </w:r>
    </w:p>
    <w:p w14:paraId="0C56B918">
      <w:pPr>
        <w:pStyle w:val="4"/>
        <w:bidi w:val="0"/>
        <w:rPr>
          <w:rFonts w:hint="eastAsia"/>
        </w:rPr>
      </w:pPr>
      <w:r>
        <w:rPr>
          <w:rFonts w:hint="eastAsia"/>
        </w:rPr>
        <w:t>【湿地保护】</w:t>
      </w:r>
    </w:p>
    <w:p w14:paraId="696593B5">
      <w:pPr>
        <w:rPr>
          <w:rFonts w:hint="eastAsia"/>
        </w:rPr>
      </w:pPr>
      <w:r>
        <w:rPr>
          <w:rFonts w:hint="eastAsia"/>
        </w:rPr>
        <w:t>在加强对湿地公园巡护工作的同时，组织管理处干部职工进入社区，通过张贴标语和跟社区村民讲解湿地知识、森林防火知识和湿地保护相关法律法规方式做好湿地保护宣传工作，并与市相关执法部门、森林公安派出所、乌迳和界址镇的执法队伍的沟通协作，共同开展湿地管护和执法工作。</w:t>
      </w:r>
      <w:r>
        <w:t>2013年在湿地公园内未发生违法采脂、乱砍滥</w:t>
      </w:r>
      <w:r>
        <w:rPr>
          <w:rFonts w:hint="eastAsia"/>
        </w:rPr>
        <w:t>伐、违规野外用火、乱捕滥猎、围垦湿地等行为。</w:t>
      </w:r>
    </w:p>
    <w:p w14:paraId="4FDE4FAF">
      <w:pPr>
        <w:pStyle w:val="4"/>
        <w:bidi w:val="0"/>
        <w:rPr>
          <w:rFonts w:hint="eastAsia"/>
        </w:rPr>
      </w:pPr>
      <w:r>
        <w:rPr>
          <w:rFonts w:hint="eastAsia"/>
        </w:rPr>
        <w:t>【湿地科普宣教】</w:t>
      </w:r>
    </w:p>
    <w:p w14:paraId="3D7BB5F7">
      <w:pPr>
        <w:rPr>
          <w:rFonts w:hint="eastAsia"/>
        </w:rPr>
      </w:pPr>
      <w:r>
        <w:rPr>
          <w:rFonts w:hint="eastAsia"/>
        </w:rPr>
        <w:t>一是利用</w:t>
      </w:r>
      <w:r>
        <w:t>2月2日“世界湿地</w:t>
      </w:r>
      <w:r>
        <w:rPr>
          <w:rFonts w:hint="eastAsia"/>
        </w:rPr>
        <w:t>日”、</w:t>
      </w:r>
      <w:r>
        <w:t>3月“爱鸟月”和11月“野生动植物保护</w:t>
      </w:r>
      <w:r>
        <w:rPr>
          <w:rFonts w:hint="eastAsia"/>
        </w:rPr>
        <w:t>月”，结合实施湿地保护与恢复项目，组织开展形式多样的专题</w:t>
      </w:r>
      <w:r>
        <w:rPr>
          <w:rFonts w:hint="eastAsia"/>
          <w:lang w:val="en-US" w:eastAsia="zh-CN"/>
        </w:rPr>
        <w:t>宣</w:t>
      </w:r>
      <w:r>
        <w:rPr>
          <w:rFonts w:hint="eastAsia"/>
        </w:rPr>
        <w:t>传活动。二是在湿地公园范围内的鸭子口、焦坑、马园、黄泥塘、罗汉岩</w:t>
      </w:r>
      <w:r>
        <w:t>5个地方修</w:t>
      </w:r>
      <w:r>
        <w:rPr>
          <w:rFonts w:hint="eastAsia"/>
        </w:rPr>
        <w:t>建用中英文标注湿地公园名称、位置、范围、管理机构和主要保护对象等文字的界碑</w:t>
      </w:r>
      <w:r>
        <w:t>5座，引导公众</w:t>
      </w:r>
      <w:r>
        <w:rPr>
          <w:rFonts w:hint="eastAsia"/>
        </w:rPr>
        <w:t>熟知湿地公园并展示湿地公园的风貌，普及湿地生态保护知识。三是联合周边社区开展“凝聚青春正能量”为主题的青少年湿地公园野外拓展训练活动，以提高青少年的湿地保护意识，不断提高青少年一代对湿地建设保护重要性的认识，让他们更多的了解湿地知识，支持参与湿地保护工作。管理处与南雄市气象局合作，在水库大坝安装一套实时气象监测设备，与韶关市水文局合作，在湿地公园内设立水文监测点，全天候监测湿地公园内的温度、雨量、风向、风速、水质等，随时掌握上述指标的变化，建立各类监测数据库，初步形成孔江湿地监测体系，并根据变化制定相应的应对保护措施。</w:t>
      </w:r>
    </w:p>
    <w:p w14:paraId="3EFC0025">
      <w:pPr>
        <w:pStyle w:val="4"/>
        <w:bidi w:val="0"/>
        <w:rPr>
          <w:rFonts w:hint="eastAsia"/>
        </w:rPr>
      </w:pPr>
      <w:r>
        <w:rPr>
          <w:rFonts w:hint="eastAsia"/>
        </w:rPr>
        <w:t>【湿地公园基础建设】</w:t>
      </w:r>
    </w:p>
    <w:p w14:paraId="4E7DB7C4">
      <w:pPr>
        <w:rPr>
          <w:rFonts w:hint="eastAsia"/>
        </w:rPr>
      </w:pPr>
      <w:r>
        <w:rPr>
          <w:rFonts w:hint="eastAsia"/>
        </w:rPr>
        <w:t>现已投资</w:t>
      </w:r>
      <w:r>
        <w:t>100多万元，完</w:t>
      </w:r>
      <w:r>
        <w:rPr>
          <w:rFonts w:hint="eastAsia"/>
        </w:rPr>
        <w:t>善管理处办公大楼，完成</w:t>
      </w:r>
      <w:r>
        <w:t>5块界碑和76个界桩的</w:t>
      </w:r>
      <w:r>
        <w:rPr>
          <w:rFonts w:hint="eastAsia"/>
        </w:rPr>
        <w:t>工程建设工作，购置巡护车和巡护快艇等巡护工具，购置望远镜、鸟类救护设备和水文水质气象监测设备，购置一批宣教设备，完善部分办公设施等基础设施建设，初步完成湿地公园的野外巡护系统、宣教系统、科研监测系统和管理系统四项能力建设工程。</w:t>
      </w:r>
    </w:p>
    <w:p w14:paraId="5CD695DB">
      <w:pPr>
        <w:pStyle w:val="4"/>
        <w:bidi w:val="0"/>
        <w:rPr>
          <w:rFonts w:hint="eastAsia"/>
        </w:rPr>
      </w:pPr>
      <w:r>
        <w:rPr>
          <w:rFonts w:hint="eastAsia"/>
        </w:rPr>
        <w:t>【湿地生态修复】</w:t>
      </w:r>
    </w:p>
    <w:p w14:paraId="3C32A26B">
      <w:r>
        <w:rPr>
          <w:rFonts w:hint="eastAsia"/>
        </w:rPr>
        <w:t>取得</w:t>
      </w:r>
      <w:r>
        <w:t>2014年度碳汇工程造林项</w:t>
      </w:r>
      <w:r>
        <w:rPr>
          <w:rFonts w:hint="eastAsia"/>
        </w:rPr>
        <w:t>目，并已会同市林业局营林部门技术人员到湿地公园实地，对适宜种植落羽杉、樱花、枫树、银杏</w:t>
      </w:r>
      <w:r>
        <w:rPr>
          <w:rFonts w:hint="eastAsia"/>
          <w:lang w:eastAsia="zh-CN"/>
        </w:rPr>
        <w:t>、</w:t>
      </w:r>
      <w:r>
        <w:rPr>
          <w:rFonts w:hint="eastAsia"/>
        </w:rPr>
        <w:t>荷树等彩色乡土树种的湿地保护功能区小岛进行造林规划，规划面积达</w:t>
      </w:r>
      <w:r>
        <w:t>2200多亩，该项目的种植环</w:t>
      </w:r>
      <w:r>
        <w:rPr>
          <w:rFonts w:hint="eastAsia"/>
        </w:rPr>
        <w:t>节可在</w:t>
      </w:r>
      <w:r>
        <w:t>2014年3月底前全面完成。</w:t>
      </w:r>
    </w:p>
    <w:p w14:paraId="55D53C87">
      <w:pPr>
        <w:pStyle w:val="4"/>
        <w:bidi w:val="0"/>
        <w:rPr>
          <w:rFonts w:hint="eastAsia"/>
        </w:rPr>
      </w:pPr>
      <w:r>
        <w:rPr>
          <w:rFonts w:hint="eastAsia"/>
        </w:rPr>
        <w:t>【广筹资金】</w:t>
      </w:r>
    </w:p>
    <w:p w14:paraId="6EB63AB6">
      <w:pPr>
        <w:rPr>
          <w:rFonts w:hint="eastAsia"/>
        </w:rPr>
      </w:pPr>
      <w:r>
        <w:t>2012年至2013年申请到中央、省湿</w:t>
      </w:r>
      <w:r>
        <w:rPr>
          <w:rFonts w:hint="eastAsia"/>
        </w:rPr>
        <w:t>地保护补助资金</w:t>
      </w:r>
      <w:r>
        <w:t>355万元，筹备项目一项，总投资</w:t>
      </w:r>
      <w:r>
        <w:rPr>
          <w:rFonts w:hint="eastAsia"/>
        </w:rPr>
        <w:t>金额为</w:t>
      </w:r>
      <w:r>
        <w:t>1700万元。其中：中央财政680万元，省</w:t>
      </w:r>
      <w:r>
        <w:rPr>
          <w:rFonts w:hint="eastAsia"/>
        </w:rPr>
        <w:t>财政配套</w:t>
      </w:r>
      <w:r>
        <w:t>1020万元，已委托国家林业局中南林业</w:t>
      </w:r>
      <w:r>
        <w:rPr>
          <w:rFonts w:hint="eastAsia"/>
        </w:rPr>
        <w:t>调</w:t>
      </w:r>
      <w:r>
        <w:rPr>
          <w:rFonts w:hint="eastAsia"/>
          <w:lang w:eastAsia="zh-CN"/>
        </w:rPr>
        <w:t>查</w:t>
      </w:r>
      <w:r>
        <w:rPr>
          <w:rFonts w:hint="eastAsia"/>
        </w:rPr>
        <w:t>规划设计院编制申报文本并上报省发改委。</w:t>
      </w:r>
    </w:p>
    <w:p w14:paraId="0E3BD651">
      <w:pPr>
        <w:pStyle w:val="4"/>
        <w:bidi w:val="0"/>
        <w:rPr>
          <w:rFonts w:hint="eastAsia"/>
        </w:rPr>
      </w:pPr>
      <w:r>
        <w:rPr>
          <w:rFonts w:hint="eastAsia"/>
        </w:rPr>
        <w:t>【生态旅游开发】</w:t>
      </w:r>
    </w:p>
    <w:p w14:paraId="25A4B944">
      <w:pPr>
        <w:rPr>
          <w:rFonts w:hint="eastAsia"/>
          <w:lang w:eastAsia="zh-CN"/>
        </w:rPr>
      </w:pPr>
      <w:r>
        <w:rPr>
          <w:rFonts w:hint="eastAsia"/>
        </w:rPr>
        <w:t>管理处会同南雄市旅游局一道，对湿地公园生态旅游资源做了初步摸底调</w:t>
      </w:r>
      <w:r>
        <w:rPr>
          <w:rFonts w:hint="eastAsia"/>
          <w:lang w:eastAsia="zh-CN"/>
        </w:rPr>
        <w:t>查</w:t>
      </w:r>
      <w:r>
        <w:rPr>
          <w:rFonts w:hint="eastAsia"/>
        </w:rPr>
        <w:t>，并促成广州岭南国际企业集团有限公司、北京爱心集团等公司对湿地公园生态旅游项目的合理开发利用进行实地考察和</w:t>
      </w:r>
      <w:r>
        <w:rPr>
          <w:rFonts w:hint="eastAsia"/>
          <w:lang w:eastAsia="zh-CN"/>
        </w:rPr>
        <w:t>洽</w:t>
      </w:r>
      <w:r>
        <w:rPr>
          <w:rFonts w:hint="eastAsia"/>
        </w:rPr>
        <w:t>谈</w:t>
      </w:r>
      <w:r>
        <w:rPr>
          <w:rFonts w:hint="eastAsia"/>
          <w:lang w:eastAsia="zh-CN"/>
        </w:rPr>
        <w:t>。</w:t>
      </w:r>
    </w:p>
    <w:p w14:paraId="1E319534">
      <w:pPr>
        <w:jc w:val="right"/>
        <w:rPr>
          <w:rFonts w:hint="eastAsia"/>
          <w:b/>
          <w:bCs/>
        </w:rPr>
      </w:pPr>
      <w:r>
        <w:rPr>
          <w:rFonts w:hint="eastAsia"/>
          <w:b/>
          <w:bCs/>
        </w:rPr>
        <w:t>（徐学英）</w:t>
      </w:r>
    </w:p>
    <w:p w14:paraId="0F5434D6">
      <w:pPr>
        <w:pStyle w:val="10"/>
        <w:bidi w:val="0"/>
        <w:rPr>
          <w:rFonts w:hint="eastAsia"/>
          <w:b/>
          <w:bCs/>
        </w:rPr>
      </w:pPr>
      <w:r>
        <w:rPr>
          <w:rFonts w:hint="eastAsia"/>
          <w:b/>
          <w:bCs/>
        </w:rPr>
        <w:t>附</w:t>
      </w:r>
      <w:r>
        <w:rPr>
          <w:rFonts w:hint="eastAsia"/>
          <w:b/>
          <w:bCs/>
          <w:lang w:eastAsia="zh-CN"/>
        </w:rPr>
        <w:t>：</w:t>
      </w:r>
      <w:r>
        <w:rPr>
          <w:b/>
          <w:bCs/>
        </w:rPr>
        <w:t>2013年市孔江国家湿地公园管理处领导班子成</w:t>
      </w:r>
      <w:r>
        <w:rPr>
          <w:rFonts w:hint="eastAsia"/>
          <w:b/>
          <w:bCs/>
        </w:rPr>
        <w:t>员名单</w:t>
      </w:r>
    </w:p>
    <w:p w14:paraId="718912CB">
      <w:pPr>
        <w:pStyle w:val="10"/>
        <w:bidi w:val="0"/>
        <w:rPr>
          <w:rFonts w:hint="eastAsia"/>
        </w:rPr>
      </w:pPr>
      <w:r>
        <w:rPr>
          <w:rFonts w:hint="eastAsia"/>
          <w:b/>
          <w:bCs/>
        </w:rPr>
        <w:t>主</w:t>
      </w:r>
      <w:r>
        <w:rPr>
          <w:rFonts w:hint="eastAsia"/>
          <w:b/>
          <w:bCs/>
          <w:lang w:val="en-US" w:eastAsia="zh-CN"/>
        </w:rPr>
        <w:t xml:space="preserve">  </w:t>
      </w:r>
      <w:r>
        <w:rPr>
          <w:rFonts w:hint="eastAsia"/>
          <w:b/>
          <w:bCs/>
        </w:rPr>
        <w:t>任：</w:t>
      </w:r>
      <w:r>
        <w:rPr>
          <w:rFonts w:hint="eastAsia"/>
        </w:rPr>
        <w:t>何明华</w:t>
      </w:r>
    </w:p>
    <w:p w14:paraId="7289192E">
      <w:pPr>
        <w:pStyle w:val="10"/>
        <w:bidi w:val="0"/>
        <w:rPr>
          <w:rFonts w:hint="eastAsia"/>
        </w:rPr>
      </w:pPr>
      <w:r>
        <w:rPr>
          <w:rFonts w:hint="eastAsia"/>
          <w:b/>
          <w:bCs/>
        </w:rPr>
        <w:t>副主任；</w:t>
      </w:r>
      <w:r>
        <w:rPr>
          <w:rFonts w:hint="eastAsia"/>
          <w:b w:val="0"/>
          <w:bCs w:val="0"/>
        </w:rPr>
        <w:t>雷</w:t>
      </w:r>
      <w:r>
        <w:rPr>
          <w:rFonts w:hint="eastAsia"/>
        </w:rPr>
        <w:t>会雄</w:t>
      </w:r>
    </w:p>
    <w:p w14:paraId="5A122850">
      <w:pPr>
        <w:pStyle w:val="3"/>
        <w:bidi w:val="0"/>
        <w:rPr>
          <w:rFonts w:hint="eastAsia"/>
        </w:rPr>
      </w:pPr>
      <w:r>
        <w:rPr>
          <w:rFonts w:hint="eastAsia"/>
        </w:rPr>
        <w:t>小流坑一青嶂山自然保护区</w:t>
      </w:r>
    </w:p>
    <w:p w14:paraId="6970F986">
      <w:pPr>
        <w:pStyle w:val="4"/>
        <w:bidi w:val="0"/>
        <w:rPr>
          <w:rFonts w:hint="eastAsia"/>
        </w:rPr>
      </w:pPr>
      <w:r>
        <w:rPr>
          <w:rFonts w:hint="eastAsia"/>
        </w:rPr>
        <w:t>【概况】</w:t>
      </w:r>
    </w:p>
    <w:p w14:paraId="340FBBA4">
      <w:r>
        <w:rPr>
          <w:rFonts w:hint="eastAsia"/>
        </w:rPr>
        <w:t>南雄小流坑一青嶂山自然保护区</w:t>
      </w:r>
      <w:r>
        <w:t>2007年11月16日广东省人民政府办公室同意升格为省级</w:t>
      </w:r>
      <w:r>
        <w:rPr>
          <w:rFonts w:hint="eastAsia"/>
        </w:rPr>
        <w:t>自然保护区，面积</w:t>
      </w:r>
      <w:r>
        <w:t>7874公顷，核心区3703.2公顷，</w:t>
      </w:r>
      <w:r>
        <w:rPr>
          <w:rFonts w:hint="eastAsia"/>
        </w:rPr>
        <w:t>缓冲区</w:t>
      </w:r>
      <w:r>
        <w:t>1841.2公顷，实验区2329.6公顷，重点保</w:t>
      </w:r>
      <w:r>
        <w:rPr>
          <w:rFonts w:hint="eastAsia"/>
        </w:rPr>
        <w:t>护对象是亚热带森林生态系统及珍稀动植物资源。</w:t>
      </w:r>
      <w:r>
        <w:t>2007年12月26日经广东省机构编制委员会办公</w:t>
      </w:r>
      <w:r>
        <w:rPr>
          <w:rFonts w:hint="eastAsia"/>
        </w:rPr>
        <w:t>室，批准同意成立广东南雄小流坑一青嶂山省级自然保护区管理处，负责广东南雄小流坑一青嶂山省级自然保护区的具体管护工作，为副处级事业单位，核定事业编</w:t>
      </w:r>
      <w:r>
        <w:t>12名，其中主任1名，副主任1</w:t>
      </w:r>
      <w:r>
        <w:rPr>
          <w:rFonts w:hint="eastAsia"/>
        </w:rPr>
        <w:t>名，人员经费由省财政核拨。</w:t>
      </w:r>
      <w:r>
        <w:t>2009年8月保护区管</w:t>
      </w:r>
      <w:r>
        <w:rPr>
          <w:rFonts w:hint="eastAsia"/>
        </w:rPr>
        <w:t>理机构组建完成，内设机构有综合科、保护管理科、科研宣教科，在职</w:t>
      </w:r>
      <w:r>
        <w:t>7人。</w:t>
      </w:r>
    </w:p>
    <w:p w14:paraId="6A06FCB8">
      <w:pPr>
        <w:pStyle w:val="4"/>
        <w:bidi w:val="0"/>
        <w:rPr>
          <w:rFonts w:hint="eastAsia"/>
        </w:rPr>
      </w:pPr>
      <w:r>
        <w:rPr>
          <w:rFonts w:hint="eastAsia"/>
        </w:rPr>
        <w:t>【森林资源执法】</w:t>
      </w:r>
    </w:p>
    <w:p w14:paraId="58430029">
      <w:pPr>
        <w:rPr>
          <w:rFonts w:hint="eastAsia"/>
        </w:rPr>
      </w:pPr>
      <w:r>
        <w:t>1.自然保护区严格按照“一部</w:t>
      </w:r>
      <w:r>
        <w:rPr>
          <w:rFonts w:hint="eastAsia"/>
        </w:rPr>
        <w:t>手机、一辆摩托车、一本笔记簿、一只红手袖</w:t>
      </w:r>
      <w:r>
        <w:rPr>
          <w:rFonts w:hint="eastAsia"/>
          <w:lang w:eastAsia="zh-CN"/>
        </w:rPr>
        <w:t>、</w:t>
      </w:r>
      <w:r>
        <w:rPr>
          <w:rFonts w:hint="eastAsia"/>
          <w:lang w:val="en-US" w:eastAsia="zh-CN"/>
        </w:rPr>
        <w:t>一</w:t>
      </w:r>
      <w:r>
        <w:rPr>
          <w:rFonts w:hint="eastAsia"/>
        </w:rPr>
        <w:t>张劈刀、一把打火把和一张地形图”的“七个一”要求对护林员进行规范管理，并签《管护协议》。</w:t>
      </w:r>
    </w:p>
    <w:p w14:paraId="5D253049">
      <w:r>
        <w:t>2.联合林业局执法大队、森林公安分局，继续</w:t>
      </w:r>
      <w:r>
        <w:rPr>
          <w:rFonts w:hint="eastAsia"/>
        </w:rPr>
        <w:t>深入开展“三项整治”和“三打两建”的森林资源保护专项行动。</w:t>
      </w:r>
      <w:r>
        <w:t>2013年保护区</w:t>
      </w:r>
      <w:r>
        <w:rPr>
          <w:rFonts w:hint="eastAsia"/>
          <w:lang w:eastAsia="zh-CN"/>
        </w:rPr>
        <w:t>查</w:t>
      </w:r>
      <w:r>
        <w:t>处林业违法案件2宗，依法处理林业违法人员2人。</w:t>
      </w:r>
    </w:p>
    <w:p w14:paraId="76AAEBB6">
      <w:pPr>
        <w:rPr>
          <w:rFonts w:hint="eastAsia"/>
        </w:rPr>
      </w:pPr>
      <w:r>
        <w:t>3.根据《广东省林业厅关于开展自然保护区</w:t>
      </w:r>
      <w:r>
        <w:rPr>
          <w:rFonts w:hint="eastAsia"/>
        </w:rPr>
        <w:t>有效管理评价工作的通知》（粤林</w:t>
      </w:r>
      <w:r>
        <w:rPr>
          <w:rFonts w:hint="eastAsia"/>
          <w:lang w:val="en-US" w:eastAsia="zh-CN"/>
        </w:rPr>
        <w:t>[</w:t>
      </w:r>
      <w:r>
        <w:t>2013]213号）</w:t>
      </w:r>
      <w:r>
        <w:rPr>
          <w:rFonts w:hint="eastAsia"/>
        </w:rPr>
        <w:t>要求，</w:t>
      </w:r>
      <w:r>
        <w:t>2013年9月25日省广东林业厅组成专家组，</w:t>
      </w:r>
      <w:r>
        <w:rPr>
          <w:rFonts w:hint="eastAsia"/>
        </w:rPr>
        <w:t>对自然保护区有效管理情况进行现场考察评价。</w:t>
      </w:r>
      <w:r>
        <w:t>2013年12月19日《关于通报自然保护区有效管理</w:t>
      </w:r>
      <w:r>
        <w:rPr>
          <w:rFonts w:hint="eastAsia"/>
        </w:rPr>
        <w:t>评价情况的函》（粤林办函</w:t>
      </w:r>
      <w:r>
        <w:rPr>
          <w:rFonts w:hint="eastAsia"/>
          <w:lang w:val="en-US" w:eastAsia="zh-CN"/>
        </w:rPr>
        <w:t>[</w:t>
      </w:r>
      <w:r>
        <w:t>2013]201号）报告</w:t>
      </w:r>
      <w:r>
        <w:rPr>
          <w:rFonts w:hint="eastAsia"/>
        </w:rPr>
        <w:t>中，南雄小流坑一青嶂山自然保护区有效管理水平评为优，考评成绩在全省</w:t>
      </w:r>
      <w:r>
        <w:t>58个国家、省级自然保</w:t>
      </w:r>
      <w:r>
        <w:rPr>
          <w:rFonts w:hint="eastAsia"/>
        </w:rPr>
        <w:t>护区中排列第三名。</w:t>
      </w:r>
    </w:p>
    <w:p w14:paraId="1012B402">
      <w:pPr>
        <w:pStyle w:val="4"/>
        <w:bidi w:val="0"/>
        <w:rPr>
          <w:rFonts w:hint="eastAsia"/>
        </w:rPr>
      </w:pPr>
      <w:r>
        <w:rPr>
          <w:rFonts w:hint="eastAsia"/>
        </w:rPr>
        <w:t>【森林防火】</w:t>
      </w:r>
    </w:p>
    <w:p w14:paraId="10D4BE04">
      <w:pPr>
        <w:rPr>
          <w:rFonts w:hint="eastAsia"/>
        </w:rPr>
      </w:pPr>
      <w:r>
        <w:rPr>
          <w:rFonts w:hint="eastAsia"/>
        </w:rPr>
        <w:t>健全护林防火管理制度，落实森林防火目标责任制，加强护林防火宣传，把防火责任分解细化到干部和护林员，实行防火期间</w:t>
      </w:r>
      <w:r>
        <w:t>24小时</w:t>
      </w:r>
      <w:r>
        <w:rPr>
          <w:rFonts w:hint="eastAsia"/>
        </w:rPr>
        <w:t>值班制、领导带班制和零报告制，在交通路口设哨卡控制火源管理，对进出车辆和人群进行登记，加大护林防火巡</w:t>
      </w:r>
      <w:r>
        <w:rPr>
          <w:rFonts w:hint="eastAsia"/>
          <w:lang w:eastAsia="zh-CN"/>
        </w:rPr>
        <w:t>查</w:t>
      </w:r>
      <w:r>
        <w:rPr>
          <w:rFonts w:hint="eastAsia"/>
        </w:rPr>
        <w:t>力度，开展火灾隐患排</w:t>
      </w:r>
      <w:r>
        <w:rPr>
          <w:rFonts w:hint="eastAsia"/>
          <w:lang w:eastAsia="zh-CN"/>
        </w:rPr>
        <w:t>查</w:t>
      </w:r>
      <w:r>
        <w:rPr>
          <w:rFonts w:hint="eastAsia"/>
        </w:rPr>
        <w:t>活，添置三台风力扑火机及</w:t>
      </w:r>
      <w:r>
        <w:t>100多把打火把，充实扑火救灾</w:t>
      </w:r>
      <w:r>
        <w:rPr>
          <w:rFonts w:hint="eastAsia"/>
        </w:rPr>
        <w:t>物质储备，完善森林火灾扑救应急预案。</w:t>
      </w:r>
    </w:p>
    <w:p w14:paraId="6D617398">
      <w:pPr>
        <w:pStyle w:val="4"/>
        <w:bidi w:val="0"/>
        <w:rPr>
          <w:rFonts w:hint="eastAsia"/>
        </w:rPr>
      </w:pPr>
      <w:r>
        <w:rPr>
          <w:rFonts w:hint="eastAsia"/>
        </w:rPr>
        <w:t>【科研项目】</w:t>
      </w:r>
    </w:p>
    <w:p w14:paraId="4220B802">
      <w:pPr>
        <w:rPr>
          <w:rFonts w:hint="eastAsia"/>
        </w:rPr>
      </w:pPr>
      <w:r>
        <w:t>1.根据省林业厅《自然保护区宣教</w:t>
      </w:r>
      <w:r>
        <w:rPr>
          <w:rFonts w:hint="eastAsia"/>
        </w:rPr>
        <w:t>体系建设指导性意见》精神，广东南雄小流坑一青幛山省级自然保护区管理处编制</w:t>
      </w:r>
      <w:r>
        <w:t>2013年科研宣教</w:t>
      </w:r>
      <w:r>
        <w:rPr>
          <w:rFonts w:hint="eastAsia"/>
        </w:rPr>
        <w:t>项目建设方案，完成</w:t>
      </w:r>
      <w:r>
        <w:t>60万元的标本室宣教室和30</w:t>
      </w:r>
      <w:r>
        <w:rPr>
          <w:rFonts w:hint="eastAsia"/>
        </w:rPr>
        <w:t>万元的植物园项目建设工程，建设南雄第一所林业科普教育基地和生态文化传播基地。</w:t>
      </w:r>
    </w:p>
    <w:p w14:paraId="56E835C2">
      <w:pPr>
        <w:rPr>
          <w:rFonts w:hint="eastAsia"/>
        </w:rPr>
      </w:pPr>
      <w:r>
        <w:t>2.2013年自然保护区对已发现的国家Ⅱ级保护</w:t>
      </w:r>
      <w:r>
        <w:rPr>
          <w:rFonts w:hint="eastAsia"/>
        </w:rPr>
        <w:t>动物海南虎斑鳽的孵卵、育雏、生活习性等新一轮繁殖生育过程进行观测和研究。以海南虎斑鳽的巢为目标，采用目标定位法，</w:t>
      </w:r>
      <w:r>
        <w:t>3月至4月在巢旁安装</w:t>
      </w:r>
      <w:r>
        <w:rPr>
          <w:rFonts w:hint="eastAsia"/>
        </w:rPr>
        <w:t>无线星光摄影机，全天候不间断地观察海南虎斑鳽的孵卵、育雏行为，</w:t>
      </w:r>
      <w:r>
        <w:t>4月至7月定时远距离观察海</w:t>
      </w:r>
      <w:r>
        <w:rPr>
          <w:rFonts w:hint="eastAsia"/>
        </w:rPr>
        <w:t>南虎斑鳽的各种行为，了解亲鸟的外出、归巢频次、育雏次数和幼鸟学习飞翔能力等。调</w:t>
      </w:r>
      <w:r>
        <w:rPr>
          <w:rFonts w:hint="eastAsia"/>
          <w:lang w:eastAsia="zh-CN"/>
        </w:rPr>
        <w:t>查</w:t>
      </w:r>
      <w:r>
        <w:rPr>
          <w:rFonts w:hint="eastAsia"/>
        </w:rPr>
        <w:t>结果表明，海南虎斑鳽一年繁殖一次，开始于</w:t>
      </w:r>
      <w:r>
        <w:t>3月初，至7月中上旬结</w:t>
      </w:r>
      <w:r>
        <w:rPr>
          <w:rFonts w:hint="eastAsia"/>
          <w:lang w:val="en-US" w:eastAsia="zh-CN"/>
        </w:rPr>
        <w:t>束</w:t>
      </w:r>
      <w:r>
        <w:t>，育雏期间受到干扰后会杀仔、弃</w:t>
      </w:r>
      <w:r>
        <w:rPr>
          <w:rFonts w:hint="eastAsia"/>
        </w:rPr>
        <w:t>巢，如果条件合适，时隔半个月后又进行第二次繁殖。每巢产卵</w:t>
      </w:r>
      <w:r>
        <w:t>1-3枚，雌雄双亲轮流孵卵，雄鸟</w:t>
      </w:r>
      <w:r>
        <w:rPr>
          <w:rFonts w:hint="eastAsia"/>
        </w:rPr>
        <w:t>抱孵时间约占</w:t>
      </w:r>
      <w:r>
        <w:t>1/3，雌鸟占2/3。孵卵期27d，育雏</w:t>
      </w:r>
      <w:r>
        <w:rPr>
          <w:rFonts w:hint="eastAsia"/>
        </w:rPr>
        <w:t>期</w:t>
      </w:r>
      <w:r>
        <w:t>67d，繁殖期超过3个月。幼鸟离巢后会在巢区</w:t>
      </w:r>
      <w:r>
        <w:rPr>
          <w:rFonts w:hint="eastAsia"/>
        </w:rPr>
        <w:t>附近逗留一段时间，但不跟随亲鸟一块栖息和外出觅食。繁殖期间海南虎斑鳽对移动光源比较敏感</w:t>
      </w:r>
      <w:r>
        <w:rPr>
          <w:rFonts w:hint="eastAsia"/>
          <w:lang w:eastAsia="zh-CN"/>
        </w:rPr>
        <w:t>，</w:t>
      </w:r>
      <w:r>
        <w:rPr>
          <w:rFonts w:hint="eastAsia"/>
        </w:rPr>
        <w:t>恋巢性较差。繁殖期过长、抗干扰能力低、幼鸟学习能力差等因素是影响海南虎斑鳽繁殖成功率的主要原因。</w:t>
      </w:r>
    </w:p>
    <w:p w14:paraId="25BD2937">
      <w:pPr>
        <w:pStyle w:val="4"/>
        <w:bidi w:val="0"/>
        <w:rPr>
          <w:rFonts w:hint="eastAsia"/>
        </w:rPr>
      </w:pPr>
      <w:r>
        <w:rPr>
          <w:rFonts w:hint="eastAsia"/>
        </w:rPr>
        <w:t>【</w:t>
      </w:r>
      <w:r>
        <w:rPr>
          <w:rFonts w:hint="eastAsia"/>
          <w:lang w:val="en-US" w:eastAsia="zh-CN"/>
        </w:rPr>
        <w:t>宣</w:t>
      </w:r>
      <w:r>
        <w:rPr>
          <w:rFonts w:hint="eastAsia"/>
        </w:rPr>
        <w:t>传教育】</w:t>
      </w:r>
    </w:p>
    <w:p w14:paraId="36BBA833">
      <w:pPr>
        <w:rPr>
          <w:rFonts w:hint="eastAsia"/>
        </w:rPr>
      </w:pPr>
      <w:r>
        <w:t>2013年5月管理处联合市委宣传</w:t>
      </w:r>
      <w:r>
        <w:rPr>
          <w:rFonts w:hint="eastAsia"/>
        </w:rPr>
        <w:t>部、市文明办、市林业局共同举办“美丽广东，我们在行动—南雄市生态文明摄影大赛”。摄影大赛共征集参赛作品</w:t>
      </w:r>
      <w:r>
        <w:t>486幅，</w:t>
      </w:r>
      <w:r>
        <w:rPr>
          <w:rFonts w:hint="eastAsia"/>
          <w:lang w:val="en-US" w:eastAsia="zh-CN"/>
        </w:rPr>
        <w:t>入</w:t>
      </w:r>
      <w:r>
        <w:t>围作品99件，其中</w:t>
      </w:r>
      <w:r>
        <w:rPr>
          <w:rFonts w:hint="eastAsia"/>
          <w:lang w:val="en-US" w:eastAsia="zh-CN"/>
        </w:rPr>
        <w:t>一、二、</w:t>
      </w:r>
      <w:r>
        <w:rPr>
          <w:rFonts w:hint="eastAsia"/>
        </w:rPr>
        <w:t>三等奖和优秀奖作品</w:t>
      </w:r>
      <w:r>
        <w:t>27幅。还专门从参</w:t>
      </w:r>
      <w:r>
        <w:rPr>
          <w:rFonts w:hint="eastAsia"/>
        </w:rPr>
        <w:t>赛作品中挑选出近</w:t>
      </w:r>
      <w:r>
        <w:t>200幅优秀作品辑录出版.“南</w:t>
      </w:r>
      <w:r>
        <w:rPr>
          <w:rFonts w:hint="eastAsia"/>
        </w:rPr>
        <w:t>雄市生态文明摄影大赛”专集，赠送给本次大赛获奖者、中小学校和有关单位。</w:t>
      </w:r>
    </w:p>
    <w:p w14:paraId="310066B8">
      <w:pPr>
        <w:pStyle w:val="4"/>
        <w:bidi w:val="0"/>
        <w:rPr>
          <w:rFonts w:hint="eastAsia"/>
        </w:rPr>
      </w:pPr>
      <w:r>
        <w:rPr>
          <w:rFonts w:hint="eastAsia"/>
        </w:rPr>
        <w:t>【教育培训】</w:t>
      </w:r>
    </w:p>
    <w:p w14:paraId="43036700">
      <w:pPr>
        <w:rPr>
          <w:rFonts w:hint="eastAsia"/>
        </w:rPr>
      </w:pPr>
      <w:r>
        <w:t>2013年8月组织全体干部职工参加</w:t>
      </w:r>
      <w:r>
        <w:rPr>
          <w:rFonts w:hint="eastAsia"/>
        </w:rPr>
        <w:t>南雄林业局举办的《森林资源培育》、《森林资源调</w:t>
      </w:r>
      <w:r>
        <w:rPr>
          <w:rFonts w:hint="eastAsia"/>
          <w:lang w:eastAsia="zh-CN"/>
        </w:rPr>
        <w:t>查</w:t>
      </w:r>
      <w:r>
        <w:rPr>
          <w:rFonts w:hint="eastAsia"/>
        </w:rPr>
        <w:t>》、《测树学及采伐调</w:t>
      </w:r>
      <w:r>
        <w:rPr>
          <w:rFonts w:hint="eastAsia"/>
          <w:lang w:eastAsia="zh-CN"/>
        </w:rPr>
        <w:t>查</w:t>
      </w:r>
      <w:r>
        <w:rPr>
          <w:rFonts w:hint="eastAsia"/>
        </w:rPr>
        <w:t>》、《森林纠纷调处政策与调处办法》专业技术培训；</w:t>
      </w:r>
      <w:r>
        <w:t>9月组织具有中级职</w:t>
      </w:r>
      <w:r>
        <w:rPr>
          <w:rFonts w:hint="eastAsia"/>
        </w:rPr>
        <w:t>称以上的专业技术人员参加省林业厅举办的《林下经济》、《数字林业的关键技术及应用》、《弹性思维在湿地管理中的应用》专业技术继续再教育；</w:t>
      </w:r>
      <w:r>
        <w:t>10</w:t>
      </w:r>
      <w:r>
        <w:rPr>
          <w:rFonts w:hint="eastAsia"/>
        </w:rPr>
        <w:t>月业务骨干参加国家林业局举办的《自然保护区可持续发展与生态旅游》培训班学习。</w:t>
      </w:r>
    </w:p>
    <w:p w14:paraId="1476D7EA">
      <w:pPr>
        <w:pStyle w:val="4"/>
        <w:bidi w:val="0"/>
        <w:rPr>
          <w:rFonts w:hint="eastAsia"/>
        </w:rPr>
      </w:pPr>
      <w:r>
        <w:rPr>
          <w:rFonts w:hint="eastAsia"/>
        </w:rPr>
        <w:t>【野生动物保护】</w:t>
      </w:r>
    </w:p>
    <w:p w14:paraId="4F46F23F">
      <w:pPr>
        <w:rPr>
          <w:rFonts w:hint="eastAsia"/>
        </w:rPr>
      </w:pPr>
      <w:r>
        <w:t>2013年，自然保护区内江头长</w:t>
      </w:r>
      <w:r>
        <w:rPr>
          <w:rFonts w:hint="eastAsia"/>
        </w:rPr>
        <w:t>尾、主田梁水洞，出现国家二级保护动物水鹿损害村民水稻的现象。管理处及时采取宣传教育、禁止捕杀的野生动物资源保护措施，安排</w:t>
      </w:r>
      <w:r>
        <w:t>2多万元资金</w:t>
      </w:r>
      <w:r>
        <w:rPr>
          <w:rFonts w:hint="eastAsia"/>
        </w:rPr>
        <w:t>用于重点保护野生动物水鹿对农作物造成损害的损失性补偿</w:t>
      </w:r>
    </w:p>
    <w:p w14:paraId="13FDBC91">
      <w:pPr>
        <w:pStyle w:val="4"/>
        <w:bidi w:val="0"/>
        <w:rPr>
          <w:rFonts w:hint="eastAsia"/>
        </w:rPr>
      </w:pPr>
      <w:r>
        <w:rPr>
          <w:rFonts w:hint="eastAsia"/>
        </w:rPr>
        <w:t>【社区共管】</w:t>
      </w:r>
    </w:p>
    <w:p w14:paraId="0C99BA8A">
      <w:r>
        <w:t>2013年自然保护区与小竹、下坪</w:t>
      </w:r>
      <w:r>
        <w:rPr>
          <w:rFonts w:hint="eastAsia"/>
          <w:lang w:eastAsia="zh-CN"/>
        </w:rPr>
        <w:t>、</w:t>
      </w:r>
      <w:r>
        <w:rPr>
          <w:rFonts w:hint="eastAsia"/>
        </w:rPr>
        <w:t>大坝、高峰、窑合等村委会签订自然资源共管协议，相应成立</w:t>
      </w:r>
      <w:r>
        <w:t>5个社区共管委员会，扶持社区共管</w:t>
      </w:r>
      <w:r>
        <w:rPr>
          <w:rFonts w:hint="eastAsia"/>
        </w:rPr>
        <w:t>委员会</w:t>
      </w:r>
      <w:r>
        <w:t>5万元。</w:t>
      </w:r>
    </w:p>
    <w:p w14:paraId="7508ACFD">
      <w:pPr>
        <w:jc w:val="right"/>
        <w:rPr>
          <w:rFonts w:hint="eastAsia"/>
          <w:b/>
          <w:bCs/>
        </w:rPr>
      </w:pPr>
      <w:r>
        <w:rPr>
          <w:rFonts w:hint="eastAsia"/>
          <w:b/>
          <w:bCs/>
        </w:rPr>
        <w:t>（郭绪兵）</w:t>
      </w:r>
    </w:p>
    <w:p w14:paraId="4D0036F5">
      <w:pPr>
        <w:pStyle w:val="10"/>
        <w:bidi w:val="0"/>
        <w:rPr>
          <w:rFonts w:hint="eastAsia"/>
          <w:b/>
          <w:bCs/>
        </w:rPr>
      </w:pPr>
      <w:r>
        <w:rPr>
          <w:rFonts w:hint="eastAsia"/>
          <w:b/>
          <w:bCs/>
        </w:rPr>
        <w:t>附</w:t>
      </w:r>
      <w:r>
        <w:rPr>
          <w:rFonts w:hint="eastAsia"/>
          <w:b/>
          <w:bCs/>
          <w:lang w:eastAsia="zh-CN"/>
        </w:rPr>
        <w:t>：</w:t>
      </w:r>
      <w:r>
        <w:rPr>
          <w:b/>
          <w:bCs/>
        </w:rPr>
        <w:t>2013年广东南雄小流坑</w:t>
      </w:r>
      <w:r>
        <w:rPr>
          <w:rFonts w:hint="eastAsia"/>
          <w:b/>
          <w:bCs/>
          <w:lang w:eastAsia="zh-CN"/>
        </w:rPr>
        <w:t>—</w:t>
      </w:r>
      <w:r>
        <w:rPr>
          <w:b/>
          <w:bCs/>
        </w:rPr>
        <w:t>青嶂山省级自然保护</w:t>
      </w:r>
      <w:r>
        <w:rPr>
          <w:rFonts w:hint="eastAsia"/>
          <w:b/>
          <w:bCs/>
        </w:rPr>
        <w:t>区管理处领导班子成员名单</w:t>
      </w:r>
    </w:p>
    <w:p w14:paraId="7299FDF3">
      <w:pPr>
        <w:pStyle w:val="10"/>
        <w:bidi w:val="0"/>
        <w:rPr>
          <w:rFonts w:hint="eastAsia"/>
          <w:b/>
          <w:bCs/>
        </w:rPr>
      </w:pPr>
      <w:r>
        <w:rPr>
          <w:rFonts w:hint="eastAsia"/>
          <w:b/>
          <w:bCs/>
        </w:rPr>
        <w:t>主</w:t>
      </w:r>
      <w:r>
        <w:rPr>
          <w:rFonts w:hint="eastAsia"/>
          <w:b/>
          <w:bCs/>
          <w:lang w:val="en-US" w:eastAsia="zh-CN"/>
        </w:rPr>
        <w:t xml:space="preserve">  </w:t>
      </w:r>
      <w:r>
        <w:rPr>
          <w:rFonts w:hint="eastAsia"/>
          <w:b/>
          <w:bCs/>
        </w:rPr>
        <w:t>任</w:t>
      </w:r>
      <w:r>
        <w:rPr>
          <w:rFonts w:hint="eastAsia"/>
          <w:b w:val="0"/>
          <w:bCs w:val="0"/>
        </w:rPr>
        <w:t>：张英宏</w:t>
      </w:r>
    </w:p>
    <w:p w14:paraId="507E2BB4">
      <w:pPr>
        <w:pStyle w:val="10"/>
        <w:bidi w:val="0"/>
        <w:rPr>
          <w:rFonts w:hint="eastAsia"/>
          <w:b/>
          <w:bCs/>
        </w:rPr>
      </w:pPr>
      <w:r>
        <w:rPr>
          <w:rFonts w:hint="eastAsia"/>
          <w:b/>
          <w:bCs/>
        </w:rPr>
        <w:t>副主任</w:t>
      </w:r>
      <w:r>
        <w:rPr>
          <w:rFonts w:hint="eastAsia"/>
          <w:b w:val="0"/>
          <w:bCs w:val="0"/>
        </w:rPr>
        <w:t>：胡</w:t>
      </w:r>
      <w:r>
        <w:rPr>
          <w:rFonts w:hint="eastAsia"/>
          <w:b w:val="0"/>
          <w:bCs w:val="0"/>
          <w:lang w:val="en-US" w:eastAsia="zh-CN"/>
        </w:rPr>
        <w:t xml:space="preserve">  </w:t>
      </w:r>
      <w:r>
        <w:rPr>
          <w:rFonts w:hint="eastAsia"/>
          <w:b w:val="0"/>
          <w:bCs w:val="0"/>
        </w:rPr>
        <w:t>辉</w:t>
      </w:r>
    </w:p>
    <w:p w14:paraId="3D040858">
      <w:pPr>
        <w:pStyle w:val="3"/>
        <w:bidi w:val="0"/>
        <w:rPr>
          <w:rFonts w:hint="eastAsia"/>
        </w:rPr>
      </w:pPr>
      <w:r>
        <w:rPr>
          <w:rFonts w:hint="eastAsia"/>
        </w:rPr>
        <w:t>恐龙化石群省级自然保护区</w:t>
      </w:r>
    </w:p>
    <w:p w14:paraId="1247C9F4">
      <w:pPr>
        <w:pStyle w:val="4"/>
        <w:bidi w:val="0"/>
        <w:rPr>
          <w:rFonts w:hint="eastAsia"/>
        </w:rPr>
      </w:pPr>
      <w:r>
        <w:rPr>
          <w:rFonts w:hint="eastAsia"/>
        </w:rPr>
        <w:t>【概况】</w:t>
      </w:r>
    </w:p>
    <w:p w14:paraId="40AFF30A">
      <w:pPr>
        <w:rPr>
          <w:rFonts w:hint="eastAsia"/>
        </w:rPr>
      </w:pPr>
      <w:r>
        <w:rPr>
          <w:rFonts w:hint="eastAsia"/>
        </w:rPr>
        <w:t>广东南雄恐龙化石群省级自然保护区</w:t>
      </w:r>
      <w:r>
        <w:t>2005年5月26日经广东</w:t>
      </w:r>
      <w:r>
        <w:rPr>
          <w:rFonts w:hint="eastAsia"/>
          <w:lang w:val="en-US" w:eastAsia="zh-CN"/>
        </w:rPr>
        <w:t>省</w:t>
      </w:r>
      <w:r>
        <w:t>人民政府批复升格为省级</w:t>
      </w:r>
      <w:r>
        <w:rPr>
          <w:rFonts w:hint="eastAsia"/>
        </w:rPr>
        <w:t>自然保护区，</w:t>
      </w:r>
      <w:r>
        <w:t>2007年12月28日经编委批准同意成</w:t>
      </w:r>
      <w:r>
        <w:rPr>
          <w:rFonts w:hint="eastAsia"/>
        </w:rPr>
        <w:t>立广东南雄恐龙化石群省级自然保护区管理处，副处级事业单位，核定事业编</w:t>
      </w:r>
      <w:r>
        <w:t>7名，人员经费由省财</w:t>
      </w:r>
      <w:r>
        <w:rPr>
          <w:rFonts w:hint="eastAsia"/>
        </w:rPr>
        <w:t>政核拨。</w:t>
      </w:r>
      <w:r>
        <w:t>2012年1月1日划归南雄市人民政府直接</w:t>
      </w:r>
      <w:r>
        <w:rPr>
          <w:rFonts w:hint="eastAsia"/>
        </w:rPr>
        <w:t>管理。其主要工作任务是：负责南雄恐龙化石群省级自然保护区的具体管护工作。</w:t>
      </w:r>
    </w:p>
    <w:p w14:paraId="3B1C8805">
      <w:pPr>
        <w:pStyle w:val="4"/>
        <w:bidi w:val="0"/>
        <w:rPr>
          <w:rFonts w:hint="eastAsia"/>
        </w:rPr>
      </w:pPr>
      <w:r>
        <w:rPr>
          <w:rFonts w:hint="eastAsia"/>
        </w:rPr>
        <w:t>【地理位置与面积】</w:t>
      </w:r>
    </w:p>
    <w:p w14:paraId="66DD8EDC">
      <w:pPr>
        <w:rPr>
          <w:rFonts w:hint="eastAsia"/>
          <w:lang w:eastAsia="zh-CN"/>
        </w:rPr>
      </w:pPr>
      <w:r>
        <w:rPr>
          <w:rFonts w:hint="eastAsia"/>
        </w:rPr>
        <w:t>保护区位于广东省南雄市，主要分为三个区。保护一区位于南雄城南——主田镇一带，实验区位于主田—南雄公路东侧及东</w:t>
      </w:r>
      <w:r>
        <w:t>1</w:t>
      </w:r>
      <w:r>
        <w:rPr>
          <w:rFonts w:hint="eastAsia"/>
          <w:lang w:val="en-US" w:eastAsia="zh-CN"/>
        </w:rPr>
        <w:t>-</w:t>
      </w:r>
      <w:r>
        <w:t>5km范围左右的谭塘坪、石子桥、杨梅山、白石</w:t>
      </w:r>
      <w:r>
        <w:rPr>
          <w:rFonts w:hint="eastAsia"/>
        </w:rPr>
        <w:t>坑、石陂水，面积约</w:t>
      </w:r>
      <w:r>
        <w:t>9</w:t>
      </w:r>
      <w:r>
        <w:rPr>
          <w:rFonts w:hint="eastAsia"/>
          <w:lang w:val="en-US" w:eastAsia="zh-CN"/>
        </w:rPr>
        <w:t>.</w:t>
      </w:r>
      <w:r>
        <w:t>41km2，缓冲区则在主田</w:t>
      </w:r>
      <w:r>
        <w:rPr>
          <w:rFonts w:hint="eastAsia"/>
        </w:rPr>
        <w:t>南雄公路线东侧</w:t>
      </w:r>
      <w:r>
        <w:t>0.41-1.5km范围左右，面积</w:t>
      </w:r>
      <w:r>
        <w:rPr>
          <w:rFonts w:hint="eastAsia"/>
        </w:rPr>
        <w:t>为</w:t>
      </w:r>
      <w:r>
        <w:t>2.27.km2，核心区为缓冲区及实验区包围的山墚</w:t>
      </w:r>
      <w:r>
        <w:rPr>
          <w:rFonts w:hint="eastAsia"/>
        </w:rPr>
        <w:t>上，面积约为</w:t>
      </w:r>
      <w:r>
        <w:t>0.84km2，保护一区总面积为12.52.km2。保护二区位于湖口镇——水口镇公路</w:t>
      </w:r>
      <w:r>
        <w:rPr>
          <w:rFonts w:hint="eastAsia"/>
        </w:rPr>
        <w:t>西南一带的龙凤塘</w:t>
      </w:r>
      <w:r>
        <w:rPr>
          <w:rFonts w:hint="eastAsia"/>
          <w:lang w:eastAsia="zh-CN"/>
        </w:rPr>
        <w:t>—</w:t>
      </w:r>
      <w:r>
        <w:rPr>
          <w:rFonts w:hint="eastAsia"/>
        </w:rPr>
        <w:t>上湖洞—罗佛寨等地，实验区位于湖口上湖洞、武台岗、矮岭、莲竹塘、中坪</w:t>
      </w:r>
      <w:r>
        <w:rPr>
          <w:rFonts w:hint="eastAsia"/>
          <w:lang w:eastAsia="zh-CN"/>
        </w:rPr>
        <w:t>、</w:t>
      </w:r>
      <w:r>
        <w:rPr>
          <w:rFonts w:hint="eastAsia"/>
        </w:rPr>
        <w:t>园圃等地，面积为</w:t>
      </w:r>
      <w:r>
        <w:t>14</w:t>
      </w:r>
      <w:r>
        <w:rPr>
          <w:rFonts w:hint="eastAsia"/>
          <w:lang w:val="en-US" w:eastAsia="zh-CN"/>
        </w:rPr>
        <w:t>.</w:t>
      </w:r>
      <w:r>
        <w:t>2km2，缓冲区位于长坑、下</w:t>
      </w:r>
      <w:r>
        <w:rPr>
          <w:rFonts w:hint="eastAsia"/>
        </w:rPr>
        <w:t>湖、张河坝等地，面积为</w:t>
      </w:r>
      <w:r>
        <w:t>2.46km2，核心区为缓冲</w:t>
      </w:r>
      <w:r>
        <w:rPr>
          <w:rFonts w:hint="eastAsia"/>
        </w:rPr>
        <w:t>区及实验区包围的山墚上，面积为</w:t>
      </w:r>
      <w:r>
        <w:t>1.25km2，保护</w:t>
      </w:r>
      <w:r>
        <w:rPr>
          <w:rFonts w:hint="eastAsia"/>
          <w:lang w:val="en-US" w:eastAsia="zh-CN"/>
        </w:rPr>
        <w:t>二</w:t>
      </w:r>
      <w:r>
        <w:rPr>
          <w:rFonts w:hint="eastAsia"/>
        </w:rPr>
        <w:t>区总面积为</w:t>
      </w:r>
      <w:r>
        <w:t>17.91.km2。保护三区位于黄坑镇东</w:t>
      </w:r>
      <w:r>
        <w:rPr>
          <w:rFonts w:hint="eastAsia"/>
        </w:rPr>
        <w:t>北一带的杨梅坑——坪岭等地，实验区位于灯笼排、腊树园、新田圩、浆田等地，面积为</w:t>
      </w:r>
      <w:r>
        <w:t>9.26km2</w:t>
      </w:r>
      <w:r>
        <w:rPr>
          <w:rFonts w:hint="eastAsia"/>
          <w:lang w:eastAsia="zh-CN"/>
        </w:rPr>
        <w:t>，</w:t>
      </w:r>
      <w:r>
        <w:rPr>
          <w:rFonts w:hint="eastAsia"/>
        </w:rPr>
        <w:t>缓冲区位于坪塘、逆龙坑等地，面积为</w:t>
      </w:r>
      <w:r>
        <w:t>1.58km2</w:t>
      </w:r>
      <w:r>
        <w:rPr>
          <w:rFonts w:hint="eastAsia"/>
          <w:lang w:eastAsia="zh-CN"/>
        </w:rPr>
        <w:t>，</w:t>
      </w:r>
      <w:r>
        <w:rPr>
          <w:rFonts w:hint="eastAsia"/>
        </w:rPr>
        <w:t>核心区为缓冲区及实验区包围的山墚上，面积为</w:t>
      </w:r>
      <w:r>
        <w:t>0.94km</w:t>
      </w:r>
      <w:r>
        <w:rPr>
          <w:rFonts w:hint="eastAsia"/>
          <w:lang w:val="en-US" w:eastAsia="zh-CN"/>
        </w:rPr>
        <w:t>2</w:t>
      </w:r>
      <w:r>
        <w:t>保护三区总面积为11.78.km2。整个自然</w:t>
      </w:r>
      <w:r>
        <w:rPr>
          <w:rFonts w:hint="eastAsia"/>
        </w:rPr>
        <w:t>保护区涉及</w:t>
      </w:r>
      <w:r>
        <w:t>8个镇，总面积为42.21.km2</w:t>
      </w:r>
      <w:r>
        <w:rPr>
          <w:rFonts w:hint="eastAsia"/>
          <w:lang w:eastAsia="zh-CN"/>
        </w:rPr>
        <w:t>。</w:t>
      </w:r>
    </w:p>
    <w:p w14:paraId="49171973">
      <w:pPr>
        <w:pStyle w:val="4"/>
        <w:bidi w:val="0"/>
        <w:rPr>
          <w:rFonts w:hint="eastAsia"/>
        </w:rPr>
      </w:pPr>
      <w:r>
        <w:rPr>
          <w:rFonts w:hint="eastAsia"/>
        </w:rPr>
        <w:t>【资源状况】</w:t>
      </w:r>
    </w:p>
    <w:p w14:paraId="0CD2ED23">
      <w:pPr>
        <w:rPr>
          <w:rFonts w:hint="eastAsia"/>
        </w:rPr>
      </w:pPr>
      <w:r>
        <w:rPr>
          <w:rFonts w:hint="eastAsia"/>
        </w:rPr>
        <w:t>保护区属地质遗迹类型自然保护区，重点保护南雄区域内的古生物化石及典型地层剖面等地质遗迹。</w:t>
      </w:r>
      <w:r>
        <w:t>1、古生物遗迹类：（1）恐龙蛋化石，</w:t>
      </w:r>
      <w:r>
        <w:rPr>
          <w:rFonts w:hint="eastAsia"/>
        </w:rPr>
        <w:t>截止</w:t>
      </w:r>
      <w:r>
        <w:rPr>
          <w:rFonts w:hint="eastAsia"/>
          <w:lang w:val="en-US" w:eastAsia="zh-CN"/>
        </w:rPr>
        <w:t>至</w:t>
      </w:r>
      <w:r>
        <w:rPr>
          <w:rFonts w:hint="eastAsia"/>
        </w:rPr>
        <w:t>前南雄所发现的恐龙蛋化石共计</w:t>
      </w:r>
      <w:r>
        <w:t>6蛋科、9</w:t>
      </w:r>
      <w:r>
        <w:rPr>
          <w:rFonts w:hint="eastAsia"/>
        </w:rPr>
        <w:t>蛋属</w:t>
      </w:r>
      <w:r>
        <w:t>16蛋种，还有一些恐龙蛋化石未研究。晚白</w:t>
      </w:r>
      <w:r>
        <w:rPr>
          <w:rFonts w:hint="eastAsia"/>
        </w:rPr>
        <w:t>垩世恐龙动物群发现并记述的恐龙类包括兽脚类</w:t>
      </w:r>
      <w:r>
        <w:rPr>
          <w:rFonts w:hint="eastAsia"/>
          <w:lang w:eastAsia="zh-CN"/>
        </w:rPr>
        <w:t>、</w:t>
      </w:r>
      <w:r>
        <w:rPr>
          <w:rFonts w:hint="eastAsia"/>
        </w:rPr>
        <w:t>蜥脚类、鸟脚类类等共计</w:t>
      </w:r>
      <w:r>
        <w:t>4属4种，龟鳖类1属1</w:t>
      </w:r>
      <w:r>
        <w:rPr>
          <w:rFonts w:hint="eastAsia"/>
        </w:rPr>
        <w:t>种，此外还有一些属于肉食龙类、虚骨龙类、结节龙类以及蜥蜴类的骨骼化石。南雄不仅是迄今世界上恐龙蛋化石最丰富的地区之一，而且在保存质量上是世界上首屈一指。在南雄盆地中已采集有</w:t>
      </w:r>
      <w:r>
        <w:t>14</w:t>
      </w:r>
      <w:r>
        <w:rPr>
          <w:rFonts w:hint="eastAsia"/>
        </w:rPr>
        <w:t>个类群的恐龙蛋化石，约占世界已知类群的三分之</w:t>
      </w:r>
      <w:r>
        <w:rPr>
          <w:rFonts w:hint="eastAsia"/>
          <w:lang w:val="en-US" w:eastAsia="zh-CN"/>
        </w:rPr>
        <w:t>一</w:t>
      </w:r>
      <w:r>
        <w:rPr>
          <w:rFonts w:hint="eastAsia"/>
        </w:rPr>
        <w:t>。（</w:t>
      </w:r>
      <w:r>
        <w:t>2）恐龙骨骼化石。（3）龟化石。（4）哺乳</w:t>
      </w:r>
      <w:r>
        <w:rPr>
          <w:rFonts w:hint="eastAsia"/>
        </w:rPr>
        <w:t>类化石。</w:t>
      </w:r>
      <w:r>
        <w:t>2、地质遗迹类：（1）地层剖面，其中包</w:t>
      </w:r>
      <w:r>
        <w:rPr>
          <w:rFonts w:hint="eastAsia"/>
        </w:rPr>
        <w:t>括典型的</w:t>
      </w:r>
      <w:r>
        <w:t>E/K界线地层剖面；南雄红层典型地貌红</w:t>
      </w:r>
      <w:r>
        <w:rPr>
          <w:rFonts w:hint="eastAsia"/>
        </w:rPr>
        <w:t>砂岭；丹霞地貌。（</w:t>
      </w:r>
      <w:r>
        <w:t>2）沉积相特征标志、古气候特</w:t>
      </w:r>
      <w:r>
        <w:rPr>
          <w:rFonts w:hint="eastAsia"/>
        </w:rPr>
        <w:t>征标志。</w:t>
      </w:r>
    </w:p>
    <w:p w14:paraId="38B65C71">
      <w:pPr>
        <w:pStyle w:val="4"/>
        <w:bidi w:val="0"/>
        <w:rPr>
          <w:rFonts w:hint="eastAsia"/>
        </w:rPr>
      </w:pPr>
      <w:r>
        <w:rPr>
          <w:rFonts w:hint="eastAsia"/>
          <w:lang w:eastAsia="zh-CN"/>
        </w:rPr>
        <w:t>【</w:t>
      </w:r>
      <w:r>
        <w:rPr>
          <w:rFonts w:hint="eastAsia"/>
        </w:rPr>
        <w:t>管理处工作】</w:t>
      </w:r>
    </w:p>
    <w:p w14:paraId="42B8D083">
      <w:pPr>
        <w:rPr>
          <w:rFonts w:hint="eastAsia"/>
        </w:rPr>
      </w:pPr>
      <w:r>
        <w:rPr>
          <w:rFonts w:hint="eastAsia"/>
          <w:lang w:val="en-US" w:eastAsia="zh-CN"/>
        </w:rPr>
        <w:t>一、</w:t>
      </w:r>
      <w:r>
        <w:rPr>
          <w:rFonts w:hint="eastAsia"/>
        </w:rPr>
        <w:t>申报国家级重点保护古生物化石集中产地认定。根据《广东省国土资源厅转发国土资源部办公厅关于启动国家级重点保护古生物化石集中产地认定工作的通知》（</w:t>
      </w:r>
      <w:r>
        <w:rPr>
          <w:rFonts w:hint="eastAsia"/>
          <w:lang w:eastAsia="zh-CN"/>
        </w:rPr>
        <w:t>粤</w:t>
      </w:r>
      <w:r>
        <w:rPr>
          <w:rFonts w:hint="eastAsia"/>
        </w:rPr>
        <w:t>国土资地环发〔</w:t>
      </w:r>
      <w:r>
        <w:t>2013〕278号）和《国土资源部办公厅关于启动</w:t>
      </w:r>
      <w:r>
        <w:rPr>
          <w:rFonts w:hint="eastAsia"/>
        </w:rPr>
        <w:t>国家级重点保护古生物化石集中产地认定工作的通知》（国土资厅发〔</w:t>
      </w:r>
      <w:r>
        <w:t>2013〕40号）文件精神，组织</w:t>
      </w:r>
      <w:r>
        <w:rPr>
          <w:rFonts w:hint="eastAsia"/>
        </w:rPr>
        <w:t>开展申报国家级重点保护古生物化石集中产地的准备工作，按要求编制单位完成申报书、古生物化石资源调</w:t>
      </w:r>
      <w:r>
        <w:rPr>
          <w:rFonts w:hint="eastAsia"/>
          <w:lang w:eastAsia="zh-CN"/>
        </w:rPr>
        <w:t>查</w:t>
      </w:r>
      <w:r>
        <w:rPr>
          <w:rFonts w:hint="eastAsia"/>
        </w:rPr>
        <w:t>报告、重要科研成果汇总表和产地分布图等申报材料。申报材料获得专家的高度评价和高分通过省级评审。</w:t>
      </w:r>
    </w:p>
    <w:p w14:paraId="3908B17E">
      <w:pPr>
        <w:rPr>
          <w:rFonts w:hint="eastAsia"/>
        </w:rPr>
      </w:pPr>
      <w:r>
        <w:rPr>
          <w:rFonts w:hint="eastAsia"/>
          <w:lang w:val="en-US" w:eastAsia="zh-CN"/>
        </w:rPr>
        <w:t>二、</w:t>
      </w:r>
      <w:r>
        <w:rPr>
          <w:rFonts w:hint="eastAsia"/>
        </w:rPr>
        <w:t>继续完善保护区的保护建设。按照</w:t>
      </w:r>
      <w:r>
        <w:t>“深</w:t>
      </w:r>
      <w:r>
        <w:rPr>
          <w:rFonts w:hint="eastAsia"/>
        </w:rPr>
        <w:t>化地质科学研究、普及科学知识、保护生态环境、促进经济与社会的可持续发展”的宗旨，高效地保护南雄地质遗迹：①现正实施建设电子监控系统，在古市恐龙脚印保护点安装</w:t>
      </w:r>
      <w:r>
        <w:t>1个，湖口罗佛寨上山</w:t>
      </w:r>
      <w:r>
        <w:rPr>
          <w:rFonts w:hint="eastAsia"/>
        </w:rPr>
        <w:t>路口安装</w:t>
      </w:r>
      <w:r>
        <w:t>1个，雄州街道下坪村鹧鸪塘保护点安装1个，油山坪岭杨梅坑安装2个，油山鹅颈岭E/K</w:t>
      </w:r>
      <w:r>
        <w:rPr>
          <w:rFonts w:hint="eastAsia"/>
        </w:rPr>
        <w:t>保护点安装</w:t>
      </w:r>
      <w:r>
        <w:t>1个，保护区办公室安装1个，安装7</w:t>
      </w:r>
      <w:r>
        <w:rPr>
          <w:rFonts w:hint="eastAsia"/>
        </w:rPr>
        <w:t>个监控探头形成一整套电子监控系统，此项工作在今年年底可完工。②与重点核心保护区的土地所有者进行测量、征租地、签订协议等工作已很好地完成。③油山鹅颈岭</w:t>
      </w:r>
      <w:r>
        <w:t>E/K保护点建设简易保护工作棚</w:t>
      </w:r>
      <w:r>
        <w:rPr>
          <w:rFonts w:hint="eastAsia"/>
        </w:rPr>
        <w:t>及配套工程。④油山坪岭杨梅坑保护点、油山鹅颈岭</w:t>
      </w:r>
      <w:r>
        <w:t>E/K保护点、油山古城红砂岭保护点建设钢丝网</w:t>
      </w:r>
      <w:r>
        <w:rPr>
          <w:rFonts w:hint="eastAsia"/>
        </w:rPr>
        <w:t>水泥立柱围栏。</w:t>
      </w:r>
    </w:p>
    <w:p w14:paraId="682601B6">
      <w:pPr>
        <w:jc w:val="right"/>
        <w:rPr>
          <w:rFonts w:hint="eastAsia"/>
          <w:b/>
          <w:bCs/>
        </w:rPr>
      </w:pPr>
      <w:r>
        <w:rPr>
          <w:rFonts w:hint="eastAsia"/>
          <w:b/>
          <w:bCs/>
        </w:rPr>
        <w:t>（黄庆军）</w:t>
      </w:r>
    </w:p>
    <w:p w14:paraId="5C30038A">
      <w:pPr>
        <w:pStyle w:val="10"/>
        <w:bidi w:val="0"/>
        <w:rPr>
          <w:rFonts w:hint="eastAsia"/>
          <w:b/>
          <w:bCs/>
        </w:rPr>
      </w:pPr>
      <w:r>
        <w:rPr>
          <w:rFonts w:hint="eastAsia"/>
          <w:b/>
          <w:bCs/>
        </w:rPr>
        <w:t>附：</w:t>
      </w:r>
      <w:r>
        <w:rPr>
          <w:b/>
          <w:bCs/>
        </w:rPr>
        <w:t>2013年广东南雄恐龙化石群省级自然保护区管</w:t>
      </w:r>
      <w:r>
        <w:rPr>
          <w:rFonts w:hint="eastAsia"/>
          <w:b/>
          <w:bCs/>
        </w:rPr>
        <w:t>理处领导班子成员名单</w:t>
      </w:r>
    </w:p>
    <w:p w14:paraId="226B7544">
      <w:pPr>
        <w:pStyle w:val="10"/>
        <w:bidi w:val="0"/>
        <w:rPr>
          <w:rFonts w:hint="eastAsia"/>
        </w:rPr>
      </w:pPr>
      <w:r>
        <w:rPr>
          <w:rFonts w:hint="eastAsia"/>
          <w:b/>
          <w:bCs/>
        </w:rPr>
        <w:t>主</w:t>
      </w:r>
      <w:r>
        <w:rPr>
          <w:rFonts w:hint="eastAsia"/>
          <w:b/>
          <w:bCs/>
          <w:lang w:val="en-US" w:eastAsia="zh-CN"/>
        </w:rPr>
        <w:t xml:space="preserve">  </w:t>
      </w:r>
      <w:r>
        <w:rPr>
          <w:rFonts w:hint="eastAsia"/>
          <w:b/>
          <w:bCs/>
        </w:rPr>
        <w:t>任：</w:t>
      </w:r>
      <w:r>
        <w:rPr>
          <w:rFonts w:hint="eastAsia"/>
        </w:rPr>
        <w:t>董绳跃</w:t>
      </w:r>
    </w:p>
    <w:p w14:paraId="647CBDD4">
      <w:pPr>
        <w:pStyle w:val="10"/>
        <w:bidi w:val="0"/>
        <w:rPr>
          <w:rFonts w:hint="eastAsia"/>
        </w:rPr>
      </w:pPr>
      <w:r>
        <w:rPr>
          <w:rFonts w:hint="eastAsia"/>
          <w:b/>
          <w:bCs/>
        </w:rPr>
        <w:t>副主任：</w:t>
      </w:r>
      <w:r>
        <w:rPr>
          <w:rFonts w:hint="eastAsia"/>
          <w:b w:val="0"/>
          <w:bCs w:val="0"/>
        </w:rPr>
        <w:t>马</w:t>
      </w:r>
      <w:r>
        <w:rPr>
          <w:rFonts w:hint="eastAsia"/>
        </w:rPr>
        <w:t>月明</w:t>
      </w:r>
    </w:p>
    <w:p w14:paraId="6A758CC9">
      <w:pPr>
        <w:pStyle w:val="3"/>
        <w:bidi w:val="0"/>
        <w:rPr>
          <w:rFonts w:hint="eastAsia"/>
          <w:lang w:val="en-US" w:eastAsia="zh-CN"/>
        </w:rPr>
      </w:pPr>
      <w:r>
        <w:rPr>
          <w:rFonts w:hint="eastAsia"/>
          <w:lang w:val="en-US" w:eastAsia="zh-CN"/>
        </w:rPr>
        <w:t>水利</w:t>
      </w:r>
    </w:p>
    <w:p w14:paraId="2DECC0F3">
      <w:pPr>
        <w:pStyle w:val="4"/>
        <w:bidi w:val="0"/>
        <w:rPr>
          <w:rFonts w:hint="eastAsia"/>
        </w:rPr>
      </w:pPr>
      <w:r>
        <w:rPr>
          <w:rFonts w:hint="eastAsia"/>
        </w:rPr>
        <w:t>【概况】</w:t>
      </w:r>
    </w:p>
    <w:p w14:paraId="18F0B706">
      <w:pPr>
        <w:rPr>
          <w:rFonts w:hint="eastAsia"/>
        </w:rPr>
      </w:pPr>
      <w:r>
        <w:t>2013年，南雄市水利工作按照“十</w:t>
      </w:r>
      <w:r>
        <w:rPr>
          <w:rFonts w:hint="eastAsia"/>
          <w:lang w:val="en-US" w:eastAsia="zh-CN"/>
        </w:rPr>
        <w:t>二</w:t>
      </w:r>
      <w:r>
        <w:rPr>
          <w:rFonts w:hint="eastAsia"/>
        </w:rPr>
        <w:t>五”规划的总体目标和工作安排，紧紧围绕“民生水利”这一中心，水利建设可持续快速发展，各项水利专项工程建设任务顺利完成，三防、移民、工管等工作有条不紊，工程建设领域专项</w:t>
      </w:r>
      <w:r>
        <w:rPr>
          <w:rFonts w:hint="eastAsia"/>
          <w:lang w:eastAsia="zh-CN"/>
        </w:rPr>
        <w:t>治</w:t>
      </w:r>
      <w:r>
        <w:rPr>
          <w:rFonts w:hint="eastAsia"/>
        </w:rPr>
        <w:t>理、依法治水等工作进入规范化管理良性循环，安全生产、信访、计划生育、工会、廉政建设、精神文明建设等日常工作稳步推进。一是水利建设投入持续增长。</w:t>
      </w:r>
      <w:r>
        <w:t>2013年水利投入1.57亿元，8宗水利重点建</w:t>
      </w:r>
      <w:r>
        <w:rPr>
          <w:rFonts w:hint="eastAsia"/>
        </w:rPr>
        <w:t>设项目全面铺开，</w:t>
      </w:r>
      <w:r>
        <w:t>2014年5月底可全面完成。二是</w:t>
      </w:r>
      <w:r>
        <w:rPr>
          <w:rFonts w:hint="eastAsia"/>
        </w:rPr>
        <w:t>争取水利项目竞争力强。</w:t>
      </w:r>
      <w:r>
        <w:t>2013年，作为全国中小河</w:t>
      </w:r>
      <w:r>
        <w:rPr>
          <w:rFonts w:hint="eastAsia"/>
        </w:rPr>
        <w:t>流治理重点县试点单位，</w:t>
      </w:r>
      <w:r>
        <w:t>6条中小河流治理项目争</w:t>
      </w:r>
      <w:r>
        <w:rPr>
          <w:rFonts w:hint="eastAsia"/>
        </w:rPr>
        <w:t>取到总投资</w:t>
      </w:r>
      <w:r>
        <w:t>1.7亿元；目前凌江河、百顺水、南山</w:t>
      </w:r>
      <w:r>
        <w:rPr>
          <w:rFonts w:hint="eastAsia"/>
        </w:rPr>
        <w:t>水</w:t>
      </w:r>
      <w:r>
        <w:t>3宗中小河流治理项目总投资8226万元，正在</w:t>
      </w:r>
      <w:r>
        <w:rPr>
          <w:rFonts w:hint="eastAsia"/>
        </w:rPr>
        <w:t>组织施工；三是项目前期工作行动快速。</w:t>
      </w:r>
      <w:r>
        <w:t>2013年，</w:t>
      </w:r>
      <w:r>
        <w:rPr>
          <w:rFonts w:hint="eastAsia"/>
        </w:rPr>
        <w:t>南雄市已经完成可研或初设项目</w:t>
      </w:r>
      <w:r>
        <w:t>32宗，为今后南</w:t>
      </w:r>
      <w:r>
        <w:rPr>
          <w:rFonts w:hint="eastAsia"/>
        </w:rPr>
        <w:t>雄市水利发展储备了丰富的水利建设项目。</w:t>
      </w:r>
    </w:p>
    <w:p w14:paraId="084EA180">
      <w:pPr>
        <w:pStyle w:val="4"/>
        <w:bidi w:val="0"/>
        <w:rPr>
          <w:rFonts w:hint="eastAsia"/>
        </w:rPr>
      </w:pPr>
      <w:r>
        <w:rPr>
          <w:rFonts w:hint="eastAsia"/>
        </w:rPr>
        <w:t>【防汛抗旱】</w:t>
      </w:r>
    </w:p>
    <w:p w14:paraId="678C903B">
      <w:pPr>
        <w:rPr>
          <w:rFonts w:hint="eastAsia"/>
        </w:rPr>
      </w:pPr>
      <w:r>
        <w:t>2013年南雄市各地平均降雨量1220</w:t>
      </w:r>
      <w:r>
        <w:rPr>
          <w:rFonts w:hint="eastAsia"/>
        </w:rPr>
        <w:t>毫米，同比去年（</w:t>
      </w:r>
      <w:r>
        <w:t>1906毫米）少36%，同比多年</w:t>
      </w:r>
      <w:r>
        <w:rPr>
          <w:rFonts w:hint="eastAsia"/>
        </w:rPr>
        <w:t>（</w:t>
      </w:r>
      <w:r>
        <w:t>1526毫米）少20%；年末13宗重点水库总蓄水</w:t>
      </w:r>
      <w:r>
        <w:rPr>
          <w:rFonts w:hint="eastAsia"/>
        </w:rPr>
        <w:t>量</w:t>
      </w:r>
      <w:r>
        <w:t>9018万立方米，同比201</w:t>
      </w:r>
      <w:r>
        <w:rPr>
          <w:rFonts w:hint="eastAsia"/>
          <w:lang w:val="en-US" w:eastAsia="zh-CN"/>
        </w:rPr>
        <w:t>1</w:t>
      </w:r>
      <w:r>
        <w:t>年（11603万立方米）</w:t>
      </w:r>
      <w:r>
        <w:rPr>
          <w:rFonts w:hint="eastAsia"/>
        </w:rPr>
        <w:t>少</w:t>
      </w:r>
      <w:r>
        <w:t>22%，同比多年（8184万立方米）多10%。全</w:t>
      </w:r>
      <w:r>
        <w:rPr>
          <w:rFonts w:hint="eastAsia"/>
        </w:rPr>
        <w:t>年我市雨量较往年偏少，在汛期（</w:t>
      </w:r>
      <w:r>
        <w:t>4月至9月）发</w:t>
      </w:r>
      <w:r>
        <w:rPr>
          <w:rFonts w:hint="eastAsia"/>
        </w:rPr>
        <w:t>生局部洪涝灾害和旱灾，农业和水利设施有不同程度的损失，但总体平稳。</w:t>
      </w:r>
      <w:r>
        <w:t>2013年三防办争取上级防</w:t>
      </w:r>
      <w:r>
        <w:rPr>
          <w:rFonts w:hint="eastAsia"/>
        </w:rPr>
        <w:t>汛资金</w:t>
      </w:r>
      <w:r>
        <w:t>50万元，用于面上水毁水利设施修复，确</w:t>
      </w:r>
      <w:r>
        <w:rPr>
          <w:rFonts w:hint="eastAsia"/>
        </w:rPr>
        <w:t>保汛期的安全度汛。</w:t>
      </w:r>
    </w:p>
    <w:p w14:paraId="6E6F2456">
      <w:pPr>
        <w:pStyle w:val="4"/>
        <w:bidi w:val="0"/>
        <w:rPr>
          <w:rFonts w:hint="eastAsia"/>
        </w:rPr>
      </w:pPr>
      <w:r>
        <w:rPr>
          <w:rFonts w:hint="eastAsia"/>
        </w:rPr>
        <w:t>【水利工程】</w:t>
      </w:r>
    </w:p>
    <w:p w14:paraId="56169270">
      <w:r>
        <w:t>2013年，重点水利工程建设项目</w:t>
      </w:r>
      <w:r>
        <w:rPr>
          <w:rFonts w:hint="eastAsia"/>
        </w:rPr>
        <w:t>有：（</w:t>
      </w:r>
      <w:r>
        <w:t>1）横江灌区节水配套改造工程总投资5391</w:t>
      </w:r>
      <w:r>
        <w:rPr>
          <w:rFonts w:hint="eastAsia"/>
        </w:rPr>
        <w:t>万元（续建）；（</w:t>
      </w:r>
      <w:r>
        <w:t>2）5宗小型病险水库除险加固工</w:t>
      </w:r>
      <w:r>
        <w:rPr>
          <w:rFonts w:hint="eastAsia"/>
        </w:rPr>
        <w:t>程投资</w:t>
      </w:r>
      <w:r>
        <w:t>640万元；（3）小型农田水利重点县项目2013年度投资1600万元；（4）梅岭、蛇岭水库灌</w:t>
      </w:r>
      <w:r>
        <w:rPr>
          <w:rFonts w:hint="eastAsia"/>
        </w:rPr>
        <w:t>区改造工程总投资</w:t>
      </w:r>
      <w:r>
        <w:t>1871万元；（5）南亩田间工程</w:t>
      </w:r>
      <w:r>
        <w:rPr>
          <w:rFonts w:hint="eastAsia"/>
        </w:rPr>
        <w:t>投资</w:t>
      </w:r>
      <w:r>
        <w:t>1100万元；（6）黄坑田间工程投资1100万</w:t>
      </w:r>
      <w:r>
        <w:rPr>
          <w:rFonts w:hint="eastAsia"/>
        </w:rPr>
        <w:t>元；（</w:t>
      </w:r>
      <w:r>
        <w:t>7）2009年至2012年农村饮水安全工程，总</w:t>
      </w:r>
      <w:r>
        <w:rPr>
          <w:rFonts w:hint="eastAsia"/>
        </w:rPr>
        <w:t>投资</w:t>
      </w:r>
      <w:r>
        <w:t>5120万元，已完成投资4420万元，结余资金700万元，计划2013年11月底前全面完成；（8</w:t>
      </w:r>
      <w:r>
        <w:rPr>
          <w:rFonts w:hint="eastAsia"/>
          <w:lang w:eastAsia="zh-CN"/>
        </w:rPr>
        <w:t>）</w:t>
      </w:r>
      <w:r>
        <w:t>2013年新增农村饮水安全工程投资321万元。</w:t>
      </w:r>
    </w:p>
    <w:p w14:paraId="1275517B">
      <w:pPr>
        <w:pStyle w:val="4"/>
        <w:bidi w:val="0"/>
        <w:rPr>
          <w:rFonts w:hint="eastAsia"/>
        </w:rPr>
      </w:pPr>
      <w:r>
        <w:rPr>
          <w:rFonts w:hint="eastAsia"/>
        </w:rPr>
        <w:t>【小水电】</w:t>
      </w:r>
    </w:p>
    <w:p w14:paraId="1D153705">
      <w:r>
        <w:rPr>
          <w:rFonts w:hint="eastAsia"/>
        </w:rPr>
        <w:t>截</w:t>
      </w:r>
      <w:r>
        <w:rPr>
          <w:rFonts w:hint="eastAsia"/>
          <w:lang w:val="en-US" w:eastAsia="zh-CN"/>
        </w:rPr>
        <w:t>至</w:t>
      </w:r>
      <w:r>
        <w:t>2013年底，全市有小水电站187</w:t>
      </w:r>
      <w:r>
        <w:rPr>
          <w:rFonts w:hint="eastAsia"/>
        </w:rPr>
        <w:t>宗，总机组台数</w:t>
      </w:r>
      <w:r>
        <w:t>328台，总装机容量87650千瓦。</w:t>
      </w:r>
    </w:p>
    <w:p w14:paraId="28E54719">
      <w:pPr>
        <w:pStyle w:val="4"/>
        <w:bidi w:val="0"/>
        <w:rPr>
          <w:rFonts w:hint="eastAsia"/>
        </w:rPr>
      </w:pPr>
      <w:r>
        <w:rPr>
          <w:rFonts w:hint="eastAsia"/>
        </w:rPr>
        <w:t>【水政执法】</w:t>
      </w:r>
    </w:p>
    <w:p w14:paraId="6F325B60">
      <w:pPr>
        <w:rPr>
          <w:rFonts w:hint="eastAsia"/>
        </w:rPr>
      </w:pPr>
      <w:r>
        <w:t>2013年，在大力做好水利法律法规</w:t>
      </w:r>
      <w:r>
        <w:rPr>
          <w:rFonts w:hint="eastAsia"/>
        </w:rPr>
        <w:t>宣传发动工作的同时，加大水事违法行为的打击力度，</w:t>
      </w:r>
      <w:r>
        <w:t>2013年立案</w:t>
      </w:r>
      <w:r>
        <w:rPr>
          <w:rFonts w:hint="eastAsia"/>
          <w:lang w:eastAsia="zh-CN"/>
        </w:rPr>
        <w:t>查</w:t>
      </w:r>
      <w:r>
        <w:t>处水事案件11宗，现已全部</w:t>
      </w:r>
      <w:r>
        <w:rPr>
          <w:rFonts w:hint="eastAsia"/>
        </w:rPr>
        <w:t>结案。</w:t>
      </w:r>
    </w:p>
    <w:p w14:paraId="612C380E">
      <w:pPr>
        <w:pStyle w:val="4"/>
        <w:bidi w:val="0"/>
        <w:rPr>
          <w:rFonts w:hint="eastAsia"/>
        </w:rPr>
      </w:pPr>
      <w:r>
        <w:rPr>
          <w:rFonts w:hint="eastAsia"/>
        </w:rPr>
        <w:t>【水库移民】</w:t>
      </w:r>
    </w:p>
    <w:p w14:paraId="693359DE">
      <w:pPr>
        <w:rPr>
          <w:rFonts w:hint="eastAsia"/>
        </w:rPr>
      </w:pPr>
      <w:r>
        <w:t>2013年，移民工作继续大力实施大</w:t>
      </w:r>
      <w:r>
        <w:rPr>
          <w:rFonts w:hint="eastAsia"/>
        </w:rPr>
        <w:t>中型水库移民后期扶持政策，已完成</w:t>
      </w:r>
      <w:r>
        <w:t>2013年度直</w:t>
      </w:r>
      <w:r>
        <w:rPr>
          <w:rFonts w:hint="eastAsia"/>
        </w:rPr>
        <w:t>补资金</w:t>
      </w:r>
      <w:r>
        <w:t>9650人289.5万元的发放工作，移民“十</w:t>
      </w:r>
      <w:r>
        <w:rPr>
          <w:rFonts w:hint="eastAsia"/>
        </w:rPr>
        <w:t>二五”规划已编制完成，水利移民建设项目总投资</w:t>
      </w:r>
      <w:r>
        <w:t>220万元，界址镇马芫、乌泥坑移民村建设基本建</w:t>
      </w:r>
      <w:r>
        <w:rPr>
          <w:rFonts w:hint="eastAsia"/>
        </w:rPr>
        <w:t>成，珠玑镇泰原、川坳新农村</w:t>
      </w:r>
      <w:r>
        <w:rPr>
          <w:rFonts w:hint="eastAsia"/>
          <w:lang w:eastAsia="zh-CN"/>
        </w:rPr>
        <w:t>整治</w:t>
      </w:r>
      <w:r>
        <w:rPr>
          <w:rFonts w:hint="eastAsia"/>
        </w:rPr>
        <w:t>面貌焕然一新。</w:t>
      </w:r>
    </w:p>
    <w:p w14:paraId="1D2860DA">
      <w:pPr>
        <w:pStyle w:val="10"/>
        <w:bidi w:val="0"/>
        <w:jc w:val="center"/>
        <w:rPr>
          <w:rFonts w:hint="eastAsia"/>
          <w:b/>
          <w:bCs/>
        </w:rPr>
      </w:pPr>
      <w:r>
        <w:rPr>
          <w:rFonts w:hint="eastAsia"/>
          <w:b/>
          <w:bCs/>
        </w:rPr>
        <w:t>南雄市大中型水库特性表</w:t>
      </w:r>
    </w:p>
    <w:p w14:paraId="3C8DC46A">
      <w:pPr>
        <w:bidi w:val="0"/>
        <w:rPr>
          <w:rFonts w:hint="eastAsia"/>
        </w:rPr>
      </w:pPr>
      <w:r>
        <w:rPr>
          <w:rFonts w:hint="eastAsia"/>
        </w:rPr>
        <w:t>表4</w:t>
      </w:r>
    </w:p>
    <w:tbl>
      <w:tblPr>
        <w:tblStyle w:val="7"/>
        <w:tblW w:w="4991"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26"/>
        <w:gridCol w:w="718"/>
        <w:gridCol w:w="840"/>
        <w:gridCol w:w="920"/>
        <w:gridCol w:w="920"/>
        <w:gridCol w:w="984"/>
        <w:gridCol w:w="975"/>
        <w:gridCol w:w="932"/>
        <w:gridCol w:w="943"/>
        <w:gridCol w:w="889"/>
        <w:gridCol w:w="699"/>
      </w:tblGrid>
      <w:tr w14:paraId="32CF509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66" w:type="pct"/>
            <w:vMerge w:val="restart"/>
            <w:tcBorders>
              <w:top w:val="single" w:color="000000" w:sz="8" w:space="0"/>
              <w:bottom w:val="single" w:color="000000" w:sz="8" w:space="0"/>
              <w:right w:val="single" w:color="000000" w:sz="8" w:space="0"/>
            </w:tcBorders>
            <w:shd w:val="clear" w:color="auto" w:fill="FFFFFF"/>
            <w:noWrap w:val="0"/>
            <w:vAlign w:val="center"/>
          </w:tcPr>
          <w:p w14:paraId="45108A31">
            <w:pPr>
              <w:pStyle w:val="10"/>
              <w:bidi w:val="0"/>
              <w:jc w:val="center"/>
              <w:rPr>
                <w:b/>
                <w:bCs/>
                <w:color w:val="000000"/>
              </w:rPr>
            </w:pPr>
            <w:r>
              <w:rPr>
                <w:rFonts w:hint="eastAsia"/>
                <w:b/>
                <w:bCs/>
                <w:color w:val="000000"/>
              </w:rPr>
              <w:t>水库名称</w:t>
            </w:r>
          </w:p>
        </w:tc>
        <w:tc>
          <w:tcPr>
            <w:tcW w:w="360"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549A0D9">
            <w:pPr>
              <w:pStyle w:val="10"/>
              <w:bidi w:val="0"/>
              <w:jc w:val="center"/>
              <w:rPr>
                <w:b/>
                <w:bCs/>
                <w:color w:val="000000"/>
              </w:rPr>
            </w:pPr>
            <w:r>
              <w:rPr>
                <w:rFonts w:hint="eastAsia"/>
                <w:b/>
                <w:bCs/>
                <w:color w:val="000000"/>
              </w:rPr>
              <w:t>所在河流</w:t>
            </w:r>
          </w:p>
        </w:tc>
        <w:tc>
          <w:tcPr>
            <w:tcW w:w="422" w:type="pct"/>
            <w:vMerge w:val="restart"/>
            <w:tcBorders>
              <w:top w:val="single" w:color="000000" w:sz="8" w:space="0"/>
              <w:left w:val="single" w:color="000000" w:sz="8" w:space="0"/>
              <w:right w:val="single" w:color="000000" w:sz="8" w:space="0"/>
            </w:tcBorders>
            <w:shd w:val="clear" w:color="auto" w:fill="FFFFFF"/>
            <w:noWrap w:val="0"/>
            <w:vAlign w:val="center"/>
          </w:tcPr>
          <w:p w14:paraId="634CF0CA">
            <w:pPr>
              <w:pStyle w:val="10"/>
              <w:bidi w:val="0"/>
              <w:jc w:val="center"/>
              <w:rPr>
                <w:b/>
                <w:bCs/>
                <w:color w:val="000000"/>
              </w:rPr>
            </w:pPr>
            <w:r>
              <w:rPr>
                <w:rFonts w:hint="eastAsia"/>
                <w:b/>
                <w:bCs/>
                <w:color w:val="000000"/>
              </w:rPr>
              <w:t>集雨</w:t>
            </w:r>
          </w:p>
          <w:p w14:paraId="071CC23B">
            <w:pPr>
              <w:pStyle w:val="10"/>
              <w:bidi w:val="0"/>
              <w:jc w:val="center"/>
              <w:rPr>
                <w:rFonts w:hint="eastAsia"/>
                <w:b/>
                <w:bCs/>
                <w:color w:val="000000"/>
              </w:rPr>
            </w:pPr>
            <w:r>
              <w:rPr>
                <w:rFonts w:hint="eastAsia"/>
                <w:b/>
                <w:bCs/>
                <w:color w:val="000000"/>
              </w:rPr>
              <w:t>面积</w:t>
            </w:r>
          </w:p>
          <w:p w14:paraId="4F136A2C">
            <w:pPr>
              <w:pStyle w:val="10"/>
              <w:bidi w:val="0"/>
              <w:jc w:val="center"/>
              <w:rPr>
                <w:b/>
                <w:bCs/>
                <w:color w:val="000000"/>
              </w:rPr>
            </w:pPr>
            <w:r>
              <w:rPr>
                <w:b/>
                <w:bCs/>
                <w:color w:val="000000"/>
              </w:rPr>
              <w:t>(km3)</w:t>
            </w:r>
          </w:p>
        </w:tc>
        <w:tc>
          <w:tcPr>
            <w:tcW w:w="462"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F7B064D">
            <w:pPr>
              <w:pStyle w:val="10"/>
              <w:bidi w:val="0"/>
              <w:jc w:val="center"/>
              <w:rPr>
                <w:b/>
                <w:bCs/>
                <w:color w:val="000000"/>
              </w:rPr>
            </w:pPr>
            <w:r>
              <w:rPr>
                <w:rFonts w:hint="eastAsia"/>
                <w:b/>
                <w:bCs/>
                <w:color w:val="000000"/>
              </w:rPr>
              <w:t>总库容</w:t>
            </w:r>
          </w:p>
          <w:p w14:paraId="79757A18">
            <w:pPr>
              <w:pStyle w:val="10"/>
              <w:bidi w:val="0"/>
              <w:jc w:val="center"/>
              <w:rPr>
                <w:b/>
                <w:bCs/>
                <w:color w:val="000000"/>
              </w:rPr>
            </w:pPr>
            <w:r>
              <w:rPr>
                <w:b/>
                <w:bCs/>
                <w:color w:val="000000"/>
              </w:rPr>
              <w:t>(</w:t>
            </w:r>
            <w:r>
              <w:rPr>
                <w:rFonts w:hint="eastAsia"/>
                <w:b/>
                <w:bCs/>
                <w:color w:val="000000"/>
              </w:rPr>
              <w:t>亿</w:t>
            </w:r>
            <w:r>
              <w:rPr>
                <w:b/>
                <w:bCs/>
                <w:color w:val="000000"/>
              </w:rPr>
              <w:t>m3)</w:t>
            </w:r>
          </w:p>
        </w:tc>
        <w:tc>
          <w:tcPr>
            <w:tcW w:w="462" w:type="pct"/>
            <w:vMerge w:val="restart"/>
            <w:tcBorders>
              <w:top w:val="single" w:color="000000" w:sz="8" w:space="0"/>
              <w:left w:val="single" w:color="000000" w:sz="8" w:space="0"/>
              <w:right w:val="single" w:color="000000" w:sz="8" w:space="0"/>
            </w:tcBorders>
            <w:shd w:val="clear" w:color="auto" w:fill="FFFFFF"/>
            <w:noWrap w:val="0"/>
            <w:vAlign w:val="center"/>
          </w:tcPr>
          <w:p w14:paraId="04FE1CB4">
            <w:pPr>
              <w:pStyle w:val="10"/>
              <w:bidi w:val="0"/>
              <w:jc w:val="center"/>
              <w:rPr>
                <w:rFonts w:hint="eastAsia"/>
                <w:b/>
                <w:bCs/>
                <w:color w:val="000000"/>
              </w:rPr>
            </w:pPr>
            <w:r>
              <w:rPr>
                <w:rFonts w:hint="eastAsia"/>
                <w:b/>
                <w:bCs/>
                <w:color w:val="000000"/>
              </w:rPr>
              <w:t>防洪</w:t>
            </w:r>
          </w:p>
          <w:p w14:paraId="10FA946D">
            <w:pPr>
              <w:pStyle w:val="10"/>
              <w:bidi w:val="0"/>
              <w:jc w:val="center"/>
              <w:rPr>
                <w:rFonts w:hint="eastAsia"/>
                <w:b/>
                <w:bCs/>
                <w:color w:val="000000"/>
              </w:rPr>
            </w:pPr>
            <w:r>
              <w:rPr>
                <w:rFonts w:hint="eastAsia"/>
                <w:b/>
                <w:bCs/>
                <w:color w:val="000000"/>
              </w:rPr>
              <w:t>库容</w:t>
            </w:r>
          </w:p>
          <w:p w14:paraId="2AB0D333">
            <w:pPr>
              <w:pStyle w:val="10"/>
              <w:bidi w:val="0"/>
              <w:jc w:val="center"/>
              <w:rPr>
                <w:b/>
                <w:bCs/>
                <w:color w:val="000000"/>
              </w:rPr>
            </w:pPr>
            <w:r>
              <w:rPr>
                <w:b/>
                <w:bCs/>
                <w:color w:val="000000"/>
              </w:rPr>
              <w:t>(</w:t>
            </w:r>
            <w:r>
              <w:rPr>
                <w:rFonts w:hint="eastAsia"/>
                <w:b/>
                <w:bCs/>
                <w:color w:val="000000"/>
              </w:rPr>
              <w:t>亿</w:t>
            </w:r>
            <w:r>
              <w:rPr>
                <w:b/>
                <w:bCs/>
                <w:color w:val="000000"/>
              </w:rPr>
              <w:t>m3)</w:t>
            </w:r>
          </w:p>
        </w:tc>
        <w:tc>
          <w:tcPr>
            <w:tcW w:w="984" w:type="pct"/>
            <w:gridSpan w:val="2"/>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401D958">
            <w:pPr>
              <w:pStyle w:val="10"/>
              <w:bidi w:val="0"/>
              <w:jc w:val="center"/>
              <w:rPr>
                <w:b/>
                <w:bCs/>
                <w:color w:val="000000"/>
              </w:rPr>
            </w:pPr>
            <w:r>
              <w:rPr>
                <w:rFonts w:hint="eastAsia"/>
                <w:b/>
                <w:bCs/>
                <w:color w:val="000000"/>
              </w:rPr>
              <w:t>特征水位</w:t>
            </w:r>
          </w:p>
        </w:tc>
        <w:tc>
          <w:tcPr>
            <w:tcW w:w="1740" w:type="pct"/>
            <w:gridSpan w:val="4"/>
            <w:tcBorders>
              <w:top w:val="single" w:color="000000" w:sz="8" w:space="0"/>
              <w:left w:val="single" w:color="000000" w:sz="8" w:space="0"/>
              <w:bottom w:val="single" w:color="000000" w:sz="8" w:space="0"/>
            </w:tcBorders>
            <w:shd w:val="clear" w:color="auto" w:fill="FFFFFF"/>
            <w:noWrap w:val="0"/>
            <w:vAlign w:val="center"/>
          </w:tcPr>
          <w:p w14:paraId="550BF616">
            <w:pPr>
              <w:pStyle w:val="10"/>
              <w:bidi w:val="0"/>
              <w:jc w:val="center"/>
              <w:rPr>
                <w:b/>
                <w:bCs/>
                <w:color w:val="000000"/>
              </w:rPr>
            </w:pPr>
            <w:r>
              <w:rPr>
                <w:rFonts w:hint="eastAsia"/>
                <w:b/>
                <w:bCs/>
                <w:color w:val="000000"/>
              </w:rPr>
              <w:t>主坝</w:t>
            </w:r>
          </w:p>
        </w:tc>
      </w:tr>
      <w:tr w14:paraId="1459183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94" w:hRule="atLeast"/>
          <w:jc w:val="center"/>
        </w:trPr>
        <w:tc>
          <w:tcPr>
            <w:tcW w:w="566" w:type="pct"/>
            <w:vMerge w:val="continue"/>
            <w:tcBorders>
              <w:top w:val="single" w:color="000000" w:sz="8" w:space="0"/>
              <w:bottom w:val="single" w:color="000000" w:sz="8" w:space="0"/>
              <w:right w:val="single" w:color="000000" w:sz="8" w:space="0"/>
            </w:tcBorders>
            <w:shd w:val="clear" w:color="auto" w:fill="FFFFFF"/>
            <w:noWrap w:val="0"/>
            <w:vAlign w:val="center"/>
          </w:tcPr>
          <w:p w14:paraId="1500CA96">
            <w:pPr>
              <w:pStyle w:val="10"/>
              <w:bidi w:val="0"/>
              <w:jc w:val="center"/>
              <w:rPr>
                <w:b/>
                <w:bCs/>
                <w:color w:val="000000"/>
              </w:rPr>
            </w:pPr>
          </w:p>
        </w:tc>
        <w:tc>
          <w:tcPr>
            <w:tcW w:w="360"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65E005C">
            <w:pPr>
              <w:pStyle w:val="10"/>
              <w:bidi w:val="0"/>
              <w:jc w:val="center"/>
              <w:rPr>
                <w:b/>
                <w:bCs/>
                <w:color w:val="000000"/>
              </w:rPr>
            </w:pPr>
          </w:p>
        </w:tc>
        <w:tc>
          <w:tcPr>
            <w:tcW w:w="422" w:type="pct"/>
            <w:vMerge w:val="continue"/>
            <w:tcBorders>
              <w:left w:val="single" w:color="000000" w:sz="8" w:space="0"/>
              <w:right w:val="single" w:color="000000" w:sz="8" w:space="0"/>
            </w:tcBorders>
            <w:shd w:val="clear" w:color="auto" w:fill="FFFFFF"/>
            <w:noWrap w:val="0"/>
            <w:vAlign w:val="center"/>
          </w:tcPr>
          <w:p w14:paraId="019B46E5">
            <w:pPr>
              <w:pStyle w:val="10"/>
              <w:bidi w:val="0"/>
              <w:jc w:val="center"/>
              <w:rPr>
                <w:b/>
                <w:bCs/>
                <w:color w:val="000000"/>
              </w:rPr>
            </w:pPr>
          </w:p>
        </w:tc>
        <w:tc>
          <w:tcPr>
            <w:tcW w:w="462"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E421E02">
            <w:pPr>
              <w:pStyle w:val="10"/>
              <w:bidi w:val="0"/>
              <w:jc w:val="center"/>
              <w:rPr>
                <w:b/>
                <w:bCs/>
                <w:color w:val="000000"/>
              </w:rPr>
            </w:pPr>
          </w:p>
        </w:tc>
        <w:tc>
          <w:tcPr>
            <w:tcW w:w="462" w:type="pct"/>
            <w:vMerge w:val="continue"/>
            <w:tcBorders>
              <w:left w:val="single" w:color="000000" w:sz="8" w:space="0"/>
              <w:right w:val="single" w:color="000000" w:sz="8" w:space="0"/>
            </w:tcBorders>
            <w:shd w:val="clear" w:color="auto" w:fill="FFFFFF"/>
            <w:noWrap w:val="0"/>
            <w:vAlign w:val="center"/>
          </w:tcPr>
          <w:p w14:paraId="12BDC550">
            <w:pPr>
              <w:pStyle w:val="10"/>
              <w:bidi w:val="0"/>
              <w:jc w:val="center"/>
              <w:rPr>
                <w:b/>
                <w:bCs/>
                <w:color w:val="000000"/>
              </w:rPr>
            </w:pPr>
          </w:p>
        </w:tc>
        <w:tc>
          <w:tcPr>
            <w:tcW w:w="4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1C83609">
            <w:pPr>
              <w:pStyle w:val="10"/>
              <w:bidi w:val="0"/>
              <w:jc w:val="center"/>
              <w:rPr>
                <w:b/>
                <w:bCs/>
                <w:color w:val="000000"/>
              </w:rPr>
            </w:pPr>
            <w:r>
              <w:rPr>
                <w:rFonts w:hint="eastAsia"/>
                <w:b/>
                <w:bCs/>
                <w:color w:val="000000"/>
              </w:rPr>
              <w:t>死水位</w:t>
            </w:r>
          </w:p>
        </w:tc>
        <w:tc>
          <w:tcPr>
            <w:tcW w:w="49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306960C">
            <w:pPr>
              <w:pStyle w:val="10"/>
              <w:bidi w:val="0"/>
              <w:jc w:val="center"/>
              <w:rPr>
                <w:b/>
                <w:bCs/>
                <w:color w:val="000000"/>
              </w:rPr>
            </w:pPr>
            <w:r>
              <w:rPr>
                <w:rFonts w:hint="eastAsia"/>
                <w:b/>
                <w:bCs/>
                <w:color w:val="000000"/>
              </w:rPr>
              <w:t>死库容</w:t>
            </w:r>
          </w:p>
        </w:tc>
        <w:tc>
          <w:tcPr>
            <w:tcW w:w="4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A38A526">
            <w:pPr>
              <w:pStyle w:val="10"/>
              <w:bidi w:val="0"/>
              <w:jc w:val="center"/>
              <w:rPr>
                <w:b/>
                <w:bCs/>
                <w:color w:val="000000"/>
              </w:rPr>
            </w:pPr>
            <w:r>
              <w:rPr>
                <w:rFonts w:hint="eastAsia"/>
                <w:b/>
                <w:bCs/>
                <w:color w:val="000000"/>
              </w:rPr>
              <w:t>坝型</w:t>
            </w:r>
          </w:p>
        </w:tc>
        <w:tc>
          <w:tcPr>
            <w:tcW w:w="474" w:type="pct"/>
            <w:tcBorders>
              <w:top w:val="single" w:color="000000" w:sz="8" w:space="0"/>
              <w:left w:val="single" w:color="000000" w:sz="8" w:space="0"/>
              <w:right w:val="single" w:color="000000" w:sz="8" w:space="0"/>
            </w:tcBorders>
            <w:shd w:val="clear" w:color="auto" w:fill="FFFFFF"/>
            <w:noWrap w:val="0"/>
            <w:vAlign w:val="center"/>
          </w:tcPr>
          <w:p w14:paraId="7AC2C1DB">
            <w:pPr>
              <w:pStyle w:val="10"/>
              <w:bidi w:val="0"/>
              <w:jc w:val="center"/>
              <w:rPr>
                <w:b/>
                <w:bCs/>
                <w:color w:val="000000"/>
              </w:rPr>
            </w:pPr>
            <w:r>
              <w:rPr>
                <w:rFonts w:hint="eastAsia"/>
                <w:b/>
                <w:bCs/>
                <w:color w:val="000000"/>
              </w:rPr>
              <w:t>最大坝高</w:t>
            </w:r>
            <w:r>
              <w:rPr>
                <w:b/>
                <w:bCs/>
                <w:color w:val="000000"/>
              </w:rPr>
              <w:t>(m)</w:t>
            </w:r>
          </w:p>
        </w:tc>
        <w:tc>
          <w:tcPr>
            <w:tcW w:w="446" w:type="pct"/>
            <w:tcBorders>
              <w:top w:val="single" w:color="000000" w:sz="8" w:space="0"/>
              <w:left w:val="single" w:color="000000" w:sz="8" w:space="0"/>
              <w:right w:val="single" w:color="000000" w:sz="8" w:space="0"/>
            </w:tcBorders>
            <w:shd w:val="clear" w:color="auto" w:fill="FFFFFF"/>
            <w:noWrap w:val="0"/>
            <w:vAlign w:val="center"/>
          </w:tcPr>
          <w:p w14:paraId="4C8CE739">
            <w:pPr>
              <w:pStyle w:val="10"/>
              <w:bidi w:val="0"/>
              <w:jc w:val="center"/>
              <w:rPr>
                <w:b/>
                <w:bCs/>
                <w:color w:val="000000"/>
              </w:rPr>
            </w:pPr>
            <w:r>
              <w:rPr>
                <w:rFonts w:hint="eastAsia"/>
                <w:b/>
                <w:bCs/>
                <w:color w:val="000000"/>
              </w:rPr>
              <w:t>坝顶高程</w:t>
            </w:r>
            <w:r>
              <w:rPr>
                <w:b/>
                <w:bCs/>
                <w:color w:val="000000"/>
              </w:rPr>
              <w:t>(m)</w:t>
            </w:r>
          </w:p>
        </w:tc>
        <w:tc>
          <w:tcPr>
            <w:tcW w:w="351" w:type="pct"/>
            <w:tcBorders>
              <w:top w:val="single" w:color="000000" w:sz="8" w:space="0"/>
              <w:left w:val="single" w:color="000000" w:sz="8" w:space="0"/>
              <w:bottom w:val="single" w:color="000000" w:sz="8" w:space="0"/>
            </w:tcBorders>
            <w:shd w:val="clear" w:color="auto" w:fill="FFFFFF"/>
            <w:noWrap w:val="0"/>
            <w:vAlign w:val="center"/>
          </w:tcPr>
          <w:p w14:paraId="5677A5A6">
            <w:pPr>
              <w:pStyle w:val="10"/>
              <w:bidi w:val="0"/>
              <w:jc w:val="center"/>
              <w:rPr>
                <w:b/>
                <w:bCs/>
                <w:color w:val="000000"/>
              </w:rPr>
            </w:pPr>
            <w:r>
              <w:rPr>
                <w:rFonts w:hint="eastAsia"/>
                <w:b/>
                <w:bCs/>
                <w:color w:val="000000"/>
              </w:rPr>
              <w:t>坝顶长度</w:t>
            </w:r>
            <w:r>
              <w:rPr>
                <w:b/>
                <w:bCs/>
                <w:color w:val="000000"/>
              </w:rPr>
              <w:t>(m)</w:t>
            </w:r>
          </w:p>
        </w:tc>
      </w:tr>
      <w:tr w14:paraId="39BCE63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566" w:type="pct"/>
            <w:tcBorders>
              <w:top w:val="single" w:color="000000" w:sz="8" w:space="0"/>
              <w:bottom w:val="single" w:color="000000" w:sz="8" w:space="0"/>
              <w:right w:val="single" w:color="000000" w:sz="8" w:space="0"/>
            </w:tcBorders>
            <w:shd w:val="clear" w:color="auto" w:fill="FFFFFF"/>
            <w:noWrap w:val="0"/>
            <w:vAlign w:val="center"/>
          </w:tcPr>
          <w:p w14:paraId="09C8FF3D">
            <w:pPr>
              <w:pStyle w:val="10"/>
              <w:bidi w:val="0"/>
              <w:jc w:val="center"/>
              <w:rPr>
                <w:color w:val="000000"/>
              </w:rPr>
            </w:pPr>
            <w:r>
              <w:rPr>
                <w:rFonts w:hint="eastAsia"/>
                <w:color w:val="000000"/>
              </w:rPr>
              <w:t>孔江水库</w:t>
            </w:r>
          </w:p>
        </w:tc>
        <w:tc>
          <w:tcPr>
            <w:tcW w:w="36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C7BEEB9">
            <w:pPr>
              <w:pStyle w:val="10"/>
              <w:bidi w:val="0"/>
              <w:jc w:val="center"/>
              <w:rPr>
                <w:color w:val="000000"/>
              </w:rPr>
            </w:pPr>
            <w:r>
              <w:rPr>
                <w:rFonts w:hint="eastAsia"/>
                <w:color w:val="000000"/>
              </w:rPr>
              <w:t>北江</w:t>
            </w:r>
          </w:p>
        </w:tc>
        <w:tc>
          <w:tcPr>
            <w:tcW w:w="42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39858A3">
            <w:pPr>
              <w:pStyle w:val="10"/>
              <w:bidi w:val="0"/>
              <w:jc w:val="center"/>
              <w:rPr>
                <w:color w:val="000000"/>
              </w:rPr>
            </w:pPr>
            <w:r>
              <w:rPr>
                <w:color w:val="000000"/>
              </w:rPr>
              <w:t>79.4</w:t>
            </w:r>
          </w:p>
        </w:tc>
        <w:tc>
          <w:tcPr>
            <w:tcW w:w="4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37ED73C">
            <w:pPr>
              <w:pStyle w:val="10"/>
              <w:bidi w:val="0"/>
              <w:jc w:val="center"/>
              <w:rPr>
                <w:color w:val="000000"/>
              </w:rPr>
            </w:pPr>
            <w:r>
              <w:rPr>
                <w:color w:val="000000"/>
              </w:rPr>
              <w:t>0.6522</w:t>
            </w:r>
          </w:p>
        </w:tc>
        <w:tc>
          <w:tcPr>
            <w:tcW w:w="4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76A65FB">
            <w:pPr>
              <w:pStyle w:val="10"/>
              <w:bidi w:val="0"/>
              <w:jc w:val="center"/>
              <w:rPr>
                <w:color w:val="000000"/>
              </w:rPr>
            </w:pPr>
            <w:r>
              <w:rPr>
                <w:color w:val="000000"/>
              </w:rPr>
              <w:t>0.166</w:t>
            </w:r>
          </w:p>
        </w:tc>
        <w:tc>
          <w:tcPr>
            <w:tcW w:w="4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3CF8F10">
            <w:pPr>
              <w:pStyle w:val="10"/>
              <w:bidi w:val="0"/>
              <w:jc w:val="center"/>
              <w:rPr>
                <w:color w:val="000000"/>
              </w:rPr>
            </w:pPr>
            <w:r>
              <w:rPr>
                <w:color w:val="000000"/>
              </w:rPr>
              <w:t>186.5</w:t>
            </w:r>
          </w:p>
        </w:tc>
        <w:tc>
          <w:tcPr>
            <w:tcW w:w="49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2A69023">
            <w:pPr>
              <w:pStyle w:val="10"/>
              <w:bidi w:val="0"/>
              <w:jc w:val="center"/>
              <w:rPr>
                <w:color w:val="000000"/>
              </w:rPr>
            </w:pPr>
            <w:r>
              <w:rPr>
                <w:color w:val="000000"/>
              </w:rPr>
              <w:t>0.183</w:t>
            </w:r>
          </w:p>
        </w:tc>
        <w:tc>
          <w:tcPr>
            <w:tcW w:w="4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B32C8D6">
            <w:pPr>
              <w:pStyle w:val="10"/>
              <w:bidi w:val="0"/>
              <w:jc w:val="center"/>
              <w:rPr>
                <w:color w:val="000000"/>
              </w:rPr>
            </w:pPr>
            <w:r>
              <w:rPr>
                <w:rFonts w:hint="eastAsia"/>
                <w:color w:val="000000"/>
              </w:rPr>
              <w:t>土石坝</w:t>
            </w:r>
          </w:p>
        </w:tc>
        <w:tc>
          <w:tcPr>
            <w:tcW w:w="47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0D8096C">
            <w:pPr>
              <w:pStyle w:val="10"/>
              <w:bidi w:val="0"/>
              <w:jc w:val="center"/>
              <w:rPr>
                <w:color w:val="000000"/>
              </w:rPr>
            </w:pPr>
            <w:r>
              <w:rPr>
                <w:color w:val="000000"/>
              </w:rPr>
              <w:t>27.94</w:t>
            </w:r>
          </w:p>
        </w:tc>
        <w:tc>
          <w:tcPr>
            <w:tcW w:w="4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AAD511A">
            <w:pPr>
              <w:pStyle w:val="10"/>
              <w:bidi w:val="0"/>
              <w:jc w:val="center"/>
              <w:rPr>
                <w:color w:val="000000"/>
              </w:rPr>
            </w:pPr>
            <w:r>
              <w:rPr>
                <w:color w:val="000000"/>
              </w:rPr>
              <w:t>197.4</w:t>
            </w:r>
          </w:p>
        </w:tc>
        <w:tc>
          <w:tcPr>
            <w:tcW w:w="351" w:type="pct"/>
            <w:tcBorders>
              <w:top w:val="single" w:color="000000" w:sz="8" w:space="0"/>
              <w:left w:val="single" w:color="000000" w:sz="8" w:space="0"/>
              <w:bottom w:val="single" w:color="000000" w:sz="8" w:space="0"/>
            </w:tcBorders>
            <w:shd w:val="clear" w:color="auto" w:fill="FFFFFF"/>
            <w:noWrap w:val="0"/>
            <w:vAlign w:val="center"/>
          </w:tcPr>
          <w:p w14:paraId="3A329ABF">
            <w:pPr>
              <w:pStyle w:val="10"/>
              <w:bidi w:val="0"/>
              <w:jc w:val="center"/>
              <w:rPr>
                <w:color w:val="000000"/>
              </w:rPr>
            </w:pPr>
            <w:r>
              <w:rPr>
                <w:color w:val="000000"/>
              </w:rPr>
              <w:t>260</w:t>
            </w:r>
          </w:p>
        </w:tc>
      </w:tr>
      <w:tr w14:paraId="5BCAEC5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566" w:type="pct"/>
            <w:tcBorders>
              <w:top w:val="single" w:color="000000" w:sz="8" w:space="0"/>
              <w:bottom w:val="single" w:color="000000" w:sz="8" w:space="0"/>
              <w:right w:val="single" w:color="000000" w:sz="8" w:space="0"/>
            </w:tcBorders>
            <w:shd w:val="clear" w:color="auto" w:fill="FFFFFF"/>
            <w:noWrap w:val="0"/>
            <w:vAlign w:val="center"/>
          </w:tcPr>
          <w:p w14:paraId="3BB6BE23">
            <w:pPr>
              <w:pStyle w:val="10"/>
              <w:bidi w:val="0"/>
              <w:jc w:val="center"/>
              <w:rPr>
                <w:color w:val="000000"/>
              </w:rPr>
            </w:pPr>
            <w:r>
              <w:rPr>
                <w:rFonts w:hint="eastAsia"/>
                <w:color w:val="000000"/>
              </w:rPr>
              <w:t>瀑布水库</w:t>
            </w:r>
          </w:p>
        </w:tc>
        <w:tc>
          <w:tcPr>
            <w:tcW w:w="36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7E16DA4">
            <w:pPr>
              <w:pStyle w:val="10"/>
              <w:bidi w:val="0"/>
              <w:jc w:val="center"/>
              <w:rPr>
                <w:color w:val="000000"/>
              </w:rPr>
            </w:pPr>
            <w:r>
              <w:rPr>
                <w:rFonts w:hint="eastAsia"/>
                <w:color w:val="000000"/>
              </w:rPr>
              <w:t>北江</w:t>
            </w:r>
          </w:p>
        </w:tc>
        <w:tc>
          <w:tcPr>
            <w:tcW w:w="42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888B556">
            <w:pPr>
              <w:pStyle w:val="10"/>
              <w:bidi w:val="0"/>
              <w:jc w:val="center"/>
              <w:rPr>
                <w:color w:val="000000"/>
              </w:rPr>
            </w:pPr>
            <w:r>
              <w:rPr>
                <w:color w:val="000000"/>
              </w:rPr>
              <w:t>76</w:t>
            </w:r>
          </w:p>
        </w:tc>
        <w:tc>
          <w:tcPr>
            <w:tcW w:w="4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62CFE60">
            <w:pPr>
              <w:pStyle w:val="10"/>
              <w:bidi w:val="0"/>
              <w:jc w:val="center"/>
              <w:rPr>
                <w:color w:val="000000"/>
              </w:rPr>
            </w:pPr>
            <w:r>
              <w:rPr>
                <w:color w:val="000000"/>
              </w:rPr>
              <w:t>0.3317</w:t>
            </w:r>
          </w:p>
        </w:tc>
        <w:tc>
          <w:tcPr>
            <w:tcW w:w="4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BFC68CB">
            <w:pPr>
              <w:pStyle w:val="10"/>
              <w:bidi w:val="0"/>
              <w:jc w:val="center"/>
              <w:rPr>
                <w:color w:val="000000"/>
              </w:rPr>
            </w:pPr>
            <w:r>
              <w:rPr>
                <w:color w:val="000000"/>
              </w:rPr>
              <w:t>0.0747</w:t>
            </w:r>
          </w:p>
        </w:tc>
        <w:tc>
          <w:tcPr>
            <w:tcW w:w="4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9166A7F">
            <w:pPr>
              <w:pStyle w:val="10"/>
              <w:bidi w:val="0"/>
              <w:jc w:val="center"/>
              <w:rPr>
                <w:color w:val="000000"/>
              </w:rPr>
            </w:pPr>
            <w:r>
              <w:rPr>
                <w:color w:val="000000"/>
              </w:rPr>
              <w:t>323</w:t>
            </w:r>
          </w:p>
        </w:tc>
        <w:tc>
          <w:tcPr>
            <w:tcW w:w="49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6AC27AC">
            <w:pPr>
              <w:pStyle w:val="10"/>
              <w:bidi w:val="0"/>
              <w:jc w:val="center"/>
              <w:rPr>
                <w:color w:val="000000"/>
              </w:rPr>
            </w:pPr>
            <w:r>
              <w:rPr>
                <w:color w:val="000000"/>
              </w:rPr>
              <w:t>0.0256</w:t>
            </w:r>
          </w:p>
        </w:tc>
        <w:tc>
          <w:tcPr>
            <w:tcW w:w="4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87315A8">
            <w:pPr>
              <w:pStyle w:val="10"/>
              <w:bidi w:val="0"/>
              <w:jc w:val="center"/>
              <w:rPr>
                <w:color w:val="000000"/>
              </w:rPr>
            </w:pPr>
            <w:r>
              <w:rPr>
                <w:rFonts w:hint="eastAsia"/>
                <w:color w:val="000000"/>
              </w:rPr>
              <w:t>土石坝</w:t>
            </w:r>
          </w:p>
        </w:tc>
        <w:tc>
          <w:tcPr>
            <w:tcW w:w="47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0C7E84C">
            <w:pPr>
              <w:pStyle w:val="10"/>
              <w:bidi w:val="0"/>
              <w:jc w:val="center"/>
              <w:rPr>
                <w:color w:val="000000"/>
              </w:rPr>
            </w:pPr>
            <w:r>
              <w:rPr>
                <w:color w:val="000000"/>
              </w:rPr>
              <w:t>51</w:t>
            </w:r>
          </w:p>
        </w:tc>
        <w:tc>
          <w:tcPr>
            <w:tcW w:w="4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946019E">
            <w:pPr>
              <w:pStyle w:val="10"/>
              <w:bidi w:val="0"/>
              <w:jc w:val="center"/>
              <w:rPr>
                <w:color w:val="000000"/>
              </w:rPr>
            </w:pPr>
            <w:r>
              <w:rPr>
                <w:color w:val="000000"/>
              </w:rPr>
              <w:t>351</w:t>
            </w:r>
          </w:p>
        </w:tc>
        <w:tc>
          <w:tcPr>
            <w:tcW w:w="351" w:type="pct"/>
            <w:tcBorders>
              <w:top w:val="single" w:color="000000" w:sz="8" w:space="0"/>
              <w:left w:val="single" w:color="000000" w:sz="8" w:space="0"/>
              <w:bottom w:val="single" w:color="000000" w:sz="8" w:space="0"/>
            </w:tcBorders>
            <w:shd w:val="clear" w:color="auto" w:fill="FFFFFF"/>
            <w:noWrap w:val="0"/>
            <w:vAlign w:val="center"/>
          </w:tcPr>
          <w:p w14:paraId="02FA3999">
            <w:pPr>
              <w:pStyle w:val="10"/>
              <w:bidi w:val="0"/>
              <w:jc w:val="center"/>
              <w:rPr>
                <w:color w:val="000000"/>
              </w:rPr>
            </w:pPr>
            <w:r>
              <w:rPr>
                <w:color w:val="000000"/>
              </w:rPr>
              <w:t>160</w:t>
            </w:r>
          </w:p>
        </w:tc>
      </w:tr>
      <w:tr w14:paraId="7FFFC2F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66" w:type="pct"/>
            <w:tcBorders>
              <w:top w:val="single" w:color="000000" w:sz="8" w:space="0"/>
              <w:bottom w:val="single" w:color="000000" w:sz="8" w:space="0"/>
              <w:right w:val="single" w:color="000000" w:sz="8" w:space="0"/>
            </w:tcBorders>
            <w:shd w:val="clear" w:color="auto" w:fill="FFFFFF"/>
            <w:noWrap w:val="0"/>
            <w:vAlign w:val="center"/>
          </w:tcPr>
          <w:p w14:paraId="3C68E4BA">
            <w:pPr>
              <w:pStyle w:val="10"/>
              <w:bidi w:val="0"/>
              <w:jc w:val="center"/>
              <w:rPr>
                <w:color w:val="000000"/>
              </w:rPr>
            </w:pPr>
            <w:r>
              <w:rPr>
                <w:rFonts w:hint="eastAsia"/>
                <w:color w:val="000000"/>
              </w:rPr>
              <w:t>宝江水库</w:t>
            </w:r>
          </w:p>
        </w:tc>
        <w:tc>
          <w:tcPr>
            <w:tcW w:w="36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5BB6909">
            <w:pPr>
              <w:pStyle w:val="10"/>
              <w:bidi w:val="0"/>
              <w:jc w:val="center"/>
              <w:rPr>
                <w:color w:val="000000"/>
              </w:rPr>
            </w:pPr>
            <w:r>
              <w:rPr>
                <w:rFonts w:hint="eastAsia"/>
                <w:color w:val="000000"/>
              </w:rPr>
              <w:t>北江</w:t>
            </w:r>
          </w:p>
        </w:tc>
        <w:tc>
          <w:tcPr>
            <w:tcW w:w="42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B624154">
            <w:pPr>
              <w:pStyle w:val="10"/>
              <w:bidi w:val="0"/>
              <w:jc w:val="center"/>
              <w:rPr>
                <w:color w:val="000000"/>
              </w:rPr>
            </w:pPr>
            <w:r>
              <w:rPr>
                <w:color w:val="000000"/>
              </w:rPr>
              <w:t>48.1</w:t>
            </w:r>
          </w:p>
        </w:tc>
        <w:tc>
          <w:tcPr>
            <w:tcW w:w="4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3328F23">
            <w:pPr>
              <w:pStyle w:val="10"/>
              <w:bidi w:val="0"/>
              <w:jc w:val="center"/>
              <w:rPr>
                <w:color w:val="000000"/>
              </w:rPr>
            </w:pPr>
            <w:r>
              <w:rPr>
                <w:color w:val="000000"/>
              </w:rPr>
              <w:t>0.2375</w:t>
            </w:r>
          </w:p>
        </w:tc>
        <w:tc>
          <w:tcPr>
            <w:tcW w:w="4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33FF8E8">
            <w:pPr>
              <w:pStyle w:val="10"/>
              <w:bidi w:val="0"/>
              <w:jc w:val="center"/>
              <w:rPr>
                <w:color w:val="000000"/>
              </w:rPr>
            </w:pPr>
            <w:r>
              <w:rPr>
                <w:color w:val="000000"/>
              </w:rPr>
              <w:t>0.0707</w:t>
            </w:r>
          </w:p>
        </w:tc>
        <w:tc>
          <w:tcPr>
            <w:tcW w:w="4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32F2007">
            <w:pPr>
              <w:pStyle w:val="10"/>
              <w:bidi w:val="0"/>
              <w:jc w:val="center"/>
              <w:rPr>
                <w:color w:val="000000"/>
              </w:rPr>
            </w:pPr>
            <w:r>
              <w:rPr>
                <w:color w:val="000000"/>
              </w:rPr>
              <w:t>169.386</w:t>
            </w:r>
          </w:p>
        </w:tc>
        <w:tc>
          <w:tcPr>
            <w:tcW w:w="49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C4D42F3">
            <w:pPr>
              <w:pStyle w:val="10"/>
              <w:bidi w:val="0"/>
              <w:jc w:val="center"/>
              <w:rPr>
                <w:color w:val="000000"/>
              </w:rPr>
            </w:pPr>
            <w:r>
              <w:rPr>
                <w:color w:val="000000"/>
              </w:rPr>
              <w:t>0.0043</w:t>
            </w:r>
          </w:p>
        </w:tc>
        <w:tc>
          <w:tcPr>
            <w:tcW w:w="4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1202CEF">
            <w:pPr>
              <w:pStyle w:val="10"/>
              <w:bidi w:val="0"/>
              <w:jc w:val="center"/>
              <w:rPr>
                <w:color w:val="000000"/>
              </w:rPr>
            </w:pPr>
            <w:r>
              <w:rPr>
                <w:rFonts w:hint="eastAsia"/>
                <w:color w:val="000000"/>
              </w:rPr>
              <w:t>土石坝</w:t>
            </w:r>
          </w:p>
        </w:tc>
        <w:tc>
          <w:tcPr>
            <w:tcW w:w="47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45694DB">
            <w:pPr>
              <w:pStyle w:val="10"/>
              <w:bidi w:val="0"/>
              <w:jc w:val="center"/>
              <w:rPr>
                <w:color w:val="000000"/>
              </w:rPr>
            </w:pPr>
            <w:r>
              <w:rPr>
                <w:color w:val="000000"/>
              </w:rPr>
              <w:t>42</w:t>
            </w:r>
          </w:p>
        </w:tc>
        <w:tc>
          <w:tcPr>
            <w:tcW w:w="4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67DDD6C">
            <w:pPr>
              <w:pStyle w:val="10"/>
              <w:bidi w:val="0"/>
              <w:jc w:val="center"/>
              <w:rPr>
                <w:color w:val="000000"/>
              </w:rPr>
            </w:pPr>
            <w:r>
              <w:rPr>
                <w:color w:val="000000"/>
              </w:rPr>
              <w:t>202.88</w:t>
            </w:r>
          </w:p>
        </w:tc>
        <w:tc>
          <w:tcPr>
            <w:tcW w:w="351" w:type="pct"/>
            <w:tcBorders>
              <w:top w:val="single" w:color="000000" w:sz="8" w:space="0"/>
              <w:left w:val="single" w:color="000000" w:sz="8" w:space="0"/>
              <w:bottom w:val="single" w:color="000000" w:sz="8" w:space="0"/>
            </w:tcBorders>
            <w:shd w:val="clear" w:color="auto" w:fill="FFFFFF"/>
            <w:noWrap w:val="0"/>
            <w:vAlign w:val="center"/>
          </w:tcPr>
          <w:p w14:paraId="11B36458">
            <w:pPr>
              <w:pStyle w:val="10"/>
              <w:bidi w:val="0"/>
              <w:jc w:val="center"/>
              <w:rPr>
                <w:color w:val="000000"/>
              </w:rPr>
            </w:pPr>
            <w:r>
              <w:rPr>
                <w:color w:val="000000"/>
              </w:rPr>
              <w:t>180</w:t>
            </w:r>
          </w:p>
        </w:tc>
      </w:tr>
      <w:tr w14:paraId="47AAB1C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66" w:type="pct"/>
            <w:tcBorders>
              <w:top w:val="single" w:color="000000" w:sz="8" w:space="0"/>
              <w:bottom w:val="single" w:color="000000" w:sz="8" w:space="0"/>
              <w:right w:val="single" w:color="000000" w:sz="8" w:space="0"/>
            </w:tcBorders>
            <w:shd w:val="clear" w:color="auto" w:fill="FFFFFF"/>
            <w:noWrap w:val="0"/>
            <w:vAlign w:val="center"/>
          </w:tcPr>
          <w:p w14:paraId="3AD7D5B8">
            <w:pPr>
              <w:pStyle w:val="10"/>
              <w:bidi w:val="0"/>
              <w:jc w:val="center"/>
              <w:rPr>
                <w:color w:val="000000"/>
              </w:rPr>
            </w:pPr>
            <w:r>
              <w:rPr>
                <w:rFonts w:hint="eastAsia"/>
                <w:color w:val="000000"/>
              </w:rPr>
              <w:t>中坪水库</w:t>
            </w:r>
          </w:p>
        </w:tc>
        <w:tc>
          <w:tcPr>
            <w:tcW w:w="36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7380268">
            <w:pPr>
              <w:pStyle w:val="10"/>
              <w:bidi w:val="0"/>
              <w:jc w:val="center"/>
              <w:rPr>
                <w:color w:val="000000"/>
              </w:rPr>
            </w:pPr>
            <w:r>
              <w:rPr>
                <w:rFonts w:hint="eastAsia"/>
                <w:color w:val="000000"/>
              </w:rPr>
              <w:t>北江</w:t>
            </w:r>
          </w:p>
        </w:tc>
        <w:tc>
          <w:tcPr>
            <w:tcW w:w="42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397A9CB">
            <w:pPr>
              <w:pStyle w:val="10"/>
              <w:bidi w:val="0"/>
              <w:jc w:val="center"/>
              <w:rPr>
                <w:color w:val="000000"/>
              </w:rPr>
            </w:pPr>
            <w:r>
              <w:rPr>
                <w:color w:val="000000"/>
              </w:rPr>
              <w:t>26</w:t>
            </w:r>
          </w:p>
        </w:tc>
        <w:tc>
          <w:tcPr>
            <w:tcW w:w="4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E2EFF4F">
            <w:pPr>
              <w:pStyle w:val="10"/>
              <w:bidi w:val="0"/>
              <w:jc w:val="center"/>
              <w:rPr>
                <w:color w:val="000000"/>
              </w:rPr>
            </w:pPr>
            <w:r>
              <w:rPr>
                <w:color w:val="000000"/>
              </w:rPr>
              <w:t>0.1709</w:t>
            </w:r>
          </w:p>
        </w:tc>
        <w:tc>
          <w:tcPr>
            <w:tcW w:w="4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46EC3BB">
            <w:pPr>
              <w:pStyle w:val="10"/>
              <w:bidi w:val="0"/>
              <w:jc w:val="center"/>
              <w:rPr>
                <w:color w:val="000000"/>
              </w:rPr>
            </w:pPr>
            <w:r>
              <w:rPr>
                <w:color w:val="000000"/>
              </w:rPr>
              <w:t>0.108</w:t>
            </w:r>
          </w:p>
        </w:tc>
        <w:tc>
          <w:tcPr>
            <w:tcW w:w="4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C332D8B">
            <w:pPr>
              <w:pStyle w:val="10"/>
              <w:bidi w:val="0"/>
              <w:jc w:val="center"/>
              <w:rPr>
                <w:color w:val="000000"/>
              </w:rPr>
            </w:pPr>
            <w:r>
              <w:rPr>
                <w:color w:val="000000"/>
              </w:rPr>
              <w:t>320.68</w:t>
            </w:r>
          </w:p>
        </w:tc>
        <w:tc>
          <w:tcPr>
            <w:tcW w:w="49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502E551">
            <w:pPr>
              <w:pStyle w:val="10"/>
              <w:bidi w:val="0"/>
              <w:jc w:val="center"/>
              <w:rPr>
                <w:color w:val="000000"/>
              </w:rPr>
            </w:pPr>
            <w:r>
              <w:rPr>
                <w:color w:val="000000"/>
              </w:rPr>
              <w:t>0.0012</w:t>
            </w:r>
          </w:p>
        </w:tc>
        <w:tc>
          <w:tcPr>
            <w:tcW w:w="4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0B1C53D">
            <w:pPr>
              <w:pStyle w:val="10"/>
              <w:bidi w:val="0"/>
              <w:jc w:val="center"/>
              <w:rPr>
                <w:color w:val="000000"/>
              </w:rPr>
            </w:pPr>
            <w:r>
              <w:rPr>
                <w:rFonts w:hint="eastAsia"/>
                <w:color w:val="000000"/>
              </w:rPr>
              <w:t>土石坝</w:t>
            </w:r>
          </w:p>
        </w:tc>
        <w:tc>
          <w:tcPr>
            <w:tcW w:w="47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D16A51F">
            <w:pPr>
              <w:pStyle w:val="10"/>
              <w:bidi w:val="0"/>
              <w:jc w:val="center"/>
              <w:rPr>
                <w:color w:val="000000"/>
              </w:rPr>
            </w:pPr>
            <w:r>
              <w:rPr>
                <w:color w:val="000000"/>
              </w:rPr>
              <w:t>40.84</w:t>
            </w:r>
          </w:p>
        </w:tc>
        <w:tc>
          <w:tcPr>
            <w:tcW w:w="4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37CAECC">
            <w:pPr>
              <w:pStyle w:val="10"/>
              <w:bidi w:val="0"/>
              <w:jc w:val="center"/>
              <w:rPr>
                <w:color w:val="000000"/>
              </w:rPr>
            </w:pPr>
            <w:r>
              <w:rPr>
                <w:color w:val="000000"/>
              </w:rPr>
              <w:t>355.02</w:t>
            </w:r>
          </w:p>
        </w:tc>
        <w:tc>
          <w:tcPr>
            <w:tcW w:w="351" w:type="pct"/>
            <w:tcBorders>
              <w:top w:val="single" w:color="000000" w:sz="8" w:space="0"/>
              <w:left w:val="single" w:color="000000" w:sz="8" w:space="0"/>
              <w:bottom w:val="single" w:color="000000" w:sz="8" w:space="0"/>
            </w:tcBorders>
            <w:shd w:val="clear" w:color="auto" w:fill="FFFFFF"/>
            <w:noWrap w:val="0"/>
            <w:vAlign w:val="center"/>
          </w:tcPr>
          <w:p w14:paraId="18058E8D">
            <w:pPr>
              <w:pStyle w:val="10"/>
              <w:bidi w:val="0"/>
              <w:jc w:val="center"/>
              <w:rPr>
                <w:color w:val="000000"/>
              </w:rPr>
            </w:pPr>
            <w:r>
              <w:rPr>
                <w:color w:val="000000"/>
              </w:rPr>
              <w:t>140</w:t>
            </w:r>
          </w:p>
        </w:tc>
      </w:tr>
      <w:tr w14:paraId="16384D7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66" w:type="pct"/>
            <w:tcBorders>
              <w:top w:val="single" w:color="000000" w:sz="8" w:space="0"/>
              <w:bottom w:val="single" w:color="000000" w:sz="8" w:space="0"/>
              <w:right w:val="single" w:color="000000" w:sz="8" w:space="0"/>
            </w:tcBorders>
            <w:shd w:val="clear" w:color="auto" w:fill="FFFFFF"/>
            <w:noWrap w:val="0"/>
            <w:vAlign w:val="center"/>
          </w:tcPr>
          <w:p w14:paraId="1E88B907">
            <w:pPr>
              <w:pStyle w:val="10"/>
              <w:bidi w:val="0"/>
              <w:jc w:val="center"/>
              <w:rPr>
                <w:color w:val="000000"/>
              </w:rPr>
            </w:pPr>
            <w:r>
              <w:rPr>
                <w:rFonts w:hint="eastAsia"/>
                <w:color w:val="000000"/>
              </w:rPr>
              <w:t>横江水库</w:t>
            </w:r>
          </w:p>
        </w:tc>
        <w:tc>
          <w:tcPr>
            <w:tcW w:w="36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FC63562">
            <w:pPr>
              <w:pStyle w:val="10"/>
              <w:bidi w:val="0"/>
              <w:jc w:val="center"/>
              <w:rPr>
                <w:color w:val="000000"/>
              </w:rPr>
            </w:pPr>
            <w:r>
              <w:rPr>
                <w:rFonts w:hint="eastAsia"/>
                <w:color w:val="000000"/>
              </w:rPr>
              <w:t>北江</w:t>
            </w:r>
          </w:p>
        </w:tc>
        <w:tc>
          <w:tcPr>
            <w:tcW w:w="42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4C3A0B0">
            <w:pPr>
              <w:pStyle w:val="10"/>
              <w:bidi w:val="0"/>
              <w:jc w:val="center"/>
              <w:rPr>
                <w:color w:val="000000"/>
              </w:rPr>
            </w:pPr>
            <w:r>
              <w:rPr>
                <w:color w:val="000000"/>
              </w:rPr>
              <w:t>24.25</w:t>
            </w:r>
          </w:p>
        </w:tc>
        <w:tc>
          <w:tcPr>
            <w:tcW w:w="4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AACF22E">
            <w:pPr>
              <w:pStyle w:val="10"/>
              <w:bidi w:val="0"/>
              <w:jc w:val="center"/>
              <w:rPr>
                <w:color w:val="000000"/>
              </w:rPr>
            </w:pPr>
            <w:r>
              <w:rPr>
                <w:color w:val="000000"/>
              </w:rPr>
              <w:t>0.1524</w:t>
            </w:r>
          </w:p>
        </w:tc>
        <w:tc>
          <w:tcPr>
            <w:tcW w:w="4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A255BF6">
            <w:pPr>
              <w:pStyle w:val="10"/>
              <w:bidi w:val="0"/>
              <w:jc w:val="center"/>
              <w:rPr>
                <w:color w:val="000000"/>
              </w:rPr>
            </w:pPr>
            <w:r>
              <w:rPr>
                <w:color w:val="000000"/>
              </w:rPr>
              <w:t>0.024</w:t>
            </w:r>
          </w:p>
        </w:tc>
        <w:tc>
          <w:tcPr>
            <w:tcW w:w="4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169E133">
            <w:pPr>
              <w:pStyle w:val="10"/>
              <w:bidi w:val="0"/>
              <w:jc w:val="center"/>
              <w:rPr>
                <w:color w:val="000000"/>
              </w:rPr>
            </w:pPr>
            <w:r>
              <w:rPr>
                <w:color w:val="000000"/>
              </w:rPr>
              <w:t>178.01</w:t>
            </w:r>
          </w:p>
        </w:tc>
        <w:tc>
          <w:tcPr>
            <w:tcW w:w="49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B079F60">
            <w:pPr>
              <w:pStyle w:val="10"/>
              <w:bidi w:val="0"/>
              <w:jc w:val="center"/>
              <w:rPr>
                <w:color w:val="000000"/>
              </w:rPr>
            </w:pPr>
            <w:r>
              <w:rPr>
                <w:color w:val="000000"/>
              </w:rPr>
              <w:t>0.0027</w:t>
            </w:r>
          </w:p>
        </w:tc>
        <w:tc>
          <w:tcPr>
            <w:tcW w:w="4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2E09D96">
            <w:pPr>
              <w:pStyle w:val="10"/>
              <w:bidi w:val="0"/>
              <w:jc w:val="center"/>
              <w:rPr>
                <w:color w:val="000000"/>
              </w:rPr>
            </w:pPr>
            <w:r>
              <w:rPr>
                <w:rFonts w:hint="eastAsia"/>
                <w:color w:val="000000"/>
              </w:rPr>
              <w:t>土石坝</w:t>
            </w:r>
          </w:p>
        </w:tc>
        <w:tc>
          <w:tcPr>
            <w:tcW w:w="47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88AEA72">
            <w:pPr>
              <w:pStyle w:val="10"/>
              <w:bidi w:val="0"/>
              <w:jc w:val="center"/>
              <w:rPr>
                <w:color w:val="000000"/>
              </w:rPr>
            </w:pPr>
            <w:r>
              <w:rPr>
                <w:color w:val="000000"/>
              </w:rPr>
              <w:t>37.32</w:t>
            </w:r>
          </w:p>
        </w:tc>
        <w:tc>
          <w:tcPr>
            <w:tcW w:w="4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DCDFCC7">
            <w:pPr>
              <w:pStyle w:val="10"/>
              <w:bidi w:val="0"/>
              <w:jc w:val="center"/>
              <w:rPr>
                <w:color w:val="000000"/>
              </w:rPr>
            </w:pPr>
            <w:r>
              <w:rPr>
                <w:color w:val="000000"/>
              </w:rPr>
              <w:t>208.32</w:t>
            </w:r>
          </w:p>
        </w:tc>
        <w:tc>
          <w:tcPr>
            <w:tcW w:w="351" w:type="pct"/>
            <w:tcBorders>
              <w:top w:val="single" w:color="000000" w:sz="8" w:space="0"/>
              <w:left w:val="single" w:color="000000" w:sz="8" w:space="0"/>
              <w:bottom w:val="single" w:color="000000" w:sz="8" w:space="0"/>
            </w:tcBorders>
            <w:shd w:val="clear" w:color="auto" w:fill="FFFFFF"/>
            <w:noWrap w:val="0"/>
            <w:vAlign w:val="center"/>
          </w:tcPr>
          <w:p w14:paraId="3C14D348">
            <w:pPr>
              <w:pStyle w:val="10"/>
              <w:bidi w:val="0"/>
              <w:jc w:val="center"/>
              <w:rPr>
                <w:color w:val="000000"/>
              </w:rPr>
            </w:pPr>
            <w:r>
              <w:rPr>
                <w:color w:val="000000"/>
              </w:rPr>
              <w:t>210</w:t>
            </w:r>
          </w:p>
        </w:tc>
      </w:tr>
      <w:tr w14:paraId="78EF772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66" w:type="pct"/>
            <w:tcBorders>
              <w:top w:val="single" w:color="000000" w:sz="8" w:space="0"/>
              <w:bottom w:val="single" w:color="000000" w:sz="8" w:space="0"/>
              <w:right w:val="single" w:color="000000" w:sz="8" w:space="0"/>
            </w:tcBorders>
            <w:shd w:val="clear" w:color="auto" w:fill="FFFFFF"/>
            <w:noWrap w:val="0"/>
            <w:vAlign w:val="center"/>
          </w:tcPr>
          <w:p w14:paraId="5F87F9B4">
            <w:pPr>
              <w:pStyle w:val="10"/>
              <w:bidi w:val="0"/>
              <w:jc w:val="center"/>
              <w:rPr>
                <w:color w:val="000000"/>
              </w:rPr>
            </w:pPr>
            <w:r>
              <w:rPr>
                <w:rFonts w:hint="eastAsia"/>
                <w:color w:val="000000"/>
              </w:rPr>
              <w:t>苍石水库</w:t>
            </w:r>
          </w:p>
        </w:tc>
        <w:tc>
          <w:tcPr>
            <w:tcW w:w="36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206CE49">
            <w:pPr>
              <w:pStyle w:val="10"/>
              <w:bidi w:val="0"/>
              <w:jc w:val="center"/>
              <w:rPr>
                <w:color w:val="000000"/>
              </w:rPr>
            </w:pPr>
            <w:r>
              <w:rPr>
                <w:rFonts w:hint="eastAsia"/>
                <w:color w:val="000000"/>
              </w:rPr>
              <w:t>北江</w:t>
            </w:r>
          </w:p>
        </w:tc>
        <w:tc>
          <w:tcPr>
            <w:tcW w:w="42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C821911">
            <w:pPr>
              <w:pStyle w:val="10"/>
              <w:bidi w:val="0"/>
              <w:jc w:val="center"/>
              <w:rPr>
                <w:color w:val="000000"/>
              </w:rPr>
            </w:pPr>
            <w:r>
              <w:rPr>
                <w:color w:val="000000"/>
              </w:rPr>
              <w:t>46.25</w:t>
            </w:r>
          </w:p>
        </w:tc>
        <w:tc>
          <w:tcPr>
            <w:tcW w:w="4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BCE9E34">
            <w:pPr>
              <w:pStyle w:val="10"/>
              <w:bidi w:val="0"/>
              <w:jc w:val="center"/>
              <w:rPr>
                <w:color w:val="000000"/>
              </w:rPr>
            </w:pPr>
            <w:r>
              <w:rPr>
                <w:color w:val="000000"/>
              </w:rPr>
              <w:t>0.1176</w:t>
            </w:r>
          </w:p>
        </w:tc>
        <w:tc>
          <w:tcPr>
            <w:tcW w:w="4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0EE69B3">
            <w:pPr>
              <w:pStyle w:val="10"/>
              <w:bidi w:val="0"/>
              <w:jc w:val="center"/>
              <w:rPr>
                <w:color w:val="000000"/>
              </w:rPr>
            </w:pPr>
            <w:r>
              <w:rPr>
                <w:color w:val="000000"/>
              </w:rPr>
              <w:t>0.032</w:t>
            </w:r>
          </w:p>
        </w:tc>
        <w:tc>
          <w:tcPr>
            <w:tcW w:w="4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845A292">
            <w:pPr>
              <w:pStyle w:val="10"/>
              <w:bidi w:val="0"/>
              <w:jc w:val="center"/>
              <w:rPr>
                <w:color w:val="000000"/>
              </w:rPr>
            </w:pPr>
            <w:r>
              <w:rPr>
                <w:color w:val="000000"/>
              </w:rPr>
              <w:t>403</w:t>
            </w:r>
          </w:p>
        </w:tc>
        <w:tc>
          <w:tcPr>
            <w:tcW w:w="49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81D7FB1">
            <w:pPr>
              <w:pStyle w:val="10"/>
              <w:bidi w:val="0"/>
              <w:jc w:val="center"/>
              <w:rPr>
                <w:color w:val="000000"/>
              </w:rPr>
            </w:pPr>
            <w:r>
              <w:rPr>
                <w:color w:val="000000"/>
              </w:rPr>
              <w:t>0.0045</w:t>
            </w:r>
          </w:p>
        </w:tc>
        <w:tc>
          <w:tcPr>
            <w:tcW w:w="4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5108A49">
            <w:pPr>
              <w:pStyle w:val="10"/>
              <w:bidi w:val="0"/>
              <w:jc w:val="center"/>
              <w:rPr>
                <w:color w:val="000000"/>
              </w:rPr>
            </w:pPr>
            <w:r>
              <w:rPr>
                <w:rFonts w:hint="eastAsia"/>
                <w:color w:val="000000"/>
              </w:rPr>
              <w:t>重力坝</w:t>
            </w:r>
          </w:p>
        </w:tc>
        <w:tc>
          <w:tcPr>
            <w:tcW w:w="47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07EAA08">
            <w:pPr>
              <w:pStyle w:val="10"/>
              <w:bidi w:val="0"/>
              <w:jc w:val="center"/>
              <w:rPr>
                <w:color w:val="000000"/>
              </w:rPr>
            </w:pPr>
            <w:r>
              <w:rPr>
                <w:color w:val="000000"/>
              </w:rPr>
              <w:t>63.8</w:t>
            </w:r>
          </w:p>
        </w:tc>
        <w:tc>
          <w:tcPr>
            <w:tcW w:w="4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F92D212">
            <w:pPr>
              <w:pStyle w:val="10"/>
              <w:bidi w:val="0"/>
              <w:jc w:val="center"/>
              <w:rPr>
                <w:color w:val="000000"/>
              </w:rPr>
            </w:pPr>
            <w:r>
              <w:rPr>
                <w:color w:val="000000"/>
              </w:rPr>
              <w:t>443.8</w:t>
            </w:r>
          </w:p>
        </w:tc>
        <w:tc>
          <w:tcPr>
            <w:tcW w:w="351" w:type="pct"/>
            <w:tcBorders>
              <w:top w:val="single" w:color="000000" w:sz="8" w:space="0"/>
              <w:left w:val="single" w:color="000000" w:sz="8" w:space="0"/>
              <w:bottom w:val="single" w:color="000000" w:sz="8" w:space="0"/>
            </w:tcBorders>
            <w:shd w:val="clear" w:color="auto" w:fill="FFFFFF"/>
            <w:noWrap w:val="0"/>
            <w:vAlign w:val="center"/>
          </w:tcPr>
          <w:p w14:paraId="6D767D13">
            <w:pPr>
              <w:pStyle w:val="10"/>
              <w:bidi w:val="0"/>
              <w:jc w:val="center"/>
              <w:rPr>
                <w:color w:val="000000"/>
              </w:rPr>
            </w:pPr>
            <w:r>
              <w:rPr>
                <w:color w:val="000000"/>
              </w:rPr>
              <w:t>210</w:t>
            </w:r>
          </w:p>
        </w:tc>
      </w:tr>
    </w:tbl>
    <w:p w14:paraId="7B928CBF">
      <w:pPr>
        <w:bidi w:val="0"/>
        <w:ind w:left="0" w:leftChars="0" w:firstLine="0" w:firstLineChars="0"/>
        <w:jc w:val="center"/>
        <w:rPr>
          <w:rFonts w:hint="eastAsia"/>
          <w:b/>
          <w:bCs/>
        </w:rPr>
      </w:pPr>
      <w:r>
        <w:rPr>
          <w:rFonts w:hint="eastAsia"/>
          <w:b/>
          <w:bCs/>
        </w:rPr>
        <w:t>南雄市灌区工程特性表</w:t>
      </w:r>
    </w:p>
    <w:p w14:paraId="62B1C42A">
      <w:pPr>
        <w:bidi w:val="0"/>
        <w:rPr>
          <w:rFonts w:hint="eastAsia"/>
        </w:rPr>
      </w:pPr>
      <w:r>
        <w:rPr>
          <w:rFonts w:hint="eastAsia"/>
        </w:rPr>
        <w:t>表5</w:t>
      </w:r>
    </w:p>
    <w:tbl>
      <w:tblPr>
        <w:tblStyle w:val="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9"/>
        <w:gridCol w:w="471"/>
        <w:gridCol w:w="482"/>
        <w:gridCol w:w="450"/>
        <w:gridCol w:w="483"/>
        <w:gridCol w:w="503"/>
        <w:gridCol w:w="547"/>
        <w:gridCol w:w="492"/>
        <w:gridCol w:w="450"/>
        <w:gridCol w:w="525"/>
        <w:gridCol w:w="504"/>
        <w:gridCol w:w="557"/>
        <w:gridCol w:w="525"/>
        <w:gridCol w:w="493"/>
        <w:gridCol w:w="557"/>
        <w:gridCol w:w="493"/>
        <w:gridCol w:w="461"/>
        <w:gridCol w:w="471"/>
        <w:gridCol w:w="514"/>
        <w:gridCol w:w="525"/>
      </w:tblGrid>
      <w:tr w14:paraId="63C4B4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0" w:type="pct"/>
            <w:vMerge w:val="restart"/>
            <w:tcBorders>
              <w:top w:val="single" w:color="000000" w:sz="8" w:space="0"/>
              <w:left w:val="nil"/>
              <w:bottom w:val="single" w:color="000000" w:sz="8" w:space="0"/>
              <w:right w:val="single" w:color="000000" w:sz="8" w:space="0"/>
            </w:tcBorders>
            <w:shd w:val="clear" w:color="auto" w:fill="FFFFFF"/>
            <w:vAlign w:val="center"/>
          </w:tcPr>
          <w:p w14:paraId="09248258">
            <w:pPr>
              <w:pStyle w:val="10"/>
              <w:bidi w:val="0"/>
              <w:jc w:val="center"/>
              <w:rPr>
                <w:rFonts w:hint="eastAsia"/>
                <w:b/>
                <w:bCs/>
                <w:color w:val="000000"/>
              </w:rPr>
            </w:pPr>
            <w:r>
              <w:rPr>
                <w:rFonts w:hint="eastAsia"/>
                <w:b/>
                <w:bCs/>
                <w:color w:val="000000"/>
              </w:rPr>
              <w:t>灌区名称</w:t>
            </w:r>
          </w:p>
        </w:tc>
        <w:tc>
          <w:tcPr>
            <w:tcW w:w="236" w:type="pct"/>
            <w:vMerge w:val="restart"/>
            <w:tcBorders>
              <w:top w:val="single" w:color="000000" w:sz="8" w:space="0"/>
              <w:left w:val="single" w:color="000000" w:sz="8" w:space="0"/>
              <w:bottom w:val="single" w:color="000000" w:sz="8" w:space="0"/>
              <w:right w:val="single" w:color="000000" w:sz="8" w:space="0"/>
            </w:tcBorders>
            <w:shd w:val="clear" w:color="auto" w:fill="FFFFFF"/>
            <w:vAlign w:val="center"/>
          </w:tcPr>
          <w:p w14:paraId="2A7BC1C4">
            <w:pPr>
              <w:pStyle w:val="10"/>
              <w:bidi w:val="0"/>
              <w:jc w:val="center"/>
              <w:rPr>
                <w:rFonts w:hint="eastAsia"/>
                <w:b/>
                <w:bCs/>
                <w:color w:val="000000"/>
              </w:rPr>
            </w:pPr>
            <w:r>
              <w:rPr>
                <w:rFonts w:hint="eastAsia"/>
                <w:b/>
                <w:bCs/>
                <w:color w:val="000000"/>
              </w:rPr>
              <w:t>地址</w:t>
            </w:r>
          </w:p>
        </w:tc>
        <w:tc>
          <w:tcPr>
            <w:tcW w:w="241" w:type="pct"/>
            <w:vMerge w:val="restart"/>
            <w:tcBorders>
              <w:top w:val="single" w:color="000000" w:sz="8" w:space="0"/>
              <w:left w:val="single" w:color="000000" w:sz="8" w:space="0"/>
              <w:bottom w:val="single" w:color="000000" w:sz="8" w:space="0"/>
              <w:right w:val="single" w:color="000000" w:sz="8" w:space="0"/>
            </w:tcBorders>
            <w:shd w:val="clear" w:color="auto" w:fill="FFFFFF"/>
            <w:vAlign w:val="center"/>
          </w:tcPr>
          <w:p w14:paraId="0D1AC19E">
            <w:pPr>
              <w:pStyle w:val="10"/>
              <w:bidi w:val="0"/>
              <w:jc w:val="center"/>
              <w:rPr>
                <w:rFonts w:hint="eastAsia"/>
                <w:b/>
                <w:bCs/>
                <w:color w:val="000000"/>
              </w:rPr>
            </w:pPr>
            <w:r>
              <w:rPr>
                <w:rFonts w:hint="eastAsia"/>
                <w:b/>
                <w:bCs/>
                <w:color w:val="000000"/>
              </w:rPr>
              <w:t>设计引水流量</w:t>
            </w:r>
            <w:r>
              <w:rPr>
                <w:b/>
                <w:bCs/>
                <w:color w:val="000000"/>
              </w:rPr>
              <w:t>(m3/s)</w:t>
            </w:r>
          </w:p>
        </w:tc>
        <w:tc>
          <w:tcPr>
            <w:tcW w:w="225" w:type="pct"/>
            <w:vMerge w:val="restart"/>
            <w:tcBorders>
              <w:top w:val="single" w:color="000000" w:sz="8" w:space="0"/>
              <w:left w:val="single" w:color="000000" w:sz="8" w:space="0"/>
              <w:bottom w:val="single" w:color="000000" w:sz="8" w:space="0"/>
              <w:right w:val="single" w:color="000000" w:sz="8" w:space="0"/>
            </w:tcBorders>
            <w:shd w:val="clear" w:color="auto" w:fill="FFFFFF"/>
            <w:vAlign w:val="center"/>
          </w:tcPr>
          <w:p w14:paraId="4717BF09">
            <w:pPr>
              <w:pStyle w:val="10"/>
              <w:bidi w:val="0"/>
              <w:jc w:val="center"/>
              <w:rPr>
                <w:rFonts w:hint="eastAsia"/>
                <w:b/>
                <w:bCs/>
                <w:color w:val="000000"/>
              </w:rPr>
            </w:pPr>
            <w:r>
              <w:rPr>
                <w:rFonts w:hint="eastAsia"/>
                <w:b/>
                <w:bCs/>
                <w:color w:val="000000"/>
              </w:rPr>
              <w:t>工业生活供水</w:t>
            </w:r>
            <w:r>
              <w:rPr>
                <w:b/>
                <w:bCs/>
                <w:color w:val="000000"/>
              </w:rPr>
              <w:t>(</w:t>
            </w:r>
            <w:r>
              <w:rPr>
                <w:rFonts w:hint="eastAsia"/>
                <w:b/>
                <w:bCs/>
                <w:color w:val="000000"/>
              </w:rPr>
              <w:t>万</w:t>
            </w:r>
            <w:r>
              <w:rPr>
                <w:b/>
                <w:bCs/>
                <w:color w:val="000000"/>
              </w:rPr>
              <w:t>m3/</w:t>
            </w:r>
            <w:r>
              <w:rPr>
                <w:rFonts w:hint="eastAsia"/>
                <w:b/>
                <w:bCs/>
                <w:color w:val="000000"/>
              </w:rPr>
              <w:t>年</w:t>
            </w:r>
            <w:r>
              <w:rPr>
                <w:b/>
                <w:bCs/>
                <w:color w:val="000000"/>
              </w:rPr>
              <w:t>)</w:t>
            </w:r>
          </w:p>
        </w:tc>
        <w:tc>
          <w:tcPr>
            <w:tcW w:w="494" w:type="pct"/>
            <w:gridSpan w:val="2"/>
            <w:tcBorders>
              <w:top w:val="single" w:color="000000" w:sz="8" w:space="0"/>
              <w:left w:val="single" w:color="000000" w:sz="8" w:space="0"/>
              <w:bottom w:val="single" w:color="000000" w:sz="8" w:space="0"/>
              <w:right w:val="single" w:color="000000" w:sz="8" w:space="0"/>
            </w:tcBorders>
            <w:shd w:val="clear" w:color="auto" w:fill="FFFFFF"/>
            <w:vAlign w:val="center"/>
          </w:tcPr>
          <w:p w14:paraId="79384972">
            <w:pPr>
              <w:pStyle w:val="10"/>
              <w:bidi w:val="0"/>
              <w:jc w:val="center"/>
              <w:rPr>
                <w:rFonts w:hint="eastAsia"/>
                <w:b/>
                <w:bCs/>
                <w:color w:val="000000"/>
              </w:rPr>
            </w:pPr>
            <w:r>
              <w:rPr>
                <w:rFonts w:hint="eastAsia"/>
                <w:b/>
                <w:bCs/>
                <w:color w:val="000000"/>
              </w:rPr>
              <w:t>灌溉面</w:t>
            </w:r>
          </w:p>
          <w:p w14:paraId="19C83962">
            <w:pPr>
              <w:pStyle w:val="10"/>
              <w:bidi w:val="0"/>
              <w:jc w:val="center"/>
              <w:rPr>
                <w:rFonts w:hint="eastAsia"/>
                <w:b/>
                <w:bCs/>
                <w:color w:val="000000"/>
              </w:rPr>
            </w:pPr>
            <w:r>
              <w:rPr>
                <w:rFonts w:hint="eastAsia"/>
                <w:b/>
                <w:bCs/>
                <w:color w:val="000000"/>
              </w:rPr>
              <w:t>积（亩）</w:t>
            </w:r>
          </w:p>
        </w:tc>
        <w:tc>
          <w:tcPr>
            <w:tcW w:w="521" w:type="pct"/>
            <w:gridSpan w:val="2"/>
            <w:tcBorders>
              <w:top w:val="single" w:color="000000" w:sz="8" w:space="0"/>
              <w:left w:val="single" w:color="000000" w:sz="8" w:space="0"/>
              <w:bottom w:val="single" w:color="000000" w:sz="8" w:space="0"/>
              <w:right w:val="single" w:color="000000" w:sz="8" w:space="0"/>
            </w:tcBorders>
            <w:shd w:val="clear" w:color="auto" w:fill="FFFFFF"/>
            <w:vAlign w:val="center"/>
          </w:tcPr>
          <w:p w14:paraId="4FA85010">
            <w:pPr>
              <w:pStyle w:val="10"/>
              <w:bidi w:val="0"/>
              <w:jc w:val="center"/>
              <w:rPr>
                <w:rFonts w:hint="eastAsia"/>
                <w:b/>
                <w:bCs/>
                <w:color w:val="000000"/>
              </w:rPr>
            </w:pPr>
            <w:r>
              <w:rPr>
                <w:rFonts w:hint="eastAsia"/>
                <w:b/>
                <w:bCs/>
                <w:color w:val="000000"/>
              </w:rPr>
              <w:t>灌溉</w:t>
            </w:r>
          </w:p>
          <w:p w14:paraId="677F970D">
            <w:pPr>
              <w:pStyle w:val="10"/>
              <w:bidi w:val="0"/>
              <w:jc w:val="center"/>
              <w:rPr>
                <w:rFonts w:hint="eastAsia"/>
                <w:b/>
                <w:bCs/>
                <w:color w:val="000000"/>
              </w:rPr>
            </w:pPr>
            <w:r>
              <w:rPr>
                <w:rFonts w:hint="eastAsia"/>
                <w:b/>
                <w:bCs/>
                <w:color w:val="000000"/>
              </w:rPr>
              <w:t>保证率</w:t>
            </w:r>
          </w:p>
        </w:tc>
        <w:tc>
          <w:tcPr>
            <w:tcW w:w="225" w:type="pct"/>
            <w:vMerge w:val="restart"/>
            <w:tcBorders>
              <w:top w:val="single" w:color="000000" w:sz="8" w:space="0"/>
              <w:left w:val="single" w:color="000000" w:sz="8" w:space="0"/>
              <w:bottom w:val="single" w:color="000000" w:sz="8" w:space="0"/>
              <w:right w:val="single" w:color="000000" w:sz="8" w:space="0"/>
            </w:tcBorders>
            <w:shd w:val="clear" w:color="auto" w:fill="FFFFFF"/>
            <w:vAlign w:val="center"/>
          </w:tcPr>
          <w:p w14:paraId="3F3D5460">
            <w:pPr>
              <w:pStyle w:val="10"/>
              <w:bidi w:val="0"/>
              <w:jc w:val="center"/>
              <w:rPr>
                <w:rFonts w:hint="eastAsia"/>
                <w:b/>
                <w:bCs/>
                <w:color w:val="000000"/>
              </w:rPr>
            </w:pPr>
            <w:r>
              <w:rPr>
                <w:rFonts w:hint="eastAsia"/>
                <w:b/>
                <w:bCs/>
                <w:color w:val="000000"/>
              </w:rPr>
              <w:t>现状渠系水利用率</w:t>
            </w:r>
          </w:p>
        </w:tc>
        <w:tc>
          <w:tcPr>
            <w:tcW w:w="1059" w:type="pct"/>
            <w:gridSpan w:val="4"/>
            <w:tcBorders>
              <w:top w:val="single" w:color="000000" w:sz="8" w:space="0"/>
              <w:left w:val="single" w:color="000000" w:sz="8" w:space="0"/>
              <w:bottom w:val="single" w:color="000000" w:sz="8" w:space="0"/>
              <w:right w:val="single" w:color="000000" w:sz="8" w:space="0"/>
            </w:tcBorders>
            <w:shd w:val="clear" w:color="auto" w:fill="FFFFFF"/>
            <w:vAlign w:val="center"/>
          </w:tcPr>
          <w:p w14:paraId="676D1844">
            <w:pPr>
              <w:pStyle w:val="10"/>
              <w:bidi w:val="0"/>
              <w:jc w:val="center"/>
              <w:rPr>
                <w:rFonts w:hint="eastAsia"/>
                <w:b/>
                <w:bCs/>
                <w:color w:val="000000"/>
              </w:rPr>
            </w:pPr>
            <w:r>
              <w:rPr>
                <w:rFonts w:hint="eastAsia"/>
                <w:b/>
                <w:bCs/>
                <w:color w:val="000000"/>
              </w:rPr>
              <w:t>干渠长度（</w:t>
            </w:r>
            <w:r>
              <w:rPr>
                <w:b/>
                <w:bCs/>
                <w:color w:val="000000"/>
              </w:rPr>
              <w:t>km</w:t>
            </w:r>
            <w:r>
              <w:rPr>
                <w:rFonts w:hint="eastAsia"/>
                <w:b/>
                <w:bCs/>
                <w:color w:val="000000"/>
              </w:rPr>
              <w:t>）</w:t>
            </w:r>
          </w:p>
        </w:tc>
        <w:tc>
          <w:tcPr>
            <w:tcW w:w="1005" w:type="pct"/>
            <w:gridSpan w:val="4"/>
            <w:tcBorders>
              <w:top w:val="single" w:color="000000" w:sz="8" w:space="0"/>
              <w:left w:val="single" w:color="000000" w:sz="8" w:space="0"/>
              <w:bottom w:val="single" w:color="000000" w:sz="8" w:space="0"/>
              <w:right w:val="single" w:color="000000" w:sz="8" w:space="0"/>
            </w:tcBorders>
            <w:shd w:val="clear" w:color="auto" w:fill="FFFFFF"/>
            <w:vAlign w:val="center"/>
          </w:tcPr>
          <w:p w14:paraId="67E78932">
            <w:pPr>
              <w:pStyle w:val="10"/>
              <w:bidi w:val="0"/>
              <w:jc w:val="center"/>
              <w:rPr>
                <w:rFonts w:hint="eastAsia"/>
                <w:b/>
                <w:bCs/>
                <w:color w:val="000000"/>
              </w:rPr>
            </w:pPr>
            <w:r>
              <w:rPr>
                <w:rFonts w:hint="eastAsia"/>
                <w:b/>
                <w:bCs/>
                <w:color w:val="000000"/>
              </w:rPr>
              <w:t>支渠长度</w:t>
            </w:r>
            <w:r>
              <w:rPr>
                <w:b/>
                <w:bCs/>
                <w:color w:val="000000"/>
              </w:rPr>
              <w:t>(km)</w:t>
            </w:r>
          </w:p>
        </w:tc>
        <w:tc>
          <w:tcPr>
            <w:tcW w:w="757" w:type="pct"/>
            <w:gridSpan w:val="3"/>
            <w:tcBorders>
              <w:top w:val="single" w:color="000000" w:sz="8" w:space="0"/>
              <w:left w:val="single" w:color="000000" w:sz="8" w:space="0"/>
              <w:bottom w:val="single" w:color="000000" w:sz="8" w:space="0"/>
              <w:right w:val="nil"/>
            </w:tcBorders>
            <w:shd w:val="clear" w:color="auto" w:fill="FFFFFF"/>
            <w:vAlign w:val="center"/>
          </w:tcPr>
          <w:p w14:paraId="5E5F3600">
            <w:pPr>
              <w:pStyle w:val="10"/>
              <w:bidi w:val="0"/>
              <w:jc w:val="center"/>
              <w:rPr>
                <w:rFonts w:hint="eastAsia"/>
                <w:b/>
                <w:bCs/>
                <w:color w:val="000000"/>
              </w:rPr>
            </w:pPr>
            <w:r>
              <w:rPr>
                <w:rFonts w:hint="eastAsia"/>
                <w:b/>
                <w:bCs/>
                <w:color w:val="000000"/>
              </w:rPr>
              <w:t>干、支渠系建筑物（座）</w:t>
            </w:r>
          </w:p>
        </w:tc>
      </w:tr>
      <w:tr w14:paraId="16426A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0" w:type="pct"/>
            <w:vMerge w:val="continue"/>
            <w:tcBorders>
              <w:top w:val="single" w:color="000000" w:sz="8" w:space="0"/>
              <w:left w:val="nil"/>
              <w:bottom w:val="single" w:color="000000" w:sz="8" w:space="0"/>
              <w:right w:val="single" w:color="000000" w:sz="8" w:space="0"/>
            </w:tcBorders>
            <w:shd w:val="clear" w:color="auto" w:fill="FFFFFF"/>
            <w:vAlign w:val="center"/>
          </w:tcPr>
          <w:p w14:paraId="1D3059A4">
            <w:pPr>
              <w:pStyle w:val="10"/>
              <w:bidi w:val="0"/>
              <w:jc w:val="center"/>
              <w:rPr>
                <w:rFonts w:hint="eastAsia"/>
                <w:b/>
                <w:bCs/>
                <w:color w:val="000000"/>
              </w:rPr>
            </w:pPr>
          </w:p>
        </w:tc>
        <w:tc>
          <w:tcPr>
            <w:tcW w:w="236" w:type="pct"/>
            <w:vMerge w:val="continue"/>
            <w:tcBorders>
              <w:top w:val="single" w:color="000000" w:sz="8" w:space="0"/>
              <w:left w:val="single" w:color="000000" w:sz="8" w:space="0"/>
              <w:bottom w:val="single" w:color="000000" w:sz="8" w:space="0"/>
              <w:right w:val="single" w:color="000000" w:sz="8" w:space="0"/>
            </w:tcBorders>
            <w:shd w:val="clear" w:color="auto" w:fill="FFFFFF"/>
            <w:vAlign w:val="center"/>
          </w:tcPr>
          <w:p w14:paraId="32299822">
            <w:pPr>
              <w:pStyle w:val="10"/>
              <w:bidi w:val="0"/>
              <w:jc w:val="center"/>
              <w:rPr>
                <w:rFonts w:hint="eastAsia"/>
                <w:b/>
                <w:bCs/>
                <w:color w:val="000000"/>
              </w:rPr>
            </w:pPr>
          </w:p>
        </w:tc>
        <w:tc>
          <w:tcPr>
            <w:tcW w:w="241" w:type="pct"/>
            <w:vMerge w:val="continue"/>
            <w:tcBorders>
              <w:top w:val="single" w:color="000000" w:sz="8" w:space="0"/>
              <w:left w:val="single" w:color="000000" w:sz="8" w:space="0"/>
              <w:bottom w:val="single" w:color="000000" w:sz="8" w:space="0"/>
              <w:right w:val="single" w:color="000000" w:sz="8" w:space="0"/>
            </w:tcBorders>
            <w:shd w:val="clear" w:color="auto" w:fill="FFFFFF"/>
            <w:vAlign w:val="center"/>
          </w:tcPr>
          <w:p w14:paraId="0A4B6EF0">
            <w:pPr>
              <w:pStyle w:val="10"/>
              <w:bidi w:val="0"/>
              <w:jc w:val="center"/>
              <w:rPr>
                <w:rFonts w:hint="eastAsia"/>
                <w:b/>
                <w:bCs/>
                <w:color w:val="000000"/>
              </w:rPr>
            </w:pPr>
          </w:p>
        </w:tc>
        <w:tc>
          <w:tcPr>
            <w:tcW w:w="225" w:type="pct"/>
            <w:vMerge w:val="continue"/>
            <w:tcBorders>
              <w:top w:val="single" w:color="000000" w:sz="8" w:space="0"/>
              <w:left w:val="single" w:color="000000" w:sz="8" w:space="0"/>
              <w:bottom w:val="single" w:color="000000" w:sz="8" w:space="0"/>
              <w:right w:val="single" w:color="000000" w:sz="8" w:space="0"/>
            </w:tcBorders>
            <w:shd w:val="clear" w:color="auto" w:fill="FFFFFF"/>
            <w:vAlign w:val="center"/>
          </w:tcPr>
          <w:p w14:paraId="6C1CE368">
            <w:pPr>
              <w:pStyle w:val="10"/>
              <w:bidi w:val="0"/>
              <w:jc w:val="center"/>
              <w:rPr>
                <w:rFonts w:hint="eastAsia"/>
                <w:b/>
                <w:bCs/>
                <w:color w:val="000000"/>
              </w:rPr>
            </w:pPr>
          </w:p>
        </w:tc>
        <w:tc>
          <w:tcPr>
            <w:tcW w:w="2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152E34E">
            <w:pPr>
              <w:pStyle w:val="10"/>
              <w:bidi w:val="0"/>
              <w:jc w:val="center"/>
              <w:rPr>
                <w:rFonts w:hint="eastAsia"/>
                <w:b/>
                <w:bCs/>
                <w:color w:val="000000"/>
              </w:rPr>
            </w:pPr>
            <w:r>
              <w:rPr>
                <w:rFonts w:hint="eastAsia"/>
                <w:b/>
                <w:bCs/>
                <w:color w:val="000000"/>
              </w:rPr>
              <w:t>设计</w:t>
            </w:r>
          </w:p>
        </w:tc>
        <w:tc>
          <w:tcPr>
            <w:tcW w:w="25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99E2267">
            <w:pPr>
              <w:pStyle w:val="10"/>
              <w:bidi w:val="0"/>
              <w:jc w:val="center"/>
              <w:rPr>
                <w:rFonts w:hint="eastAsia"/>
                <w:b/>
                <w:bCs/>
                <w:color w:val="000000"/>
              </w:rPr>
            </w:pPr>
            <w:r>
              <w:rPr>
                <w:rFonts w:hint="eastAsia"/>
                <w:b/>
                <w:bCs/>
                <w:color w:val="000000"/>
              </w:rPr>
              <w:t>实际</w:t>
            </w:r>
          </w:p>
        </w:tc>
        <w:tc>
          <w:tcPr>
            <w:tcW w:w="274"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D2E42D4">
            <w:pPr>
              <w:pStyle w:val="10"/>
              <w:bidi w:val="0"/>
              <w:jc w:val="center"/>
              <w:rPr>
                <w:rFonts w:hint="eastAsia"/>
                <w:b/>
                <w:bCs/>
                <w:color w:val="000000"/>
              </w:rPr>
            </w:pPr>
            <w:r>
              <w:rPr>
                <w:rFonts w:hint="eastAsia"/>
                <w:b/>
                <w:bCs/>
                <w:color w:val="000000"/>
              </w:rPr>
              <w:t>设计</w:t>
            </w:r>
          </w:p>
        </w:tc>
        <w:tc>
          <w:tcPr>
            <w:tcW w:w="24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CC3F17D">
            <w:pPr>
              <w:pStyle w:val="10"/>
              <w:bidi w:val="0"/>
              <w:jc w:val="center"/>
              <w:rPr>
                <w:rFonts w:hint="eastAsia"/>
                <w:b/>
                <w:bCs/>
                <w:color w:val="000000"/>
              </w:rPr>
            </w:pPr>
            <w:r>
              <w:rPr>
                <w:rFonts w:hint="eastAsia"/>
                <w:b/>
                <w:bCs/>
                <w:color w:val="000000"/>
              </w:rPr>
              <w:t>实际</w:t>
            </w:r>
          </w:p>
        </w:tc>
        <w:tc>
          <w:tcPr>
            <w:tcW w:w="225" w:type="pct"/>
            <w:vMerge w:val="continue"/>
            <w:tcBorders>
              <w:top w:val="single" w:color="000000" w:sz="8" w:space="0"/>
              <w:left w:val="single" w:color="000000" w:sz="8" w:space="0"/>
              <w:bottom w:val="single" w:color="000000" w:sz="8" w:space="0"/>
              <w:right w:val="single" w:color="000000" w:sz="8" w:space="0"/>
            </w:tcBorders>
            <w:shd w:val="clear" w:color="auto" w:fill="FFFFFF"/>
            <w:vAlign w:val="center"/>
          </w:tcPr>
          <w:p w14:paraId="75968652">
            <w:pPr>
              <w:pStyle w:val="10"/>
              <w:bidi w:val="0"/>
              <w:jc w:val="center"/>
              <w:rPr>
                <w:rFonts w:hint="eastAsia"/>
                <w:b/>
                <w:bCs/>
                <w:color w:val="000000"/>
              </w:rPr>
            </w:pPr>
          </w:p>
        </w:tc>
        <w:tc>
          <w:tcPr>
            <w:tcW w:w="26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178B19D">
            <w:pPr>
              <w:pStyle w:val="10"/>
              <w:bidi w:val="0"/>
              <w:jc w:val="center"/>
              <w:rPr>
                <w:rFonts w:hint="eastAsia"/>
                <w:b/>
                <w:bCs/>
                <w:color w:val="000000"/>
              </w:rPr>
            </w:pPr>
            <w:r>
              <w:rPr>
                <w:rFonts w:hint="eastAsia"/>
                <w:b/>
                <w:bCs/>
                <w:color w:val="000000"/>
              </w:rPr>
              <w:t>设计</w:t>
            </w:r>
          </w:p>
        </w:tc>
        <w:tc>
          <w:tcPr>
            <w:tcW w:w="25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D0D4139">
            <w:pPr>
              <w:pStyle w:val="10"/>
              <w:bidi w:val="0"/>
              <w:jc w:val="center"/>
              <w:rPr>
                <w:rFonts w:hint="eastAsia"/>
                <w:b/>
                <w:bCs/>
                <w:color w:val="000000"/>
              </w:rPr>
            </w:pPr>
            <w:r>
              <w:rPr>
                <w:rFonts w:hint="eastAsia"/>
                <w:b/>
                <w:bCs/>
                <w:color w:val="000000"/>
              </w:rPr>
              <w:t>现有</w:t>
            </w:r>
          </w:p>
        </w:tc>
        <w:tc>
          <w:tcPr>
            <w:tcW w:w="27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0E265F7">
            <w:pPr>
              <w:pStyle w:val="10"/>
              <w:bidi w:val="0"/>
              <w:jc w:val="center"/>
              <w:rPr>
                <w:rFonts w:hint="eastAsia"/>
                <w:b/>
                <w:bCs/>
                <w:color w:val="000000"/>
              </w:rPr>
            </w:pPr>
            <w:r>
              <w:rPr>
                <w:rFonts w:hint="eastAsia"/>
                <w:b/>
                <w:bCs/>
                <w:color w:val="000000"/>
              </w:rPr>
              <w:t>已衬砌</w:t>
            </w:r>
          </w:p>
        </w:tc>
        <w:tc>
          <w:tcPr>
            <w:tcW w:w="26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CBCD6C5">
            <w:pPr>
              <w:pStyle w:val="10"/>
              <w:bidi w:val="0"/>
              <w:jc w:val="center"/>
              <w:rPr>
                <w:rFonts w:hint="eastAsia"/>
                <w:b/>
                <w:bCs/>
                <w:color w:val="000000"/>
              </w:rPr>
            </w:pPr>
            <w:r>
              <w:rPr>
                <w:rFonts w:hint="eastAsia"/>
                <w:b/>
                <w:bCs/>
                <w:color w:val="000000"/>
              </w:rPr>
              <w:t>完好率％</w:t>
            </w:r>
          </w:p>
        </w:tc>
        <w:tc>
          <w:tcPr>
            <w:tcW w:w="24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F50BD97">
            <w:pPr>
              <w:pStyle w:val="10"/>
              <w:bidi w:val="0"/>
              <w:jc w:val="center"/>
              <w:rPr>
                <w:rFonts w:hint="eastAsia"/>
                <w:b/>
                <w:bCs/>
                <w:color w:val="000000"/>
              </w:rPr>
            </w:pPr>
            <w:r>
              <w:rPr>
                <w:rFonts w:hint="eastAsia"/>
                <w:b/>
                <w:bCs/>
                <w:color w:val="000000"/>
              </w:rPr>
              <w:t>设计</w:t>
            </w:r>
          </w:p>
        </w:tc>
        <w:tc>
          <w:tcPr>
            <w:tcW w:w="27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56DF217">
            <w:pPr>
              <w:pStyle w:val="10"/>
              <w:bidi w:val="0"/>
              <w:jc w:val="center"/>
              <w:rPr>
                <w:rFonts w:hint="eastAsia"/>
                <w:b/>
                <w:bCs/>
                <w:color w:val="000000"/>
              </w:rPr>
            </w:pPr>
            <w:r>
              <w:rPr>
                <w:rFonts w:hint="eastAsia"/>
                <w:b/>
                <w:bCs/>
                <w:color w:val="000000"/>
              </w:rPr>
              <w:t>现有</w:t>
            </w:r>
          </w:p>
        </w:tc>
        <w:tc>
          <w:tcPr>
            <w:tcW w:w="24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55E4539">
            <w:pPr>
              <w:pStyle w:val="10"/>
              <w:bidi w:val="0"/>
              <w:jc w:val="center"/>
              <w:rPr>
                <w:rFonts w:hint="eastAsia"/>
                <w:b/>
                <w:bCs/>
                <w:color w:val="000000"/>
              </w:rPr>
            </w:pPr>
            <w:r>
              <w:rPr>
                <w:rFonts w:hint="eastAsia"/>
                <w:b/>
                <w:bCs/>
                <w:color w:val="000000"/>
              </w:rPr>
              <w:t>已衬砌</w:t>
            </w:r>
          </w:p>
        </w:tc>
        <w:tc>
          <w:tcPr>
            <w:tcW w:w="23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86F2863">
            <w:pPr>
              <w:pStyle w:val="10"/>
              <w:bidi w:val="0"/>
              <w:jc w:val="center"/>
              <w:rPr>
                <w:rFonts w:hint="eastAsia"/>
                <w:b/>
                <w:bCs/>
                <w:color w:val="000000"/>
              </w:rPr>
            </w:pPr>
            <w:r>
              <w:rPr>
                <w:rFonts w:hint="eastAsia"/>
                <w:b/>
                <w:bCs/>
                <w:color w:val="000000"/>
              </w:rPr>
              <w:t>完好率％</w:t>
            </w:r>
          </w:p>
        </w:tc>
        <w:tc>
          <w:tcPr>
            <w:tcW w:w="23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DA9D0C2">
            <w:pPr>
              <w:pStyle w:val="10"/>
              <w:bidi w:val="0"/>
              <w:jc w:val="center"/>
              <w:rPr>
                <w:rFonts w:hint="eastAsia"/>
                <w:b/>
                <w:bCs/>
                <w:color w:val="000000"/>
              </w:rPr>
            </w:pPr>
            <w:r>
              <w:rPr>
                <w:rFonts w:hint="eastAsia"/>
                <w:b/>
                <w:bCs/>
                <w:color w:val="000000"/>
              </w:rPr>
              <w:t>设计</w:t>
            </w:r>
          </w:p>
        </w:tc>
        <w:tc>
          <w:tcPr>
            <w:tcW w:w="25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A33205E">
            <w:pPr>
              <w:pStyle w:val="10"/>
              <w:bidi w:val="0"/>
              <w:jc w:val="center"/>
              <w:rPr>
                <w:rFonts w:hint="eastAsia"/>
                <w:b/>
                <w:bCs/>
                <w:color w:val="000000"/>
              </w:rPr>
            </w:pPr>
            <w:r>
              <w:rPr>
                <w:rFonts w:hint="eastAsia"/>
                <w:b/>
                <w:bCs/>
                <w:color w:val="000000"/>
              </w:rPr>
              <w:t>现有</w:t>
            </w:r>
          </w:p>
        </w:tc>
        <w:tc>
          <w:tcPr>
            <w:tcW w:w="263" w:type="pct"/>
            <w:tcBorders>
              <w:top w:val="single" w:color="000000" w:sz="8" w:space="0"/>
              <w:left w:val="single" w:color="000000" w:sz="8" w:space="0"/>
              <w:bottom w:val="single" w:color="000000" w:sz="8" w:space="0"/>
              <w:right w:val="nil"/>
            </w:tcBorders>
            <w:shd w:val="clear" w:color="auto" w:fill="FFFFFF"/>
            <w:vAlign w:val="center"/>
          </w:tcPr>
          <w:p w14:paraId="66EC5683">
            <w:pPr>
              <w:pStyle w:val="10"/>
              <w:bidi w:val="0"/>
              <w:jc w:val="center"/>
              <w:rPr>
                <w:rFonts w:hint="eastAsia"/>
                <w:b/>
                <w:bCs/>
                <w:color w:val="000000"/>
              </w:rPr>
            </w:pPr>
            <w:r>
              <w:rPr>
                <w:rFonts w:hint="eastAsia"/>
                <w:b/>
                <w:bCs/>
                <w:color w:val="000000"/>
              </w:rPr>
              <w:t>完好率</w:t>
            </w:r>
            <w:r>
              <w:rPr>
                <w:b/>
                <w:bCs/>
                <w:color w:val="000000"/>
              </w:rPr>
              <w:t>%</w:t>
            </w:r>
          </w:p>
        </w:tc>
      </w:tr>
      <w:tr w14:paraId="7BDAA8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0" w:type="pct"/>
            <w:tcBorders>
              <w:top w:val="single" w:color="000000" w:sz="8" w:space="0"/>
              <w:left w:val="nil"/>
              <w:bottom w:val="single" w:color="000000" w:sz="8" w:space="0"/>
              <w:right w:val="single" w:color="000000" w:sz="8" w:space="0"/>
            </w:tcBorders>
            <w:shd w:val="clear" w:color="auto" w:fill="FFFFFF"/>
            <w:vAlign w:val="center"/>
          </w:tcPr>
          <w:p w14:paraId="0DD75A7B">
            <w:pPr>
              <w:pStyle w:val="10"/>
              <w:bidi w:val="0"/>
              <w:jc w:val="center"/>
              <w:rPr>
                <w:rFonts w:hint="eastAsia"/>
                <w:color w:val="000000"/>
              </w:rPr>
            </w:pPr>
            <w:r>
              <w:rPr>
                <w:rFonts w:hint="eastAsia"/>
                <w:color w:val="000000"/>
              </w:rPr>
              <w:t>合计</w:t>
            </w:r>
          </w:p>
        </w:tc>
        <w:tc>
          <w:tcPr>
            <w:tcW w:w="23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D850263">
            <w:pPr>
              <w:pStyle w:val="10"/>
              <w:bidi w:val="0"/>
              <w:jc w:val="center"/>
              <w:rPr>
                <w:rFonts w:hint="eastAsia"/>
                <w:color w:val="000000"/>
              </w:rPr>
            </w:pPr>
          </w:p>
        </w:tc>
        <w:tc>
          <w:tcPr>
            <w:tcW w:w="24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E215D53">
            <w:pPr>
              <w:pStyle w:val="10"/>
              <w:bidi w:val="0"/>
              <w:jc w:val="center"/>
              <w:rPr>
                <w:rFonts w:hint="eastAsia"/>
                <w:color w:val="000000"/>
              </w:rPr>
            </w:pPr>
          </w:p>
        </w:tc>
        <w:tc>
          <w:tcPr>
            <w:tcW w:w="22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6BF0782">
            <w:pPr>
              <w:pStyle w:val="10"/>
              <w:bidi w:val="0"/>
              <w:jc w:val="center"/>
              <w:rPr>
                <w:rFonts w:hint="eastAsia"/>
                <w:color w:val="000000"/>
              </w:rPr>
            </w:pPr>
          </w:p>
        </w:tc>
        <w:tc>
          <w:tcPr>
            <w:tcW w:w="2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1A77D8A">
            <w:pPr>
              <w:pStyle w:val="10"/>
              <w:bidi w:val="0"/>
              <w:jc w:val="center"/>
              <w:rPr>
                <w:rFonts w:hint="eastAsia"/>
                <w:color w:val="000000"/>
              </w:rPr>
            </w:pPr>
            <w:r>
              <w:rPr>
                <w:color w:val="000000"/>
              </w:rPr>
              <w:t>24.9</w:t>
            </w:r>
          </w:p>
        </w:tc>
        <w:tc>
          <w:tcPr>
            <w:tcW w:w="25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E4506B4">
            <w:pPr>
              <w:pStyle w:val="10"/>
              <w:bidi w:val="0"/>
              <w:jc w:val="center"/>
              <w:rPr>
                <w:rFonts w:hint="eastAsia"/>
                <w:color w:val="000000"/>
              </w:rPr>
            </w:pPr>
            <w:r>
              <w:rPr>
                <w:color w:val="000000"/>
              </w:rPr>
              <w:t>16.4</w:t>
            </w:r>
          </w:p>
        </w:tc>
        <w:tc>
          <w:tcPr>
            <w:tcW w:w="274"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EFF8A58">
            <w:pPr>
              <w:pStyle w:val="10"/>
              <w:bidi w:val="0"/>
              <w:jc w:val="center"/>
              <w:rPr>
                <w:rFonts w:hint="eastAsia"/>
                <w:color w:val="000000"/>
              </w:rPr>
            </w:pPr>
            <w:r>
              <w:rPr>
                <w:color w:val="000000"/>
              </w:rPr>
              <w:t>540</w:t>
            </w:r>
          </w:p>
        </w:tc>
        <w:tc>
          <w:tcPr>
            <w:tcW w:w="24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BE23DF8">
            <w:pPr>
              <w:pStyle w:val="10"/>
              <w:bidi w:val="0"/>
              <w:jc w:val="center"/>
              <w:rPr>
                <w:rFonts w:hint="eastAsia"/>
                <w:color w:val="000000"/>
              </w:rPr>
            </w:pPr>
            <w:r>
              <w:rPr>
                <w:color w:val="000000"/>
              </w:rPr>
              <w:t>465</w:t>
            </w:r>
          </w:p>
        </w:tc>
        <w:tc>
          <w:tcPr>
            <w:tcW w:w="22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8C1763D">
            <w:pPr>
              <w:pStyle w:val="10"/>
              <w:bidi w:val="0"/>
              <w:jc w:val="center"/>
              <w:rPr>
                <w:rFonts w:hint="eastAsia"/>
                <w:color w:val="000000"/>
              </w:rPr>
            </w:pPr>
          </w:p>
        </w:tc>
        <w:tc>
          <w:tcPr>
            <w:tcW w:w="26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8784D71">
            <w:pPr>
              <w:pStyle w:val="10"/>
              <w:bidi w:val="0"/>
              <w:jc w:val="center"/>
              <w:rPr>
                <w:rFonts w:hint="eastAsia"/>
                <w:color w:val="000000"/>
              </w:rPr>
            </w:pPr>
            <w:r>
              <w:rPr>
                <w:color w:val="000000"/>
              </w:rPr>
              <w:t>365.4</w:t>
            </w:r>
          </w:p>
        </w:tc>
        <w:tc>
          <w:tcPr>
            <w:tcW w:w="25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931F6FA">
            <w:pPr>
              <w:pStyle w:val="10"/>
              <w:bidi w:val="0"/>
              <w:jc w:val="center"/>
              <w:rPr>
                <w:rFonts w:hint="eastAsia"/>
                <w:color w:val="000000"/>
              </w:rPr>
            </w:pPr>
            <w:r>
              <w:rPr>
                <w:color w:val="000000"/>
              </w:rPr>
              <w:t>293.2</w:t>
            </w:r>
          </w:p>
        </w:tc>
        <w:tc>
          <w:tcPr>
            <w:tcW w:w="27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4C6AB13">
            <w:pPr>
              <w:pStyle w:val="10"/>
              <w:bidi w:val="0"/>
              <w:jc w:val="center"/>
              <w:rPr>
                <w:rFonts w:hint="eastAsia"/>
                <w:color w:val="000000"/>
              </w:rPr>
            </w:pPr>
            <w:r>
              <w:rPr>
                <w:color w:val="000000"/>
              </w:rPr>
              <w:t>64.3</w:t>
            </w:r>
          </w:p>
        </w:tc>
        <w:tc>
          <w:tcPr>
            <w:tcW w:w="26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25FF1FF">
            <w:pPr>
              <w:pStyle w:val="10"/>
              <w:bidi w:val="0"/>
              <w:jc w:val="center"/>
              <w:rPr>
                <w:rFonts w:hint="eastAsia"/>
                <w:color w:val="000000"/>
              </w:rPr>
            </w:pPr>
          </w:p>
        </w:tc>
        <w:tc>
          <w:tcPr>
            <w:tcW w:w="24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0F0F9EA">
            <w:pPr>
              <w:pStyle w:val="10"/>
              <w:bidi w:val="0"/>
              <w:jc w:val="center"/>
              <w:rPr>
                <w:rFonts w:hint="eastAsia"/>
                <w:color w:val="000000"/>
              </w:rPr>
            </w:pPr>
            <w:r>
              <w:rPr>
                <w:color w:val="000000"/>
              </w:rPr>
              <w:t>249.4</w:t>
            </w:r>
          </w:p>
        </w:tc>
        <w:tc>
          <w:tcPr>
            <w:tcW w:w="27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83081F2">
            <w:pPr>
              <w:pStyle w:val="10"/>
              <w:bidi w:val="0"/>
              <w:jc w:val="center"/>
              <w:rPr>
                <w:rFonts w:hint="eastAsia"/>
                <w:color w:val="000000"/>
              </w:rPr>
            </w:pPr>
            <w:r>
              <w:rPr>
                <w:color w:val="000000"/>
              </w:rPr>
              <w:t>244</w:t>
            </w:r>
          </w:p>
        </w:tc>
        <w:tc>
          <w:tcPr>
            <w:tcW w:w="24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2079DB1">
            <w:pPr>
              <w:pStyle w:val="10"/>
              <w:bidi w:val="0"/>
              <w:jc w:val="center"/>
              <w:rPr>
                <w:rFonts w:hint="eastAsia"/>
                <w:color w:val="000000"/>
              </w:rPr>
            </w:pPr>
            <w:r>
              <w:rPr>
                <w:color w:val="000000"/>
              </w:rPr>
              <w:t>27</w:t>
            </w:r>
          </w:p>
        </w:tc>
        <w:tc>
          <w:tcPr>
            <w:tcW w:w="23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FF0FAC4">
            <w:pPr>
              <w:pStyle w:val="10"/>
              <w:bidi w:val="0"/>
              <w:jc w:val="center"/>
              <w:rPr>
                <w:rFonts w:hint="eastAsia"/>
                <w:color w:val="000000"/>
              </w:rPr>
            </w:pPr>
          </w:p>
        </w:tc>
        <w:tc>
          <w:tcPr>
            <w:tcW w:w="23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7FC6711">
            <w:pPr>
              <w:pStyle w:val="10"/>
              <w:bidi w:val="0"/>
              <w:jc w:val="center"/>
              <w:rPr>
                <w:rFonts w:hint="eastAsia"/>
                <w:color w:val="000000"/>
              </w:rPr>
            </w:pPr>
            <w:r>
              <w:rPr>
                <w:color w:val="000000"/>
              </w:rPr>
              <w:t>487</w:t>
            </w:r>
          </w:p>
        </w:tc>
        <w:tc>
          <w:tcPr>
            <w:tcW w:w="25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6A92F86">
            <w:pPr>
              <w:pStyle w:val="10"/>
              <w:bidi w:val="0"/>
              <w:jc w:val="center"/>
              <w:rPr>
                <w:rFonts w:hint="eastAsia"/>
                <w:color w:val="000000"/>
              </w:rPr>
            </w:pPr>
            <w:r>
              <w:rPr>
                <w:color w:val="000000"/>
              </w:rPr>
              <w:t>419</w:t>
            </w:r>
          </w:p>
        </w:tc>
        <w:tc>
          <w:tcPr>
            <w:tcW w:w="263" w:type="pct"/>
            <w:tcBorders>
              <w:top w:val="single" w:color="000000" w:sz="8" w:space="0"/>
              <w:left w:val="single" w:color="000000" w:sz="8" w:space="0"/>
              <w:bottom w:val="single" w:color="000000" w:sz="8" w:space="0"/>
              <w:right w:val="nil"/>
            </w:tcBorders>
            <w:shd w:val="clear" w:color="auto" w:fill="FFFFFF"/>
            <w:vAlign w:val="center"/>
          </w:tcPr>
          <w:p w14:paraId="41F98686">
            <w:pPr>
              <w:pStyle w:val="10"/>
              <w:bidi w:val="0"/>
              <w:jc w:val="center"/>
              <w:rPr>
                <w:rFonts w:hint="eastAsia"/>
                <w:color w:val="000000"/>
              </w:rPr>
            </w:pPr>
          </w:p>
        </w:tc>
      </w:tr>
      <w:tr w14:paraId="3DA523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0" w:type="pct"/>
            <w:tcBorders>
              <w:top w:val="single" w:color="000000" w:sz="8" w:space="0"/>
              <w:left w:val="nil"/>
              <w:bottom w:val="single" w:color="000000" w:sz="8" w:space="0"/>
              <w:right w:val="single" w:color="000000" w:sz="8" w:space="0"/>
            </w:tcBorders>
            <w:shd w:val="clear" w:color="auto" w:fill="FFFFFF"/>
            <w:vAlign w:val="center"/>
          </w:tcPr>
          <w:p w14:paraId="1B8120B7">
            <w:pPr>
              <w:pStyle w:val="10"/>
              <w:bidi w:val="0"/>
              <w:jc w:val="center"/>
              <w:rPr>
                <w:rFonts w:hint="eastAsia"/>
                <w:color w:val="000000"/>
              </w:rPr>
            </w:pPr>
            <w:r>
              <w:rPr>
                <w:rFonts w:hint="eastAsia"/>
                <w:color w:val="000000"/>
              </w:rPr>
              <w:t>孔江灌区</w:t>
            </w:r>
          </w:p>
        </w:tc>
        <w:tc>
          <w:tcPr>
            <w:tcW w:w="23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8CB2B55">
            <w:pPr>
              <w:pStyle w:val="10"/>
              <w:bidi w:val="0"/>
              <w:jc w:val="center"/>
              <w:rPr>
                <w:rFonts w:hint="eastAsia"/>
                <w:color w:val="000000"/>
              </w:rPr>
            </w:pPr>
            <w:r>
              <w:rPr>
                <w:rFonts w:hint="eastAsia"/>
                <w:color w:val="000000"/>
              </w:rPr>
              <w:t>乌迳</w:t>
            </w:r>
          </w:p>
        </w:tc>
        <w:tc>
          <w:tcPr>
            <w:tcW w:w="24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9C773C6">
            <w:pPr>
              <w:pStyle w:val="10"/>
              <w:bidi w:val="0"/>
              <w:jc w:val="center"/>
              <w:rPr>
                <w:rFonts w:hint="eastAsia"/>
                <w:color w:val="000000"/>
              </w:rPr>
            </w:pPr>
            <w:r>
              <w:rPr>
                <w:color w:val="000000"/>
              </w:rPr>
              <w:t>6</w:t>
            </w:r>
          </w:p>
        </w:tc>
        <w:tc>
          <w:tcPr>
            <w:tcW w:w="22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738864E">
            <w:pPr>
              <w:pStyle w:val="10"/>
              <w:bidi w:val="0"/>
              <w:jc w:val="center"/>
              <w:rPr>
                <w:rFonts w:hint="eastAsia"/>
                <w:color w:val="000000"/>
              </w:rPr>
            </w:pPr>
          </w:p>
        </w:tc>
        <w:tc>
          <w:tcPr>
            <w:tcW w:w="2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8332299">
            <w:pPr>
              <w:pStyle w:val="10"/>
              <w:bidi w:val="0"/>
              <w:jc w:val="center"/>
              <w:rPr>
                <w:rFonts w:hint="eastAsia"/>
                <w:color w:val="000000"/>
              </w:rPr>
            </w:pPr>
            <w:r>
              <w:rPr>
                <w:color w:val="000000"/>
              </w:rPr>
              <w:t>17.3</w:t>
            </w:r>
          </w:p>
        </w:tc>
        <w:tc>
          <w:tcPr>
            <w:tcW w:w="25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F7DC8C3">
            <w:pPr>
              <w:pStyle w:val="10"/>
              <w:bidi w:val="0"/>
              <w:jc w:val="center"/>
              <w:rPr>
                <w:rFonts w:hint="eastAsia"/>
                <w:color w:val="000000"/>
              </w:rPr>
            </w:pPr>
            <w:r>
              <w:rPr>
                <w:color w:val="000000"/>
              </w:rPr>
              <w:t>11</w:t>
            </w:r>
          </w:p>
        </w:tc>
        <w:tc>
          <w:tcPr>
            <w:tcW w:w="274"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A7D9993">
            <w:pPr>
              <w:pStyle w:val="10"/>
              <w:bidi w:val="0"/>
              <w:jc w:val="center"/>
              <w:rPr>
                <w:rFonts w:hint="eastAsia"/>
                <w:color w:val="000000"/>
              </w:rPr>
            </w:pPr>
            <w:r>
              <w:rPr>
                <w:color w:val="000000"/>
              </w:rPr>
              <w:t>90</w:t>
            </w:r>
          </w:p>
        </w:tc>
        <w:tc>
          <w:tcPr>
            <w:tcW w:w="24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28967AF">
            <w:pPr>
              <w:pStyle w:val="10"/>
              <w:bidi w:val="0"/>
              <w:jc w:val="center"/>
              <w:rPr>
                <w:rFonts w:hint="eastAsia"/>
                <w:color w:val="000000"/>
              </w:rPr>
            </w:pPr>
            <w:r>
              <w:rPr>
                <w:color w:val="000000"/>
              </w:rPr>
              <w:t>75</w:t>
            </w:r>
          </w:p>
        </w:tc>
        <w:tc>
          <w:tcPr>
            <w:tcW w:w="22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E1E6515">
            <w:pPr>
              <w:pStyle w:val="10"/>
              <w:bidi w:val="0"/>
              <w:jc w:val="center"/>
              <w:rPr>
                <w:rFonts w:hint="eastAsia"/>
                <w:color w:val="000000"/>
              </w:rPr>
            </w:pPr>
            <w:r>
              <w:rPr>
                <w:color w:val="000000"/>
              </w:rPr>
              <w:t>0.7</w:t>
            </w:r>
          </w:p>
        </w:tc>
        <w:tc>
          <w:tcPr>
            <w:tcW w:w="26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324B139">
            <w:pPr>
              <w:pStyle w:val="10"/>
              <w:bidi w:val="0"/>
              <w:jc w:val="center"/>
              <w:rPr>
                <w:rFonts w:hint="eastAsia"/>
                <w:color w:val="000000"/>
              </w:rPr>
            </w:pPr>
            <w:r>
              <w:rPr>
                <w:color w:val="000000"/>
              </w:rPr>
              <w:t>53.6</w:t>
            </w:r>
          </w:p>
        </w:tc>
        <w:tc>
          <w:tcPr>
            <w:tcW w:w="25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D0EC38B">
            <w:pPr>
              <w:pStyle w:val="10"/>
              <w:bidi w:val="0"/>
              <w:jc w:val="center"/>
              <w:rPr>
                <w:rFonts w:hint="eastAsia"/>
                <w:color w:val="000000"/>
              </w:rPr>
            </w:pPr>
            <w:r>
              <w:rPr>
                <w:color w:val="000000"/>
              </w:rPr>
              <w:t>53.6</w:t>
            </w:r>
          </w:p>
        </w:tc>
        <w:tc>
          <w:tcPr>
            <w:tcW w:w="27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093B485">
            <w:pPr>
              <w:pStyle w:val="10"/>
              <w:bidi w:val="0"/>
              <w:jc w:val="center"/>
              <w:rPr>
                <w:rFonts w:hint="eastAsia"/>
                <w:color w:val="000000"/>
              </w:rPr>
            </w:pPr>
            <w:r>
              <w:rPr>
                <w:color w:val="000000"/>
              </w:rPr>
              <w:t>38</w:t>
            </w:r>
          </w:p>
        </w:tc>
        <w:tc>
          <w:tcPr>
            <w:tcW w:w="26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552C4E1">
            <w:pPr>
              <w:pStyle w:val="10"/>
              <w:bidi w:val="0"/>
              <w:jc w:val="center"/>
              <w:rPr>
                <w:rFonts w:hint="eastAsia"/>
                <w:color w:val="000000"/>
              </w:rPr>
            </w:pPr>
            <w:r>
              <w:rPr>
                <w:color w:val="000000"/>
              </w:rPr>
              <w:t>71</w:t>
            </w:r>
          </w:p>
        </w:tc>
        <w:tc>
          <w:tcPr>
            <w:tcW w:w="24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2D9EF6B">
            <w:pPr>
              <w:pStyle w:val="10"/>
              <w:bidi w:val="0"/>
              <w:jc w:val="center"/>
              <w:rPr>
                <w:rFonts w:hint="eastAsia"/>
                <w:color w:val="000000"/>
              </w:rPr>
            </w:pPr>
            <w:r>
              <w:rPr>
                <w:color w:val="000000"/>
              </w:rPr>
              <w:t>137</w:t>
            </w:r>
          </w:p>
        </w:tc>
        <w:tc>
          <w:tcPr>
            <w:tcW w:w="27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B4413B6">
            <w:pPr>
              <w:pStyle w:val="10"/>
              <w:bidi w:val="0"/>
              <w:jc w:val="center"/>
              <w:rPr>
                <w:rFonts w:hint="eastAsia"/>
                <w:color w:val="000000"/>
              </w:rPr>
            </w:pPr>
            <w:r>
              <w:rPr>
                <w:color w:val="000000"/>
              </w:rPr>
              <w:t>137</w:t>
            </w:r>
          </w:p>
        </w:tc>
        <w:tc>
          <w:tcPr>
            <w:tcW w:w="24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FBDB951">
            <w:pPr>
              <w:pStyle w:val="10"/>
              <w:bidi w:val="0"/>
              <w:jc w:val="center"/>
              <w:rPr>
                <w:rFonts w:hint="eastAsia"/>
                <w:color w:val="000000"/>
              </w:rPr>
            </w:pPr>
            <w:r>
              <w:rPr>
                <w:color w:val="000000"/>
              </w:rPr>
              <w:t>15</w:t>
            </w:r>
          </w:p>
        </w:tc>
        <w:tc>
          <w:tcPr>
            <w:tcW w:w="23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16F100D">
            <w:pPr>
              <w:pStyle w:val="10"/>
              <w:bidi w:val="0"/>
              <w:jc w:val="center"/>
              <w:rPr>
                <w:rFonts w:hint="eastAsia"/>
                <w:color w:val="000000"/>
              </w:rPr>
            </w:pPr>
            <w:r>
              <w:rPr>
                <w:color w:val="000000"/>
              </w:rPr>
              <w:t>35</w:t>
            </w:r>
          </w:p>
        </w:tc>
        <w:tc>
          <w:tcPr>
            <w:tcW w:w="23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9299F8E">
            <w:pPr>
              <w:pStyle w:val="10"/>
              <w:bidi w:val="0"/>
              <w:jc w:val="center"/>
              <w:rPr>
                <w:rFonts w:hint="eastAsia"/>
                <w:color w:val="000000"/>
              </w:rPr>
            </w:pPr>
            <w:r>
              <w:rPr>
                <w:color w:val="000000"/>
              </w:rPr>
              <w:t>167</w:t>
            </w:r>
          </w:p>
        </w:tc>
        <w:tc>
          <w:tcPr>
            <w:tcW w:w="25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6D9EFAD">
            <w:pPr>
              <w:pStyle w:val="10"/>
              <w:bidi w:val="0"/>
              <w:jc w:val="center"/>
              <w:rPr>
                <w:rFonts w:hint="eastAsia"/>
                <w:color w:val="000000"/>
              </w:rPr>
            </w:pPr>
            <w:r>
              <w:rPr>
                <w:color w:val="000000"/>
              </w:rPr>
              <w:t>152</w:t>
            </w:r>
          </w:p>
        </w:tc>
        <w:tc>
          <w:tcPr>
            <w:tcW w:w="263" w:type="pct"/>
            <w:tcBorders>
              <w:top w:val="single" w:color="000000" w:sz="8" w:space="0"/>
              <w:left w:val="single" w:color="000000" w:sz="8" w:space="0"/>
              <w:bottom w:val="single" w:color="000000" w:sz="8" w:space="0"/>
              <w:right w:val="nil"/>
            </w:tcBorders>
            <w:shd w:val="clear" w:color="auto" w:fill="FFFFFF"/>
            <w:vAlign w:val="center"/>
          </w:tcPr>
          <w:p w14:paraId="3D8F14F6">
            <w:pPr>
              <w:pStyle w:val="10"/>
              <w:bidi w:val="0"/>
              <w:jc w:val="center"/>
              <w:rPr>
                <w:rFonts w:hint="eastAsia"/>
                <w:color w:val="000000"/>
              </w:rPr>
            </w:pPr>
            <w:r>
              <w:rPr>
                <w:color w:val="000000"/>
              </w:rPr>
              <w:t>36</w:t>
            </w:r>
          </w:p>
        </w:tc>
      </w:tr>
      <w:tr w14:paraId="75A678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0" w:type="pct"/>
            <w:tcBorders>
              <w:top w:val="single" w:color="000000" w:sz="8" w:space="0"/>
              <w:left w:val="nil"/>
              <w:bottom w:val="single" w:color="000000" w:sz="8" w:space="0"/>
              <w:right w:val="single" w:color="000000" w:sz="8" w:space="0"/>
            </w:tcBorders>
            <w:shd w:val="clear" w:color="auto" w:fill="FFFFFF"/>
            <w:vAlign w:val="center"/>
          </w:tcPr>
          <w:p w14:paraId="2F33C3BE">
            <w:pPr>
              <w:pStyle w:val="10"/>
              <w:bidi w:val="0"/>
              <w:jc w:val="center"/>
              <w:rPr>
                <w:rFonts w:hint="eastAsia"/>
                <w:color w:val="000000"/>
              </w:rPr>
            </w:pPr>
            <w:r>
              <w:rPr>
                <w:rFonts w:hint="eastAsia"/>
                <w:color w:val="000000"/>
              </w:rPr>
              <w:t>横江灌区</w:t>
            </w:r>
          </w:p>
        </w:tc>
        <w:tc>
          <w:tcPr>
            <w:tcW w:w="23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BA9198A">
            <w:pPr>
              <w:pStyle w:val="10"/>
              <w:bidi w:val="0"/>
              <w:jc w:val="center"/>
              <w:rPr>
                <w:rFonts w:hint="eastAsia"/>
                <w:color w:val="000000"/>
              </w:rPr>
            </w:pPr>
            <w:r>
              <w:rPr>
                <w:rFonts w:hint="eastAsia"/>
                <w:color w:val="000000"/>
              </w:rPr>
              <w:t>珠玑</w:t>
            </w:r>
          </w:p>
        </w:tc>
        <w:tc>
          <w:tcPr>
            <w:tcW w:w="24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BDBC60D">
            <w:pPr>
              <w:pStyle w:val="10"/>
              <w:bidi w:val="0"/>
              <w:jc w:val="center"/>
              <w:rPr>
                <w:rFonts w:hint="eastAsia"/>
                <w:color w:val="000000"/>
              </w:rPr>
            </w:pPr>
            <w:r>
              <w:rPr>
                <w:color w:val="000000"/>
              </w:rPr>
              <w:t>3</w:t>
            </w:r>
          </w:p>
        </w:tc>
        <w:tc>
          <w:tcPr>
            <w:tcW w:w="22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FBF12B2">
            <w:pPr>
              <w:pStyle w:val="10"/>
              <w:bidi w:val="0"/>
              <w:jc w:val="center"/>
              <w:rPr>
                <w:rFonts w:hint="eastAsia"/>
                <w:color w:val="000000"/>
              </w:rPr>
            </w:pPr>
          </w:p>
        </w:tc>
        <w:tc>
          <w:tcPr>
            <w:tcW w:w="2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1539E97">
            <w:pPr>
              <w:pStyle w:val="10"/>
              <w:bidi w:val="0"/>
              <w:jc w:val="center"/>
              <w:rPr>
                <w:rFonts w:hint="eastAsia"/>
                <w:color w:val="000000"/>
              </w:rPr>
            </w:pPr>
            <w:r>
              <w:rPr>
                <w:color w:val="000000"/>
              </w:rPr>
              <w:t>2.5</w:t>
            </w:r>
          </w:p>
        </w:tc>
        <w:tc>
          <w:tcPr>
            <w:tcW w:w="25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2475483">
            <w:pPr>
              <w:pStyle w:val="10"/>
              <w:bidi w:val="0"/>
              <w:jc w:val="center"/>
              <w:rPr>
                <w:rFonts w:hint="eastAsia"/>
                <w:color w:val="000000"/>
              </w:rPr>
            </w:pPr>
            <w:r>
              <w:rPr>
                <w:color w:val="000000"/>
              </w:rPr>
              <w:t>2.3</w:t>
            </w:r>
          </w:p>
        </w:tc>
        <w:tc>
          <w:tcPr>
            <w:tcW w:w="274"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A6298D1">
            <w:pPr>
              <w:pStyle w:val="10"/>
              <w:bidi w:val="0"/>
              <w:jc w:val="center"/>
              <w:rPr>
                <w:rFonts w:hint="eastAsia"/>
                <w:color w:val="000000"/>
              </w:rPr>
            </w:pPr>
            <w:r>
              <w:rPr>
                <w:color w:val="000000"/>
              </w:rPr>
              <w:t>90</w:t>
            </w:r>
          </w:p>
        </w:tc>
        <w:tc>
          <w:tcPr>
            <w:tcW w:w="24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E6E357F">
            <w:pPr>
              <w:pStyle w:val="10"/>
              <w:bidi w:val="0"/>
              <w:jc w:val="center"/>
              <w:rPr>
                <w:rFonts w:hint="eastAsia"/>
                <w:color w:val="000000"/>
              </w:rPr>
            </w:pPr>
            <w:r>
              <w:rPr>
                <w:color w:val="000000"/>
              </w:rPr>
              <w:t>75</w:t>
            </w:r>
          </w:p>
        </w:tc>
        <w:tc>
          <w:tcPr>
            <w:tcW w:w="22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767AE2D">
            <w:pPr>
              <w:pStyle w:val="10"/>
              <w:bidi w:val="0"/>
              <w:jc w:val="center"/>
              <w:rPr>
                <w:rFonts w:hint="eastAsia"/>
                <w:color w:val="000000"/>
              </w:rPr>
            </w:pPr>
            <w:r>
              <w:rPr>
                <w:color w:val="000000"/>
              </w:rPr>
              <w:t>0.4</w:t>
            </w:r>
          </w:p>
        </w:tc>
        <w:tc>
          <w:tcPr>
            <w:tcW w:w="26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9369E84">
            <w:pPr>
              <w:pStyle w:val="10"/>
              <w:bidi w:val="0"/>
              <w:jc w:val="center"/>
              <w:rPr>
                <w:rFonts w:hint="eastAsia"/>
                <w:color w:val="000000"/>
              </w:rPr>
            </w:pPr>
            <w:r>
              <w:rPr>
                <w:color w:val="000000"/>
              </w:rPr>
              <w:t>119.7</w:t>
            </w:r>
          </w:p>
        </w:tc>
        <w:tc>
          <w:tcPr>
            <w:tcW w:w="25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5F3A276">
            <w:pPr>
              <w:pStyle w:val="10"/>
              <w:bidi w:val="0"/>
              <w:jc w:val="center"/>
              <w:rPr>
                <w:rFonts w:hint="eastAsia"/>
                <w:color w:val="000000"/>
              </w:rPr>
            </w:pPr>
            <w:r>
              <w:rPr>
                <w:color w:val="000000"/>
              </w:rPr>
              <w:t>87.5</w:t>
            </w:r>
          </w:p>
        </w:tc>
        <w:tc>
          <w:tcPr>
            <w:tcW w:w="27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CB03131">
            <w:pPr>
              <w:pStyle w:val="10"/>
              <w:bidi w:val="0"/>
              <w:jc w:val="center"/>
              <w:rPr>
                <w:rFonts w:hint="eastAsia"/>
                <w:color w:val="000000"/>
              </w:rPr>
            </w:pPr>
            <w:r>
              <w:rPr>
                <w:color w:val="000000"/>
              </w:rPr>
              <w:t>9</w:t>
            </w:r>
          </w:p>
        </w:tc>
        <w:tc>
          <w:tcPr>
            <w:tcW w:w="26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D846FDE">
            <w:pPr>
              <w:pStyle w:val="10"/>
              <w:bidi w:val="0"/>
              <w:jc w:val="center"/>
              <w:rPr>
                <w:rFonts w:hint="eastAsia"/>
                <w:color w:val="000000"/>
              </w:rPr>
            </w:pPr>
            <w:r>
              <w:rPr>
                <w:color w:val="000000"/>
              </w:rPr>
              <w:t>66</w:t>
            </w:r>
          </w:p>
        </w:tc>
        <w:tc>
          <w:tcPr>
            <w:tcW w:w="24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F44FDA0">
            <w:pPr>
              <w:pStyle w:val="10"/>
              <w:bidi w:val="0"/>
              <w:jc w:val="center"/>
              <w:rPr>
                <w:rFonts w:hint="eastAsia"/>
                <w:color w:val="000000"/>
              </w:rPr>
            </w:pPr>
            <w:r>
              <w:rPr>
                <w:color w:val="000000"/>
              </w:rPr>
              <w:t>15</w:t>
            </w:r>
          </w:p>
        </w:tc>
        <w:tc>
          <w:tcPr>
            <w:tcW w:w="27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1B23759">
            <w:pPr>
              <w:pStyle w:val="10"/>
              <w:bidi w:val="0"/>
              <w:jc w:val="center"/>
              <w:rPr>
                <w:rFonts w:hint="eastAsia"/>
                <w:color w:val="000000"/>
              </w:rPr>
            </w:pPr>
            <w:r>
              <w:rPr>
                <w:color w:val="000000"/>
              </w:rPr>
              <w:t>15</w:t>
            </w:r>
          </w:p>
        </w:tc>
        <w:tc>
          <w:tcPr>
            <w:tcW w:w="24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2B36AC2">
            <w:pPr>
              <w:pStyle w:val="10"/>
              <w:bidi w:val="0"/>
              <w:jc w:val="center"/>
              <w:rPr>
                <w:rFonts w:hint="eastAsia"/>
                <w:color w:val="000000"/>
              </w:rPr>
            </w:pPr>
            <w:r>
              <w:rPr>
                <w:color w:val="000000"/>
              </w:rPr>
              <w:t>1</w:t>
            </w:r>
          </w:p>
        </w:tc>
        <w:tc>
          <w:tcPr>
            <w:tcW w:w="23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A2B2E07">
            <w:pPr>
              <w:pStyle w:val="10"/>
              <w:bidi w:val="0"/>
              <w:jc w:val="center"/>
              <w:rPr>
                <w:rFonts w:hint="eastAsia"/>
                <w:color w:val="000000"/>
              </w:rPr>
            </w:pPr>
            <w:r>
              <w:rPr>
                <w:color w:val="000000"/>
              </w:rPr>
              <w:t>51</w:t>
            </w:r>
          </w:p>
        </w:tc>
        <w:tc>
          <w:tcPr>
            <w:tcW w:w="23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2D0CBB0">
            <w:pPr>
              <w:pStyle w:val="10"/>
              <w:bidi w:val="0"/>
              <w:jc w:val="center"/>
              <w:rPr>
                <w:rFonts w:hint="eastAsia"/>
                <w:color w:val="000000"/>
              </w:rPr>
            </w:pPr>
            <w:r>
              <w:rPr>
                <w:color w:val="000000"/>
              </w:rPr>
              <w:t>75</w:t>
            </w:r>
          </w:p>
        </w:tc>
        <w:tc>
          <w:tcPr>
            <w:tcW w:w="25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8172E40">
            <w:pPr>
              <w:pStyle w:val="10"/>
              <w:bidi w:val="0"/>
              <w:jc w:val="center"/>
              <w:rPr>
                <w:rFonts w:hint="eastAsia"/>
                <w:color w:val="000000"/>
              </w:rPr>
            </w:pPr>
            <w:r>
              <w:rPr>
                <w:color w:val="000000"/>
              </w:rPr>
              <w:t>61</w:t>
            </w:r>
          </w:p>
        </w:tc>
        <w:tc>
          <w:tcPr>
            <w:tcW w:w="263" w:type="pct"/>
            <w:tcBorders>
              <w:top w:val="single" w:color="000000" w:sz="8" w:space="0"/>
              <w:left w:val="single" w:color="000000" w:sz="8" w:space="0"/>
              <w:bottom w:val="single" w:color="000000" w:sz="8" w:space="0"/>
              <w:right w:val="nil"/>
            </w:tcBorders>
            <w:shd w:val="clear" w:color="auto" w:fill="FFFFFF"/>
            <w:vAlign w:val="center"/>
          </w:tcPr>
          <w:p w14:paraId="39B559E7">
            <w:pPr>
              <w:pStyle w:val="10"/>
              <w:bidi w:val="0"/>
              <w:jc w:val="center"/>
              <w:rPr>
                <w:rFonts w:hint="eastAsia"/>
                <w:color w:val="000000"/>
              </w:rPr>
            </w:pPr>
            <w:r>
              <w:rPr>
                <w:color w:val="000000"/>
              </w:rPr>
              <w:t>52</w:t>
            </w:r>
          </w:p>
        </w:tc>
      </w:tr>
      <w:tr w14:paraId="67A436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0" w:type="pct"/>
            <w:tcBorders>
              <w:top w:val="single" w:color="000000" w:sz="8" w:space="0"/>
              <w:left w:val="nil"/>
              <w:bottom w:val="single" w:color="000000" w:sz="8" w:space="0"/>
              <w:right w:val="single" w:color="000000" w:sz="8" w:space="0"/>
            </w:tcBorders>
            <w:shd w:val="clear" w:color="auto" w:fill="FFFFFF"/>
            <w:vAlign w:val="center"/>
          </w:tcPr>
          <w:p w14:paraId="5FBAB235">
            <w:pPr>
              <w:pStyle w:val="10"/>
              <w:bidi w:val="0"/>
              <w:jc w:val="center"/>
              <w:rPr>
                <w:rFonts w:hint="eastAsia"/>
                <w:color w:val="000000"/>
              </w:rPr>
            </w:pPr>
            <w:r>
              <w:rPr>
                <w:rFonts w:hint="eastAsia"/>
                <w:color w:val="000000"/>
              </w:rPr>
              <w:t>宝江灌区</w:t>
            </w:r>
          </w:p>
        </w:tc>
        <w:tc>
          <w:tcPr>
            <w:tcW w:w="23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68D9AC8">
            <w:pPr>
              <w:pStyle w:val="10"/>
              <w:bidi w:val="0"/>
              <w:jc w:val="center"/>
              <w:rPr>
                <w:rFonts w:hint="eastAsia"/>
                <w:color w:val="000000"/>
              </w:rPr>
            </w:pPr>
            <w:r>
              <w:rPr>
                <w:rFonts w:hint="eastAsia"/>
                <w:color w:val="000000"/>
              </w:rPr>
              <w:t>水口</w:t>
            </w:r>
          </w:p>
        </w:tc>
        <w:tc>
          <w:tcPr>
            <w:tcW w:w="24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67B23E8">
            <w:pPr>
              <w:pStyle w:val="10"/>
              <w:bidi w:val="0"/>
              <w:jc w:val="center"/>
              <w:rPr>
                <w:rFonts w:hint="eastAsia"/>
                <w:color w:val="000000"/>
              </w:rPr>
            </w:pPr>
            <w:r>
              <w:rPr>
                <w:color w:val="000000"/>
              </w:rPr>
              <w:t>2</w:t>
            </w:r>
          </w:p>
        </w:tc>
        <w:tc>
          <w:tcPr>
            <w:tcW w:w="22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94DCD8F">
            <w:pPr>
              <w:pStyle w:val="10"/>
              <w:bidi w:val="0"/>
              <w:jc w:val="center"/>
              <w:rPr>
                <w:rFonts w:hint="eastAsia"/>
                <w:color w:val="000000"/>
              </w:rPr>
            </w:pPr>
            <w:r>
              <w:rPr>
                <w:color w:val="000000"/>
              </w:rPr>
              <w:t>36.5</w:t>
            </w:r>
          </w:p>
        </w:tc>
        <w:tc>
          <w:tcPr>
            <w:tcW w:w="2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8A98E76">
            <w:pPr>
              <w:pStyle w:val="10"/>
              <w:bidi w:val="0"/>
              <w:jc w:val="center"/>
              <w:rPr>
                <w:rFonts w:hint="eastAsia"/>
                <w:color w:val="000000"/>
              </w:rPr>
            </w:pPr>
            <w:r>
              <w:rPr>
                <w:color w:val="000000"/>
              </w:rPr>
              <w:t>1.4</w:t>
            </w:r>
          </w:p>
        </w:tc>
        <w:tc>
          <w:tcPr>
            <w:tcW w:w="25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B68003A">
            <w:pPr>
              <w:pStyle w:val="10"/>
              <w:bidi w:val="0"/>
              <w:jc w:val="center"/>
              <w:rPr>
                <w:rFonts w:hint="eastAsia"/>
                <w:color w:val="000000"/>
              </w:rPr>
            </w:pPr>
            <w:r>
              <w:rPr>
                <w:color w:val="000000"/>
              </w:rPr>
              <w:t>0.8</w:t>
            </w:r>
          </w:p>
        </w:tc>
        <w:tc>
          <w:tcPr>
            <w:tcW w:w="274"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7F1C4DB">
            <w:pPr>
              <w:pStyle w:val="10"/>
              <w:bidi w:val="0"/>
              <w:jc w:val="center"/>
              <w:rPr>
                <w:rFonts w:hint="eastAsia"/>
                <w:color w:val="000000"/>
              </w:rPr>
            </w:pPr>
            <w:r>
              <w:rPr>
                <w:color w:val="000000"/>
              </w:rPr>
              <w:t>90</w:t>
            </w:r>
          </w:p>
        </w:tc>
        <w:tc>
          <w:tcPr>
            <w:tcW w:w="24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8F90E14">
            <w:pPr>
              <w:pStyle w:val="10"/>
              <w:bidi w:val="0"/>
              <w:jc w:val="center"/>
              <w:rPr>
                <w:rFonts w:hint="eastAsia"/>
                <w:color w:val="000000"/>
              </w:rPr>
            </w:pPr>
            <w:r>
              <w:rPr>
                <w:color w:val="000000"/>
              </w:rPr>
              <w:t>90</w:t>
            </w:r>
          </w:p>
        </w:tc>
        <w:tc>
          <w:tcPr>
            <w:tcW w:w="22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6A688CB">
            <w:pPr>
              <w:pStyle w:val="10"/>
              <w:bidi w:val="0"/>
              <w:jc w:val="center"/>
              <w:rPr>
                <w:rFonts w:hint="eastAsia"/>
                <w:color w:val="000000"/>
              </w:rPr>
            </w:pPr>
            <w:r>
              <w:rPr>
                <w:color w:val="000000"/>
              </w:rPr>
              <w:t>0.5</w:t>
            </w:r>
          </w:p>
        </w:tc>
        <w:tc>
          <w:tcPr>
            <w:tcW w:w="26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D17A057">
            <w:pPr>
              <w:pStyle w:val="10"/>
              <w:bidi w:val="0"/>
              <w:jc w:val="center"/>
              <w:rPr>
                <w:rFonts w:hint="eastAsia"/>
                <w:color w:val="000000"/>
              </w:rPr>
            </w:pPr>
            <w:r>
              <w:rPr>
                <w:color w:val="000000"/>
              </w:rPr>
              <w:t>49</w:t>
            </w:r>
          </w:p>
        </w:tc>
        <w:tc>
          <w:tcPr>
            <w:tcW w:w="25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A5238E1">
            <w:pPr>
              <w:pStyle w:val="10"/>
              <w:bidi w:val="0"/>
              <w:jc w:val="center"/>
              <w:rPr>
                <w:rFonts w:hint="eastAsia"/>
                <w:color w:val="000000"/>
              </w:rPr>
            </w:pPr>
            <w:r>
              <w:rPr>
                <w:color w:val="000000"/>
              </w:rPr>
              <w:t>32</w:t>
            </w:r>
          </w:p>
        </w:tc>
        <w:tc>
          <w:tcPr>
            <w:tcW w:w="27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C486B99">
            <w:pPr>
              <w:pStyle w:val="10"/>
              <w:bidi w:val="0"/>
              <w:jc w:val="center"/>
              <w:rPr>
                <w:rFonts w:hint="eastAsia"/>
                <w:color w:val="000000"/>
              </w:rPr>
            </w:pPr>
            <w:r>
              <w:rPr>
                <w:color w:val="000000"/>
              </w:rPr>
              <w:t>5</w:t>
            </w:r>
          </w:p>
        </w:tc>
        <w:tc>
          <w:tcPr>
            <w:tcW w:w="26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0971F4B">
            <w:pPr>
              <w:pStyle w:val="10"/>
              <w:bidi w:val="0"/>
              <w:jc w:val="center"/>
              <w:rPr>
                <w:rFonts w:hint="eastAsia"/>
                <w:color w:val="000000"/>
              </w:rPr>
            </w:pPr>
            <w:r>
              <w:rPr>
                <w:color w:val="000000"/>
              </w:rPr>
              <w:t>70</w:t>
            </w:r>
          </w:p>
        </w:tc>
        <w:tc>
          <w:tcPr>
            <w:tcW w:w="24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BBB2450">
            <w:pPr>
              <w:pStyle w:val="10"/>
              <w:bidi w:val="0"/>
              <w:jc w:val="center"/>
              <w:rPr>
                <w:rFonts w:hint="eastAsia"/>
                <w:color w:val="000000"/>
              </w:rPr>
            </w:pPr>
            <w:r>
              <w:rPr>
                <w:color w:val="000000"/>
              </w:rPr>
              <w:t>25</w:t>
            </w:r>
          </w:p>
        </w:tc>
        <w:tc>
          <w:tcPr>
            <w:tcW w:w="27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C15C5EB">
            <w:pPr>
              <w:pStyle w:val="10"/>
              <w:bidi w:val="0"/>
              <w:jc w:val="center"/>
              <w:rPr>
                <w:rFonts w:hint="eastAsia"/>
                <w:color w:val="000000"/>
              </w:rPr>
            </w:pPr>
            <w:r>
              <w:rPr>
                <w:color w:val="000000"/>
              </w:rPr>
              <w:t>21.3</w:t>
            </w:r>
          </w:p>
        </w:tc>
        <w:tc>
          <w:tcPr>
            <w:tcW w:w="24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EB79542">
            <w:pPr>
              <w:pStyle w:val="10"/>
              <w:bidi w:val="0"/>
              <w:jc w:val="center"/>
              <w:rPr>
                <w:rFonts w:hint="eastAsia"/>
                <w:color w:val="000000"/>
              </w:rPr>
            </w:pPr>
            <w:r>
              <w:rPr>
                <w:color w:val="000000"/>
              </w:rPr>
              <w:t>2</w:t>
            </w:r>
          </w:p>
        </w:tc>
        <w:tc>
          <w:tcPr>
            <w:tcW w:w="23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6E71551">
            <w:pPr>
              <w:pStyle w:val="10"/>
              <w:bidi w:val="0"/>
              <w:jc w:val="center"/>
              <w:rPr>
                <w:rFonts w:hint="eastAsia"/>
                <w:color w:val="000000"/>
              </w:rPr>
            </w:pPr>
            <w:r>
              <w:rPr>
                <w:color w:val="000000"/>
              </w:rPr>
              <w:t>42</w:t>
            </w:r>
          </w:p>
        </w:tc>
        <w:tc>
          <w:tcPr>
            <w:tcW w:w="23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F4BCFB8">
            <w:pPr>
              <w:pStyle w:val="10"/>
              <w:bidi w:val="0"/>
              <w:jc w:val="center"/>
              <w:rPr>
                <w:rFonts w:hint="eastAsia"/>
                <w:color w:val="000000"/>
              </w:rPr>
            </w:pPr>
            <w:r>
              <w:rPr>
                <w:color w:val="000000"/>
              </w:rPr>
              <w:t>85</w:t>
            </w:r>
          </w:p>
        </w:tc>
        <w:tc>
          <w:tcPr>
            <w:tcW w:w="25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DE5E83D">
            <w:pPr>
              <w:pStyle w:val="10"/>
              <w:bidi w:val="0"/>
              <w:jc w:val="center"/>
              <w:rPr>
                <w:rFonts w:hint="eastAsia"/>
                <w:color w:val="000000"/>
              </w:rPr>
            </w:pPr>
            <w:r>
              <w:rPr>
                <w:color w:val="000000"/>
              </w:rPr>
              <w:t>80</w:t>
            </w:r>
          </w:p>
        </w:tc>
        <w:tc>
          <w:tcPr>
            <w:tcW w:w="263" w:type="pct"/>
            <w:tcBorders>
              <w:top w:val="single" w:color="000000" w:sz="8" w:space="0"/>
              <w:left w:val="single" w:color="000000" w:sz="8" w:space="0"/>
              <w:bottom w:val="single" w:color="000000" w:sz="8" w:space="0"/>
              <w:right w:val="nil"/>
            </w:tcBorders>
            <w:shd w:val="clear" w:color="auto" w:fill="FFFFFF"/>
            <w:vAlign w:val="center"/>
          </w:tcPr>
          <w:p w14:paraId="12B7A6BC">
            <w:pPr>
              <w:pStyle w:val="10"/>
              <w:bidi w:val="0"/>
              <w:jc w:val="center"/>
              <w:rPr>
                <w:rFonts w:hint="eastAsia"/>
                <w:color w:val="000000"/>
              </w:rPr>
            </w:pPr>
            <w:r>
              <w:rPr>
                <w:color w:val="000000"/>
              </w:rPr>
              <w:t>69</w:t>
            </w:r>
          </w:p>
        </w:tc>
      </w:tr>
      <w:tr w14:paraId="025165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0" w:type="pct"/>
            <w:tcBorders>
              <w:top w:val="single" w:color="000000" w:sz="8" w:space="0"/>
              <w:left w:val="nil"/>
              <w:bottom w:val="single" w:color="000000" w:sz="8" w:space="0"/>
              <w:right w:val="single" w:color="000000" w:sz="8" w:space="0"/>
            </w:tcBorders>
            <w:shd w:val="clear" w:color="auto" w:fill="FFFFFF"/>
            <w:vAlign w:val="center"/>
          </w:tcPr>
          <w:p w14:paraId="0DDCB6ED">
            <w:pPr>
              <w:pStyle w:val="10"/>
              <w:bidi w:val="0"/>
              <w:jc w:val="center"/>
              <w:rPr>
                <w:rFonts w:hint="eastAsia"/>
                <w:color w:val="000000"/>
              </w:rPr>
            </w:pPr>
            <w:r>
              <w:rPr>
                <w:rFonts w:hint="eastAsia"/>
                <w:color w:val="000000"/>
              </w:rPr>
              <w:t>瀑布灌区</w:t>
            </w:r>
          </w:p>
        </w:tc>
        <w:tc>
          <w:tcPr>
            <w:tcW w:w="23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EE94319">
            <w:pPr>
              <w:pStyle w:val="10"/>
              <w:bidi w:val="0"/>
              <w:jc w:val="center"/>
              <w:rPr>
                <w:rFonts w:hint="eastAsia"/>
                <w:color w:val="000000"/>
              </w:rPr>
            </w:pPr>
            <w:r>
              <w:rPr>
                <w:rFonts w:hint="eastAsia"/>
                <w:color w:val="000000"/>
              </w:rPr>
              <w:t>主田</w:t>
            </w:r>
          </w:p>
        </w:tc>
        <w:tc>
          <w:tcPr>
            <w:tcW w:w="24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66BDE49">
            <w:pPr>
              <w:pStyle w:val="10"/>
              <w:bidi w:val="0"/>
              <w:jc w:val="center"/>
              <w:rPr>
                <w:rFonts w:hint="eastAsia"/>
                <w:color w:val="000000"/>
              </w:rPr>
            </w:pPr>
            <w:r>
              <w:rPr>
                <w:color w:val="000000"/>
              </w:rPr>
              <w:t>3</w:t>
            </w:r>
          </w:p>
        </w:tc>
        <w:tc>
          <w:tcPr>
            <w:tcW w:w="22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39E6778">
            <w:pPr>
              <w:pStyle w:val="10"/>
              <w:bidi w:val="0"/>
              <w:jc w:val="center"/>
              <w:rPr>
                <w:rFonts w:hint="eastAsia"/>
                <w:color w:val="000000"/>
              </w:rPr>
            </w:pPr>
            <w:r>
              <w:rPr>
                <w:color w:val="000000"/>
              </w:rPr>
              <w:t>1000</w:t>
            </w:r>
          </w:p>
        </w:tc>
        <w:tc>
          <w:tcPr>
            <w:tcW w:w="2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1B68F70">
            <w:pPr>
              <w:pStyle w:val="10"/>
              <w:bidi w:val="0"/>
              <w:jc w:val="center"/>
              <w:rPr>
                <w:rFonts w:hint="eastAsia"/>
                <w:color w:val="000000"/>
              </w:rPr>
            </w:pPr>
            <w:r>
              <w:rPr>
                <w:color w:val="000000"/>
              </w:rPr>
              <w:t>2.5</w:t>
            </w:r>
          </w:p>
        </w:tc>
        <w:tc>
          <w:tcPr>
            <w:tcW w:w="25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B7BB89C">
            <w:pPr>
              <w:pStyle w:val="10"/>
              <w:bidi w:val="0"/>
              <w:jc w:val="center"/>
              <w:rPr>
                <w:rFonts w:hint="eastAsia"/>
                <w:color w:val="000000"/>
              </w:rPr>
            </w:pPr>
            <w:r>
              <w:rPr>
                <w:color w:val="000000"/>
              </w:rPr>
              <w:t>1.5</w:t>
            </w:r>
          </w:p>
        </w:tc>
        <w:tc>
          <w:tcPr>
            <w:tcW w:w="274"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4DDE9AE">
            <w:pPr>
              <w:pStyle w:val="10"/>
              <w:bidi w:val="0"/>
              <w:jc w:val="center"/>
              <w:rPr>
                <w:rFonts w:hint="eastAsia"/>
                <w:color w:val="000000"/>
              </w:rPr>
            </w:pPr>
            <w:r>
              <w:rPr>
                <w:color w:val="000000"/>
              </w:rPr>
              <w:t>90</w:t>
            </w:r>
          </w:p>
        </w:tc>
        <w:tc>
          <w:tcPr>
            <w:tcW w:w="24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F53F89F">
            <w:pPr>
              <w:pStyle w:val="10"/>
              <w:bidi w:val="0"/>
              <w:jc w:val="center"/>
              <w:rPr>
                <w:rFonts w:hint="eastAsia"/>
                <w:color w:val="000000"/>
              </w:rPr>
            </w:pPr>
            <w:r>
              <w:rPr>
                <w:color w:val="000000"/>
              </w:rPr>
              <w:t>75</w:t>
            </w:r>
          </w:p>
        </w:tc>
        <w:tc>
          <w:tcPr>
            <w:tcW w:w="22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15378E7">
            <w:pPr>
              <w:pStyle w:val="10"/>
              <w:bidi w:val="0"/>
              <w:jc w:val="center"/>
              <w:rPr>
                <w:rFonts w:hint="eastAsia"/>
                <w:color w:val="000000"/>
              </w:rPr>
            </w:pPr>
            <w:r>
              <w:rPr>
                <w:color w:val="000000"/>
              </w:rPr>
              <w:t>45</w:t>
            </w:r>
          </w:p>
        </w:tc>
        <w:tc>
          <w:tcPr>
            <w:tcW w:w="26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AAB42B3">
            <w:pPr>
              <w:pStyle w:val="10"/>
              <w:bidi w:val="0"/>
              <w:jc w:val="center"/>
              <w:rPr>
                <w:rFonts w:hint="eastAsia"/>
                <w:color w:val="000000"/>
              </w:rPr>
            </w:pPr>
            <w:r>
              <w:rPr>
                <w:color w:val="000000"/>
              </w:rPr>
              <w:t>100.6</w:t>
            </w:r>
          </w:p>
        </w:tc>
        <w:tc>
          <w:tcPr>
            <w:tcW w:w="25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F672138">
            <w:pPr>
              <w:pStyle w:val="10"/>
              <w:bidi w:val="0"/>
              <w:jc w:val="center"/>
              <w:rPr>
                <w:rFonts w:hint="eastAsia"/>
                <w:color w:val="000000"/>
              </w:rPr>
            </w:pPr>
            <w:r>
              <w:rPr>
                <w:color w:val="000000"/>
              </w:rPr>
              <w:t>77.6</w:t>
            </w:r>
          </w:p>
        </w:tc>
        <w:tc>
          <w:tcPr>
            <w:tcW w:w="27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8F81639">
            <w:pPr>
              <w:pStyle w:val="10"/>
              <w:bidi w:val="0"/>
              <w:jc w:val="center"/>
              <w:rPr>
                <w:rFonts w:hint="eastAsia"/>
                <w:color w:val="000000"/>
              </w:rPr>
            </w:pPr>
            <w:r>
              <w:rPr>
                <w:color w:val="000000"/>
              </w:rPr>
              <w:t>9.8</w:t>
            </w:r>
          </w:p>
        </w:tc>
        <w:tc>
          <w:tcPr>
            <w:tcW w:w="26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D4FA633">
            <w:pPr>
              <w:pStyle w:val="10"/>
              <w:bidi w:val="0"/>
              <w:jc w:val="center"/>
              <w:rPr>
                <w:rFonts w:hint="eastAsia"/>
                <w:color w:val="000000"/>
              </w:rPr>
            </w:pPr>
            <w:r>
              <w:rPr>
                <w:color w:val="000000"/>
              </w:rPr>
              <w:t>67</w:t>
            </w:r>
          </w:p>
        </w:tc>
        <w:tc>
          <w:tcPr>
            <w:tcW w:w="24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DCFDD9D">
            <w:pPr>
              <w:pStyle w:val="10"/>
              <w:bidi w:val="0"/>
              <w:jc w:val="center"/>
              <w:rPr>
                <w:rFonts w:hint="eastAsia"/>
                <w:color w:val="000000"/>
              </w:rPr>
            </w:pPr>
            <w:r>
              <w:rPr>
                <w:color w:val="000000"/>
              </w:rPr>
              <w:t>47.4</w:t>
            </w:r>
          </w:p>
        </w:tc>
        <w:tc>
          <w:tcPr>
            <w:tcW w:w="27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70AC620">
            <w:pPr>
              <w:pStyle w:val="10"/>
              <w:bidi w:val="0"/>
              <w:jc w:val="center"/>
              <w:rPr>
                <w:rFonts w:hint="eastAsia"/>
                <w:color w:val="000000"/>
              </w:rPr>
            </w:pPr>
            <w:r>
              <w:rPr>
                <w:color w:val="000000"/>
              </w:rPr>
              <w:t>47.4</w:t>
            </w:r>
          </w:p>
        </w:tc>
        <w:tc>
          <w:tcPr>
            <w:tcW w:w="24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B5BE03C">
            <w:pPr>
              <w:pStyle w:val="10"/>
              <w:bidi w:val="0"/>
              <w:jc w:val="center"/>
              <w:rPr>
                <w:rFonts w:hint="eastAsia"/>
                <w:color w:val="000000"/>
              </w:rPr>
            </w:pPr>
            <w:r>
              <w:rPr>
                <w:color w:val="000000"/>
              </w:rPr>
              <w:t>8</w:t>
            </w:r>
          </w:p>
        </w:tc>
        <w:tc>
          <w:tcPr>
            <w:tcW w:w="23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9F32ED5">
            <w:pPr>
              <w:pStyle w:val="10"/>
              <w:bidi w:val="0"/>
              <w:jc w:val="center"/>
              <w:rPr>
                <w:rFonts w:hint="eastAsia"/>
                <w:color w:val="000000"/>
              </w:rPr>
            </w:pPr>
            <w:r>
              <w:rPr>
                <w:color w:val="000000"/>
              </w:rPr>
              <w:t>40</w:t>
            </w:r>
          </w:p>
        </w:tc>
        <w:tc>
          <w:tcPr>
            <w:tcW w:w="23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877FDF2">
            <w:pPr>
              <w:pStyle w:val="10"/>
              <w:bidi w:val="0"/>
              <w:jc w:val="center"/>
              <w:rPr>
                <w:rFonts w:hint="eastAsia"/>
                <w:color w:val="000000"/>
              </w:rPr>
            </w:pPr>
            <w:r>
              <w:rPr>
                <w:color w:val="000000"/>
              </w:rPr>
              <w:t>90</w:t>
            </w:r>
          </w:p>
        </w:tc>
        <w:tc>
          <w:tcPr>
            <w:tcW w:w="25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1354A66">
            <w:pPr>
              <w:pStyle w:val="10"/>
              <w:bidi w:val="0"/>
              <w:jc w:val="center"/>
              <w:rPr>
                <w:rFonts w:hint="eastAsia"/>
                <w:color w:val="000000"/>
              </w:rPr>
            </w:pPr>
            <w:r>
              <w:rPr>
                <w:color w:val="000000"/>
              </w:rPr>
              <w:t>70</w:t>
            </w:r>
          </w:p>
        </w:tc>
        <w:tc>
          <w:tcPr>
            <w:tcW w:w="263" w:type="pct"/>
            <w:tcBorders>
              <w:top w:val="single" w:color="000000" w:sz="8" w:space="0"/>
              <w:left w:val="single" w:color="000000" w:sz="8" w:space="0"/>
              <w:bottom w:val="single" w:color="000000" w:sz="8" w:space="0"/>
              <w:right w:val="nil"/>
            </w:tcBorders>
            <w:shd w:val="clear" w:color="auto" w:fill="FFFFFF"/>
            <w:vAlign w:val="center"/>
          </w:tcPr>
          <w:p w14:paraId="1A034487">
            <w:pPr>
              <w:pStyle w:val="10"/>
              <w:bidi w:val="0"/>
              <w:jc w:val="center"/>
              <w:rPr>
                <w:rFonts w:hint="eastAsia"/>
                <w:color w:val="000000"/>
              </w:rPr>
            </w:pPr>
            <w:r>
              <w:rPr>
                <w:color w:val="000000"/>
              </w:rPr>
              <w:t>60</w:t>
            </w:r>
          </w:p>
        </w:tc>
      </w:tr>
      <w:tr w14:paraId="235965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0" w:type="pct"/>
            <w:tcBorders>
              <w:top w:val="single" w:color="000000" w:sz="8" w:space="0"/>
              <w:left w:val="nil"/>
              <w:bottom w:val="single" w:color="000000" w:sz="8" w:space="0"/>
              <w:right w:val="single" w:color="000000" w:sz="8" w:space="0"/>
            </w:tcBorders>
            <w:shd w:val="clear" w:color="auto" w:fill="FFFFFF"/>
            <w:vAlign w:val="center"/>
          </w:tcPr>
          <w:p w14:paraId="37F6D6A9">
            <w:pPr>
              <w:pStyle w:val="10"/>
              <w:bidi w:val="0"/>
              <w:jc w:val="center"/>
              <w:rPr>
                <w:rFonts w:hint="eastAsia"/>
                <w:color w:val="000000"/>
              </w:rPr>
            </w:pPr>
            <w:r>
              <w:rPr>
                <w:rFonts w:hint="eastAsia"/>
                <w:color w:val="000000"/>
              </w:rPr>
              <w:t>乌坭灌区</w:t>
            </w:r>
          </w:p>
        </w:tc>
        <w:tc>
          <w:tcPr>
            <w:tcW w:w="23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A1169B8">
            <w:pPr>
              <w:pStyle w:val="10"/>
              <w:bidi w:val="0"/>
              <w:jc w:val="center"/>
              <w:rPr>
                <w:rFonts w:hint="eastAsia"/>
                <w:color w:val="000000"/>
              </w:rPr>
            </w:pPr>
            <w:r>
              <w:rPr>
                <w:rFonts w:hint="eastAsia"/>
                <w:color w:val="000000"/>
              </w:rPr>
              <w:t>珠玑</w:t>
            </w:r>
          </w:p>
        </w:tc>
        <w:tc>
          <w:tcPr>
            <w:tcW w:w="24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1CAB6BC">
            <w:pPr>
              <w:pStyle w:val="10"/>
              <w:bidi w:val="0"/>
              <w:jc w:val="center"/>
              <w:rPr>
                <w:rFonts w:hint="eastAsia"/>
                <w:color w:val="000000"/>
              </w:rPr>
            </w:pPr>
            <w:r>
              <w:rPr>
                <w:color w:val="000000"/>
              </w:rPr>
              <w:t>0.5</w:t>
            </w:r>
          </w:p>
        </w:tc>
        <w:tc>
          <w:tcPr>
            <w:tcW w:w="22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BBD41B4">
            <w:pPr>
              <w:pStyle w:val="10"/>
              <w:bidi w:val="0"/>
              <w:jc w:val="center"/>
              <w:rPr>
                <w:rFonts w:hint="eastAsia"/>
                <w:color w:val="000000"/>
              </w:rPr>
            </w:pPr>
          </w:p>
        </w:tc>
        <w:tc>
          <w:tcPr>
            <w:tcW w:w="2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5D96D09">
            <w:pPr>
              <w:pStyle w:val="10"/>
              <w:bidi w:val="0"/>
              <w:jc w:val="center"/>
              <w:rPr>
                <w:rFonts w:hint="eastAsia"/>
                <w:color w:val="000000"/>
              </w:rPr>
            </w:pPr>
            <w:r>
              <w:rPr>
                <w:color w:val="000000"/>
              </w:rPr>
              <w:t>0.7</w:t>
            </w:r>
          </w:p>
        </w:tc>
        <w:tc>
          <w:tcPr>
            <w:tcW w:w="25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75672E6">
            <w:pPr>
              <w:pStyle w:val="10"/>
              <w:bidi w:val="0"/>
              <w:jc w:val="center"/>
              <w:rPr>
                <w:rFonts w:hint="eastAsia"/>
                <w:color w:val="000000"/>
              </w:rPr>
            </w:pPr>
            <w:r>
              <w:rPr>
                <w:color w:val="000000"/>
              </w:rPr>
              <w:t>0.3</w:t>
            </w:r>
          </w:p>
        </w:tc>
        <w:tc>
          <w:tcPr>
            <w:tcW w:w="274"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457ACE1">
            <w:pPr>
              <w:pStyle w:val="10"/>
              <w:bidi w:val="0"/>
              <w:jc w:val="center"/>
              <w:rPr>
                <w:rFonts w:hint="eastAsia"/>
                <w:color w:val="000000"/>
              </w:rPr>
            </w:pPr>
            <w:r>
              <w:rPr>
                <w:color w:val="000000"/>
              </w:rPr>
              <w:t>90</w:t>
            </w:r>
          </w:p>
        </w:tc>
        <w:tc>
          <w:tcPr>
            <w:tcW w:w="24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DD7F2CB">
            <w:pPr>
              <w:pStyle w:val="10"/>
              <w:bidi w:val="0"/>
              <w:jc w:val="center"/>
              <w:rPr>
                <w:rFonts w:hint="eastAsia"/>
                <w:color w:val="000000"/>
              </w:rPr>
            </w:pPr>
            <w:r>
              <w:rPr>
                <w:color w:val="000000"/>
              </w:rPr>
              <w:t>75</w:t>
            </w:r>
          </w:p>
        </w:tc>
        <w:tc>
          <w:tcPr>
            <w:tcW w:w="22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0226254">
            <w:pPr>
              <w:pStyle w:val="10"/>
              <w:bidi w:val="0"/>
              <w:jc w:val="center"/>
              <w:rPr>
                <w:rFonts w:hint="eastAsia"/>
                <w:color w:val="000000"/>
              </w:rPr>
            </w:pPr>
            <w:r>
              <w:rPr>
                <w:color w:val="000000"/>
              </w:rPr>
              <w:t>0.5</w:t>
            </w:r>
          </w:p>
        </w:tc>
        <w:tc>
          <w:tcPr>
            <w:tcW w:w="26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4B0EC4C">
            <w:pPr>
              <w:pStyle w:val="10"/>
              <w:bidi w:val="0"/>
              <w:jc w:val="center"/>
              <w:rPr>
                <w:rFonts w:hint="eastAsia"/>
                <w:color w:val="000000"/>
              </w:rPr>
            </w:pPr>
            <w:r>
              <w:rPr>
                <w:color w:val="000000"/>
              </w:rPr>
              <w:t>27.5</w:t>
            </w:r>
          </w:p>
        </w:tc>
        <w:tc>
          <w:tcPr>
            <w:tcW w:w="25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AA32C05">
            <w:pPr>
              <w:pStyle w:val="10"/>
              <w:bidi w:val="0"/>
              <w:jc w:val="center"/>
              <w:rPr>
                <w:rFonts w:hint="eastAsia"/>
                <w:color w:val="000000"/>
              </w:rPr>
            </w:pPr>
            <w:r>
              <w:rPr>
                <w:color w:val="000000"/>
              </w:rPr>
              <w:t>27.5</w:t>
            </w:r>
          </w:p>
        </w:tc>
        <w:tc>
          <w:tcPr>
            <w:tcW w:w="27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B9CF7CC">
            <w:pPr>
              <w:pStyle w:val="10"/>
              <w:bidi w:val="0"/>
              <w:jc w:val="center"/>
              <w:rPr>
                <w:rFonts w:hint="eastAsia"/>
                <w:color w:val="000000"/>
              </w:rPr>
            </w:pPr>
            <w:r>
              <w:rPr>
                <w:color w:val="000000"/>
              </w:rPr>
              <w:t>2</w:t>
            </w:r>
          </w:p>
        </w:tc>
        <w:tc>
          <w:tcPr>
            <w:tcW w:w="26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29AB9B7">
            <w:pPr>
              <w:pStyle w:val="10"/>
              <w:bidi w:val="0"/>
              <w:jc w:val="center"/>
              <w:rPr>
                <w:rFonts w:hint="eastAsia"/>
                <w:color w:val="000000"/>
              </w:rPr>
            </w:pPr>
            <w:r>
              <w:rPr>
                <w:color w:val="000000"/>
              </w:rPr>
              <w:t>54</w:t>
            </w:r>
          </w:p>
        </w:tc>
        <w:tc>
          <w:tcPr>
            <w:tcW w:w="24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6C3F7DB">
            <w:pPr>
              <w:pStyle w:val="10"/>
              <w:bidi w:val="0"/>
              <w:jc w:val="center"/>
              <w:rPr>
                <w:rFonts w:hint="eastAsia"/>
                <w:color w:val="000000"/>
              </w:rPr>
            </w:pPr>
            <w:r>
              <w:rPr>
                <w:color w:val="000000"/>
              </w:rPr>
              <w:t>18</w:t>
            </w:r>
          </w:p>
        </w:tc>
        <w:tc>
          <w:tcPr>
            <w:tcW w:w="27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0EC51DC">
            <w:pPr>
              <w:pStyle w:val="10"/>
              <w:bidi w:val="0"/>
              <w:jc w:val="center"/>
              <w:rPr>
                <w:rFonts w:hint="eastAsia"/>
                <w:color w:val="000000"/>
              </w:rPr>
            </w:pPr>
            <w:r>
              <w:rPr>
                <w:color w:val="000000"/>
              </w:rPr>
              <w:t>18</w:t>
            </w:r>
          </w:p>
        </w:tc>
        <w:tc>
          <w:tcPr>
            <w:tcW w:w="24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448D130">
            <w:pPr>
              <w:pStyle w:val="10"/>
              <w:bidi w:val="0"/>
              <w:jc w:val="center"/>
              <w:rPr>
                <w:rFonts w:hint="eastAsia"/>
                <w:color w:val="000000"/>
              </w:rPr>
            </w:pPr>
            <w:r>
              <w:rPr>
                <w:color w:val="000000"/>
              </w:rPr>
              <w:t>1</w:t>
            </w:r>
          </w:p>
        </w:tc>
        <w:tc>
          <w:tcPr>
            <w:tcW w:w="23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0C9D7A4">
            <w:pPr>
              <w:pStyle w:val="10"/>
              <w:bidi w:val="0"/>
              <w:jc w:val="center"/>
              <w:rPr>
                <w:rFonts w:hint="eastAsia"/>
                <w:color w:val="000000"/>
              </w:rPr>
            </w:pPr>
            <w:r>
              <w:rPr>
                <w:color w:val="000000"/>
              </w:rPr>
              <w:t>46</w:t>
            </w:r>
          </w:p>
        </w:tc>
        <w:tc>
          <w:tcPr>
            <w:tcW w:w="23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CFD2619">
            <w:pPr>
              <w:pStyle w:val="10"/>
              <w:bidi w:val="0"/>
              <w:jc w:val="center"/>
              <w:rPr>
                <w:rFonts w:hint="eastAsia"/>
                <w:color w:val="000000"/>
              </w:rPr>
            </w:pPr>
            <w:r>
              <w:rPr>
                <w:color w:val="000000"/>
              </w:rPr>
              <w:t>45</w:t>
            </w:r>
          </w:p>
        </w:tc>
        <w:tc>
          <w:tcPr>
            <w:tcW w:w="25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C96E860">
            <w:pPr>
              <w:pStyle w:val="10"/>
              <w:bidi w:val="0"/>
              <w:jc w:val="center"/>
              <w:rPr>
                <w:rFonts w:hint="eastAsia"/>
                <w:color w:val="000000"/>
              </w:rPr>
            </w:pPr>
            <w:r>
              <w:rPr>
                <w:color w:val="000000"/>
              </w:rPr>
              <w:t>38</w:t>
            </w:r>
          </w:p>
        </w:tc>
        <w:tc>
          <w:tcPr>
            <w:tcW w:w="263" w:type="pct"/>
            <w:tcBorders>
              <w:top w:val="single" w:color="000000" w:sz="8" w:space="0"/>
              <w:left w:val="single" w:color="000000" w:sz="8" w:space="0"/>
              <w:bottom w:val="single" w:color="000000" w:sz="8" w:space="0"/>
              <w:right w:val="nil"/>
            </w:tcBorders>
            <w:shd w:val="clear" w:color="auto" w:fill="FFFFFF"/>
            <w:vAlign w:val="center"/>
          </w:tcPr>
          <w:p w14:paraId="5F4BAD29">
            <w:pPr>
              <w:pStyle w:val="10"/>
              <w:bidi w:val="0"/>
              <w:jc w:val="center"/>
              <w:rPr>
                <w:rFonts w:hint="eastAsia"/>
                <w:color w:val="000000"/>
              </w:rPr>
            </w:pPr>
            <w:r>
              <w:rPr>
                <w:color w:val="000000"/>
              </w:rPr>
              <w:t>53</w:t>
            </w:r>
          </w:p>
        </w:tc>
      </w:tr>
      <w:tr w14:paraId="67ACB2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0" w:type="pct"/>
            <w:tcBorders>
              <w:top w:val="single" w:color="000000" w:sz="8" w:space="0"/>
              <w:left w:val="nil"/>
              <w:bottom w:val="single" w:color="000000" w:sz="8" w:space="0"/>
              <w:right w:val="single" w:color="000000" w:sz="8" w:space="0"/>
            </w:tcBorders>
            <w:shd w:val="clear" w:color="auto" w:fill="FFFFFF"/>
            <w:vAlign w:val="center"/>
          </w:tcPr>
          <w:p w14:paraId="51C11AC3">
            <w:pPr>
              <w:pStyle w:val="10"/>
              <w:bidi w:val="0"/>
              <w:jc w:val="center"/>
              <w:rPr>
                <w:rFonts w:hint="eastAsia"/>
                <w:color w:val="000000"/>
              </w:rPr>
            </w:pPr>
            <w:r>
              <w:rPr>
                <w:rFonts w:hint="eastAsia"/>
                <w:color w:val="000000"/>
              </w:rPr>
              <w:t>同凌陂灌区</w:t>
            </w:r>
          </w:p>
        </w:tc>
        <w:tc>
          <w:tcPr>
            <w:tcW w:w="23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2F63BA1">
            <w:pPr>
              <w:pStyle w:val="10"/>
              <w:bidi w:val="0"/>
              <w:jc w:val="center"/>
              <w:rPr>
                <w:rFonts w:hint="eastAsia"/>
                <w:color w:val="000000"/>
              </w:rPr>
            </w:pPr>
            <w:r>
              <w:rPr>
                <w:rFonts w:hint="eastAsia"/>
                <w:color w:val="000000"/>
              </w:rPr>
              <w:t>雄州街道</w:t>
            </w:r>
          </w:p>
        </w:tc>
        <w:tc>
          <w:tcPr>
            <w:tcW w:w="24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CD55C3F">
            <w:pPr>
              <w:pStyle w:val="10"/>
              <w:bidi w:val="0"/>
              <w:jc w:val="center"/>
              <w:rPr>
                <w:rFonts w:hint="eastAsia"/>
                <w:color w:val="000000"/>
              </w:rPr>
            </w:pPr>
            <w:r>
              <w:rPr>
                <w:color w:val="000000"/>
              </w:rPr>
              <w:t>0.75</w:t>
            </w:r>
          </w:p>
        </w:tc>
        <w:tc>
          <w:tcPr>
            <w:tcW w:w="22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7C9FE32">
            <w:pPr>
              <w:pStyle w:val="10"/>
              <w:bidi w:val="0"/>
              <w:jc w:val="center"/>
              <w:rPr>
                <w:rFonts w:hint="eastAsia"/>
                <w:color w:val="000000"/>
              </w:rPr>
            </w:pPr>
          </w:p>
        </w:tc>
        <w:tc>
          <w:tcPr>
            <w:tcW w:w="2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A56A5BD">
            <w:pPr>
              <w:pStyle w:val="10"/>
              <w:bidi w:val="0"/>
              <w:jc w:val="center"/>
              <w:rPr>
                <w:rFonts w:hint="eastAsia"/>
                <w:color w:val="000000"/>
              </w:rPr>
            </w:pPr>
            <w:r>
              <w:rPr>
                <w:color w:val="000000"/>
              </w:rPr>
              <w:t>0.5</w:t>
            </w:r>
          </w:p>
        </w:tc>
        <w:tc>
          <w:tcPr>
            <w:tcW w:w="25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7481902">
            <w:pPr>
              <w:pStyle w:val="10"/>
              <w:bidi w:val="0"/>
              <w:jc w:val="center"/>
              <w:rPr>
                <w:rFonts w:hint="eastAsia"/>
                <w:color w:val="000000"/>
              </w:rPr>
            </w:pPr>
            <w:r>
              <w:rPr>
                <w:color w:val="000000"/>
              </w:rPr>
              <w:t>0.4</w:t>
            </w:r>
          </w:p>
        </w:tc>
        <w:tc>
          <w:tcPr>
            <w:tcW w:w="274"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C2408F3">
            <w:pPr>
              <w:pStyle w:val="10"/>
              <w:bidi w:val="0"/>
              <w:jc w:val="center"/>
              <w:rPr>
                <w:rFonts w:hint="eastAsia"/>
                <w:color w:val="000000"/>
              </w:rPr>
            </w:pPr>
            <w:r>
              <w:rPr>
                <w:color w:val="000000"/>
              </w:rPr>
              <w:t>90</w:t>
            </w:r>
          </w:p>
        </w:tc>
        <w:tc>
          <w:tcPr>
            <w:tcW w:w="24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5FDF8D9">
            <w:pPr>
              <w:pStyle w:val="10"/>
              <w:bidi w:val="0"/>
              <w:jc w:val="center"/>
              <w:rPr>
                <w:rFonts w:hint="eastAsia"/>
                <w:color w:val="000000"/>
              </w:rPr>
            </w:pPr>
            <w:r>
              <w:rPr>
                <w:color w:val="000000"/>
              </w:rPr>
              <w:t>75</w:t>
            </w:r>
          </w:p>
        </w:tc>
        <w:tc>
          <w:tcPr>
            <w:tcW w:w="22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602FE74">
            <w:pPr>
              <w:pStyle w:val="10"/>
              <w:bidi w:val="0"/>
              <w:jc w:val="center"/>
              <w:rPr>
                <w:rFonts w:hint="eastAsia"/>
                <w:color w:val="000000"/>
              </w:rPr>
            </w:pPr>
            <w:r>
              <w:rPr>
                <w:color w:val="000000"/>
              </w:rPr>
              <w:t>0.4</w:t>
            </w:r>
          </w:p>
        </w:tc>
        <w:tc>
          <w:tcPr>
            <w:tcW w:w="26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C8EB6F5">
            <w:pPr>
              <w:pStyle w:val="10"/>
              <w:bidi w:val="0"/>
              <w:jc w:val="center"/>
              <w:rPr>
                <w:rFonts w:hint="eastAsia"/>
                <w:color w:val="000000"/>
              </w:rPr>
            </w:pPr>
            <w:r>
              <w:rPr>
                <w:color w:val="000000"/>
              </w:rPr>
              <w:t>15</w:t>
            </w:r>
          </w:p>
        </w:tc>
        <w:tc>
          <w:tcPr>
            <w:tcW w:w="25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E9252AA">
            <w:pPr>
              <w:pStyle w:val="10"/>
              <w:bidi w:val="0"/>
              <w:jc w:val="center"/>
              <w:rPr>
                <w:rFonts w:hint="eastAsia"/>
                <w:color w:val="000000"/>
              </w:rPr>
            </w:pPr>
            <w:r>
              <w:rPr>
                <w:color w:val="000000"/>
              </w:rPr>
              <w:t>15</w:t>
            </w:r>
          </w:p>
        </w:tc>
        <w:tc>
          <w:tcPr>
            <w:tcW w:w="27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D4F8A63">
            <w:pPr>
              <w:pStyle w:val="10"/>
              <w:bidi w:val="0"/>
              <w:jc w:val="center"/>
              <w:rPr>
                <w:rFonts w:hint="eastAsia"/>
                <w:color w:val="000000"/>
              </w:rPr>
            </w:pPr>
            <w:r>
              <w:rPr>
                <w:color w:val="000000"/>
              </w:rPr>
              <w:t>0.5</w:t>
            </w:r>
          </w:p>
        </w:tc>
        <w:tc>
          <w:tcPr>
            <w:tcW w:w="26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A0B15AF">
            <w:pPr>
              <w:pStyle w:val="10"/>
              <w:bidi w:val="0"/>
              <w:jc w:val="center"/>
              <w:rPr>
                <w:rFonts w:hint="eastAsia"/>
                <w:color w:val="000000"/>
              </w:rPr>
            </w:pPr>
            <w:r>
              <w:rPr>
                <w:color w:val="000000"/>
              </w:rPr>
              <w:t>36</w:t>
            </w:r>
          </w:p>
        </w:tc>
        <w:tc>
          <w:tcPr>
            <w:tcW w:w="24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9A2658F">
            <w:pPr>
              <w:pStyle w:val="10"/>
              <w:bidi w:val="0"/>
              <w:jc w:val="center"/>
              <w:rPr>
                <w:rFonts w:hint="eastAsia"/>
                <w:color w:val="000000"/>
              </w:rPr>
            </w:pPr>
            <w:r>
              <w:rPr>
                <w:color w:val="000000"/>
              </w:rPr>
              <w:t>7</w:t>
            </w:r>
          </w:p>
        </w:tc>
        <w:tc>
          <w:tcPr>
            <w:tcW w:w="27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F1946A9">
            <w:pPr>
              <w:pStyle w:val="10"/>
              <w:bidi w:val="0"/>
              <w:jc w:val="center"/>
              <w:rPr>
                <w:rFonts w:hint="eastAsia"/>
                <w:color w:val="000000"/>
              </w:rPr>
            </w:pPr>
            <w:r>
              <w:rPr>
                <w:color w:val="000000"/>
              </w:rPr>
              <w:t>5</w:t>
            </w:r>
          </w:p>
        </w:tc>
        <w:tc>
          <w:tcPr>
            <w:tcW w:w="24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B0D0C48">
            <w:pPr>
              <w:pStyle w:val="10"/>
              <w:bidi w:val="0"/>
              <w:jc w:val="center"/>
              <w:rPr>
                <w:rFonts w:hint="eastAsia"/>
                <w:color w:val="000000"/>
              </w:rPr>
            </w:pPr>
            <w:r>
              <w:rPr>
                <w:color w:val="000000"/>
              </w:rPr>
              <w:t>0</w:t>
            </w:r>
          </w:p>
        </w:tc>
        <w:tc>
          <w:tcPr>
            <w:tcW w:w="23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3EEC15A">
            <w:pPr>
              <w:pStyle w:val="10"/>
              <w:bidi w:val="0"/>
              <w:jc w:val="center"/>
              <w:rPr>
                <w:rFonts w:hint="eastAsia"/>
                <w:color w:val="000000"/>
              </w:rPr>
            </w:pPr>
            <w:r>
              <w:rPr>
                <w:color w:val="000000"/>
              </w:rPr>
              <w:t>35</w:t>
            </w:r>
          </w:p>
        </w:tc>
        <w:tc>
          <w:tcPr>
            <w:tcW w:w="23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D664B8B">
            <w:pPr>
              <w:pStyle w:val="10"/>
              <w:bidi w:val="0"/>
              <w:jc w:val="center"/>
              <w:rPr>
                <w:rFonts w:hint="eastAsia"/>
                <w:color w:val="000000"/>
              </w:rPr>
            </w:pPr>
            <w:r>
              <w:rPr>
                <w:color w:val="000000"/>
              </w:rPr>
              <w:t>25</w:t>
            </w:r>
          </w:p>
        </w:tc>
        <w:tc>
          <w:tcPr>
            <w:tcW w:w="25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34B3D86">
            <w:pPr>
              <w:pStyle w:val="10"/>
              <w:bidi w:val="0"/>
              <w:jc w:val="center"/>
              <w:rPr>
                <w:rFonts w:hint="eastAsia"/>
                <w:color w:val="000000"/>
              </w:rPr>
            </w:pPr>
            <w:r>
              <w:rPr>
                <w:color w:val="000000"/>
              </w:rPr>
              <w:t>18</w:t>
            </w:r>
          </w:p>
        </w:tc>
        <w:tc>
          <w:tcPr>
            <w:tcW w:w="263" w:type="pct"/>
            <w:tcBorders>
              <w:top w:val="single" w:color="000000" w:sz="8" w:space="0"/>
              <w:left w:val="single" w:color="000000" w:sz="8" w:space="0"/>
              <w:bottom w:val="single" w:color="000000" w:sz="8" w:space="0"/>
              <w:right w:val="nil"/>
            </w:tcBorders>
            <w:shd w:val="clear" w:color="auto" w:fill="FFFFFF"/>
            <w:vAlign w:val="center"/>
          </w:tcPr>
          <w:p w14:paraId="6A2AC191">
            <w:pPr>
              <w:pStyle w:val="10"/>
              <w:bidi w:val="0"/>
              <w:jc w:val="center"/>
              <w:rPr>
                <w:rFonts w:hint="eastAsia"/>
                <w:color w:val="000000"/>
              </w:rPr>
            </w:pPr>
            <w:r>
              <w:rPr>
                <w:color w:val="000000"/>
              </w:rPr>
              <w:t>40</w:t>
            </w:r>
          </w:p>
        </w:tc>
      </w:tr>
    </w:tbl>
    <w:p w14:paraId="1544523D">
      <w:pPr>
        <w:pStyle w:val="10"/>
        <w:bidi w:val="0"/>
        <w:jc w:val="center"/>
        <w:rPr>
          <w:rFonts w:hint="eastAsia"/>
          <w:b/>
          <w:bCs/>
        </w:rPr>
      </w:pPr>
      <w:r>
        <w:rPr>
          <w:rFonts w:hint="eastAsia"/>
          <w:b/>
          <w:bCs/>
        </w:rPr>
        <w:t>南雄市小水电站基本表（2013年）</w:t>
      </w:r>
    </w:p>
    <w:p w14:paraId="6923600B">
      <w:pPr>
        <w:bidi w:val="0"/>
        <w:rPr>
          <w:rFonts w:hint="eastAsia"/>
        </w:rPr>
      </w:pPr>
      <w:r>
        <w:rPr>
          <w:rFonts w:hint="eastAsia"/>
        </w:rPr>
        <w:t>表6</w:t>
      </w:r>
    </w:p>
    <w:p w14:paraId="057A802A">
      <w:pPr>
        <w:bidi w:val="0"/>
        <w:jc w:val="right"/>
        <w:rPr>
          <w:rFonts w:hint="eastAsia"/>
        </w:rPr>
      </w:pPr>
      <w:r>
        <w:rPr>
          <w:rFonts w:hint="eastAsia"/>
        </w:rPr>
        <w:t>单位：装机容量kw、发电量万kwh</w:t>
      </w:r>
    </w:p>
    <w:tbl>
      <w:tblPr>
        <w:tblStyle w:val="7"/>
        <w:tblW w:w="498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8"/>
        <w:gridCol w:w="855"/>
        <w:gridCol w:w="869"/>
        <w:gridCol w:w="921"/>
        <w:gridCol w:w="1084"/>
        <w:gridCol w:w="1028"/>
        <w:gridCol w:w="922"/>
        <w:gridCol w:w="975"/>
        <w:gridCol w:w="696"/>
        <w:gridCol w:w="975"/>
        <w:gridCol w:w="975"/>
      </w:tblGrid>
      <w:tr w14:paraId="121487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320" w:type="pct"/>
            <w:vMerge w:val="restart"/>
            <w:tcBorders>
              <w:top w:val="single" w:color="000000" w:sz="8" w:space="0"/>
              <w:left w:val="nil"/>
              <w:bottom w:val="single" w:color="000000" w:sz="8" w:space="0"/>
              <w:right w:val="single" w:color="000000" w:sz="8" w:space="0"/>
            </w:tcBorders>
            <w:shd w:val="clear" w:color="auto" w:fill="FFFFFF"/>
            <w:noWrap w:val="0"/>
            <w:vAlign w:val="center"/>
          </w:tcPr>
          <w:p w14:paraId="7B600946">
            <w:pPr>
              <w:pStyle w:val="10"/>
              <w:bidi w:val="0"/>
              <w:jc w:val="center"/>
              <w:rPr>
                <w:b/>
                <w:bCs/>
              </w:rPr>
            </w:pPr>
            <w:r>
              <w:rPr>
                <w:rFonts w:hint="eastAsia"/>
                <w:b/>
                <w:bCs/>
              </w:rPr>
              <w:t>年度</w:t>
            </w:r>
          </w:p>
        </w:tc>
        <w:tc>
          <w:tcPr>
            <w:tcW w:w="430"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B9C9745">
            <w:pPr>
              <w:pStyle w:val="10"/>
              <w:bidi w:val="0"/>
              <w:jc w:val="center"/>
              <w:rPr>
                <w:b/>
                <w:bCs/>
              </w:rPr>
            </w:pPr>
            <w:r>
              <w:rPr>
                <w:rFonts w:hint="eastAsia"/>
                <w:b/>
                <w:bCs/>
              </w:rPr>
              <w:t>年电站宗数</w:t>
            </w:r>
          </w:p>
        </w:tc>
        <w:tc>
          <w:tcPr>
            <w:tcW w:w="437"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6EC162F">
            <w:pPr>
              <w:pStyle w:val="10"/>
              <w:bidi w:val="0"/>
              <w:jc w:val="center"/>
              <w:rPr>
                <w:b/>
                <w:bCs/>
              </w:rPr>
            </w:pPr>
            <w:r>
              <w:rPr>
                <w:rFonts w:hint="eastAsia"/>
                <w:b/>
                <w:bCs/>
              </w:rPr>
              <w:t>年装机容量</w:t>
            </w:r>
          </w:p>
        </w:tc>
        <w:tc>
          <w:tcPr>
            <w:tcW w:w="463"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196BE75">
            <w:pPr>
              <w:pStyle w:val="10"/>
              <w:bidi w:val="0"/>
              <w:jc w:val="center"/>
              <w:rPr>
                <w:b/>
                <w:bCs/>
              </w:rPr>
            </w:pPr>
            <w:r>
              <w:rPr>
                <w:rFonts w:hint="eastAsia"/>
                <w:b/>
                <w:bCs/>
              </w:rPr>
              <w:t>年机组台数</w:t>
            </w:r>
          </w:p>
        </w:tc>
        <w:tc>
          <w:tcPr>
            <w:tcW w:w="545"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12D9E5A">
            <w:pPr>
              <w:pStyle w:val="10"/>
              <w:bidi w:val="0"/>
              <w:jc w:val="center"/>
              <w:rPr>
                <w:rFonts w:hint="eastAsia"/>
                <w:b/>
                <w:bCs/>
              </w:rPr>
            </w:pPr>
            <w:r>
              <w:rPr>
                <w:rFonts w:hint="eastAsia"/>
                <w:b/>
                <w:bCs/>
              </w:rPr>
              <w:t>全年发</w:t>
            </w:r>
          </w:p>
          <w:p w14:paraId="5D5BD201">
            <w:pPr>
              <w:pStyle w:val="10"/>
              <w:bidi w:val="0"/>
              <w:jc w:val="center"/>
              <w:rPr>
                <w:b/>
                <w:bCs/>
              </w:rPr>
            </w:pPr>
            <w:r>
              <w:rPr>
                <w:rFonts w:hint="eastAsia"/>
                <w:b/>
                <w:bCs/>
              </w:rPr>
              <w:t>电量</w:t>
            </w:r>
          </w:p>
        </w:tc>
        <w:tc>
          <w:tcPr>
            <w:tcW w:w="1471" w:type="pct"/>
            <w:gridSpan w:val="3"/>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071629C">
            <w:pPr>
              <w:pStyle w:val="10"/>
              <w:bidi w:val="0"/>
              <w:jc w:val="center"/>
              <w:rPr>
                <w:b/>
                <w:bCs/>
              </w:rPr>
            </w:pPr>
            <w:r>
              <w:rPr>
                <w:rFonts w:hint="eastAsia"/>
                <w:b/>
                <w:bCs/>
              </w:rPr>
              <w:t>本年度新建电站</w:t>
            </w:r>
          </w:p>
        </w:tc>
        <w:tc>
          <w:tcPr>
            <w:tcW w:w="1331" w:type="pct"/>
            <w:gridSpan w:val="3"/>
            <w:tcBorders>
              <w:top w:val="single" w:color="000000" w:sz="8" w:space="0"/>
              <w:left w:val="single" w:color="000000" w:sz="8" w:space="0"/>
              <w:bottom w:val="single" w:color="000000" w:sz="8" w:space="0"/>
              <w:right w:val="nil"/>
            </w:tcBorders>
            <w:shd w:val="clear" w:color="auto" w:fill="FFFFFF"/>
            <w:noWrap w:val="0"/>
            <w:vAlign w:val="center"/>
          </w:tcPr>
          <w:p w14:paraId="0DF4B8B9">
            <w:pPr>
              <w:pStyle w:val="10"/>
              <w:bidi w:val="0"/>
              <w:jc w:val="center"/>
              <w:rPr>
                <w:b/>
                <w:bCs/>
              </w:rPr>
            </w:pPr>
            <w:r>
              <w:rPr>
                <w:rFonts w:hint="eastAsia"/>
                <w:b/>
                <w:bCs/>
              </w:rPr>
              <w:t>本年度技改电站宗数</w:t>
            </w:r>
          </w:p>
        </w:tc>
      </w:tr>
      <w:tr w14:paraId="241501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vMerge w:val="continue"/>
            <w:tcBorders>
              <w:top w:val="single" w:color="000000" w:sz="8" w:space="0"/>
              <w:left w:val="nil"/>
              <w:bottom w:val="single" w:color="000000" w:sz="8" w:space="0"/>
              <w:right w:val="single" w:color="000000" w:sz="8" w:space="0"/>
            </w:tcBorders>
            <w:shd w:val="clear" w:color="auto" w:fill="FFFFFF"/>
            <w:noWrap w:val="0"/>
            <w:vAlign w:val="center"/>
          </w:tcPr>
          <w:p w14:paraId="6A3F4449">
            <w:pPr>
              <w:pStyle w:val="10"/>
              <w:bidi w:val="0"/>
              <w:jc w:val="center"/>
              <w:rPr>
                <w:b/>
                <w:bCs/>
              </w:rPr>
            </w:pPr>
          </w:p>
        </w:tc>
        <w:tc>
          <w:tcPr>
            <w:tcW w:w="430"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A9660DB">
            <w:pPr>
              <w:pStyle w:val="10"/>
              <w:bidi w:val="0"/>
              <w:jc w:val="center"/>
              <w:rPr>
                <w:b/>
                <w:bCs/>
              </w:rPr>
            </w:pPr>
          </w:p>
        </w:tc>
        <w:tc>
          <w:tcPr>
            <w:tcW w:w="437"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D4D90AC">
            <w:pPr>
              <w:pStyle w:val="10"/>
              <w:bidi w:val="0"/>
              <w:jc w:val="center"/>
              <w:rPr>
                <w:b/>
                <w:bCs/>
              </w:rPr>
            </w:pPr>
          </w:p>
        </w:tc>
        <w:tc>
          <w:tcPr>
            <w:tcW w:w="463"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2FEA755">
            <w:pPr>
              <w:pStyle w:val="10"/>
              <w:bidi w:val="0"/>
              <w:jc w:val="center"/>
              <w:rPr>
                <w:b/>
                <w:bCs/>
              </w:rPr>
            </w:pPr>
          </w:p>
        </w:tc>
        <w:tc>
          <w:tcPr>
            <w:tcW w:w="545"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DD4A1A1">
            <w:pPr>
              <w:pStyle w:val="10"/>
              <w:bidi w:val="0"/>
              <w:jc w:val="center"/>
              <w:rPr>
                <w:b/>
                <w:bCs/>
              </w:rPr>
            </w:pPr>
          </w:p>
        </w:tc>
        <w:tc>
          <w:tcPr>
            <w:tcW w:w="51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645096A">
            <w:pPr>
              <w:pStyle w:val="10"/>
              <w:bidi w:val="0"/>
              <w:jc w:val="center"/>
              <w:rPr>
                <w:b/>
                <w:bCs/>
              </w:rPr>
            </w:pPr>
            <w:r>
              <w:rPr>
                <w:rFonts w:hint="eastAsia"/>
                <w:b/>
                <w:bCs/>
              </w:rPr>
              <w:t>宗数</w:t>
            </w:r>
          </w:p>
        </w:tc>
        <w:tc>
          <w:tcPr>
            <w:tcW w:w="46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CCD8CA7">
            <w:pPr>
              <w:pStyle w:val="10"/>
              <w:bidi w:val="0"/>
              <w:jc w:val="center"/>
              <w:rPr>
                <w:b/>
                <w:bCs/>
              </w:rPr>
            </w:pPr>
            <w:r>
              <w:rPr>
                <w:rFonts w:hint="eastAsia"/>
                <w:b/>
                <w:bCs/>
              </w:rPr>
              <w:t>增加装机容量</w:t>
            </w:r>
          </w:p>
        </w:tc>
        <w:tc>
          <w:tcPr>
            <w:tcW w:w="49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7843540">
            <w:pPr>
              <w:pStyle w:val="10"/>
              <w:bidi w:val="0"/>
              <w:jc w:val="center"/>
              <w:rPr>
                <w:b/>
                <w:bCs/>
              </w:rPr>
            </w:pPr>
            <w:r>
              <w:rPr>
                <w:rFonts w:hint="eastAsia"/>
                <w:b/>
                <w:bCs/>
              </w:rPr>
              <w:t>增加机组台数</w:t>
            </w:r>
          </w:p>
        </w:tc>
        <w:tc>
          <w:tcPr>
            <w:tcW w:w="3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3205D16">
            <w:pPr>
              <w:pStyle w:val="10"/>
              <w:bidi w:val="0"/>
              <w:jc w:val="center"/>
              <w:rPr>
                <w:b/>
                <w:bCs/>
              </w:rPr>
            </w:pPr>
            <w:r>
              <w:rPr>
                <w:rFonts w:hint="eastAsia"/>
                <w:b/>
                <w:bCs/>
              </w:rPr>
              <w:t>宗数</w:t>
            </w:r>
          </w:p>
        </w:tc>
        <w:tc>
          <w:tcPr>
            <w:tcW w:w="49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F9443F3">
            <w:pPr>
              <w:pStyle w:val="10"/>
              <w:bidi w:val="0"/>
              <w:jc w:val="center"/>
              <w:rPr>
                <w:b/>
                <w:bCs/>
              </w:rPr>
            </w:pPr>
            <w:r>
              <w:rPr>
                <w:rFonts w:hint="eastAsia"/>
                <w:b/>
                <w:bCs/>
              </w:rPr>
              <w:t>增加装机容量</w:t>
            </w:r>
          </w:p>
        </w:tc>
        <w:tc>
          <w:tcPr>
            <w:tcW w:w="490" w:type="pct"/>
            <w:tcBorders>
              <w:top w:val="single" w:color="000000" w:sz="8" w:space="0"/>
              <w:left w:val="single" w:color="000000" w:sz="8" w:space="0"/>
              <w:bottom w:val="single" w:color="000000" w:sz="8" w:space="0"/>
              <w:right w:val="nil"/>
            </w:tcBorders>
            <w:shd w:val="clear" w:color="auto" w:fill="FFFFFF"/>
            <w:noWrap w:val="0"/>
            <w:vAlign w:val="center"/>
          </w:tcPr>
          <w:p w14:paraId="334CC4DA">
            <w:pPr>
              <w:pStyle w:val="10"/>
              <w:bidi w:val="0"/>
              <w:jc w:val="center"/>
              <w:rPr>
                <w:b/>
                <w:bCs/>
              </w:rPr>
            </w:pPr>
            <w:r>
              <w:rPr>
                <w:rFonts w:hint="eastAsia"/>
                <w:b/>
                <w:bCs/>
              </w:rPr>
              <w:t>增加机组台数</w:t>
            </w:r>
          </w:p>
        </w:tc>
      </w:tr>
      <w:tr w14:paraId="2D6440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0" w:type="pct"/>
            <w:tcBorders>
              <w:top w:val="single" w:color="000000" w:sz="8" w:space="0"/>
              <w:left w:val="nil"/>
              <w:bottom w:val="single" w:color="000000" w:sz="8" w:space="0"/>
              <w:right w:val="single" w:color="000000" w:sz="8" w:space="0"/>
            </w:tcBorders>
            <w:shd w:val="clear" w:color="auto" w:fill="FFFFFF"/>
            <w:noWrap w:val="0"/>
            <w:vAlign w:val="center"/>
          </w:tcPr>
          <w:p w14:paraId="082846B1">
            <w:pPr>
              <w:pStyle w:val="10"/>
              <w:bidi w:val="0"/>
              <w:jc w:val="center"/>
            </w:pPr>
            <w:r>
              <w:t>2013</w:t>
            </w:r>
          </w:p>
        </w:tc>
        <w:tc>
          <w:tcPr>
            <w:tcW w:w="4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5BA678A">
            <w:pPr>
              <w:pStyle w:val="10"/>
              <w:bidi w:val="0"/>
              <w:jc w:val="center"/>
            </w:pPr>
            <w:r>
              <w:t>187</w:t>
            </w:r>
          </w:p>
        </w:tc>
        <w:tc>
          <w:tcPr>
            <w:tcW w:w="43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F025D5B">
            <w:pPr>
              <w:pStyle w:val="10"/>
              <w:bidi w:val="0"/>
              <w:jc w:val="center"/>
            </w:pPr>
            <w:r>
              <w:t>87650</w:t>
            </w:r>
          </w:p>
        </w:tc>
        <w:tc>
          <w:tcPr>
            <w:tcW w:w="46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E87457A">
            <w:pPr>
              <w:pStyle w:val="10"/>
              <w:bidi w:val="0"/>
              <w:jc w:val="center"/>
            </w:pPr>
            <w:r>
              <w:t>328</w:t>
            </w:r>
          </w:p>
        </w:tc>
        <w:tc>
          <w:tcPr>
            <w:tcW w:w="54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7DB968E">
            <w:pPr>
              <w:pStyle w:val="10"/>
              <w:bidi w:val="0"/>
              <w:jc w:val="center"/>
              <w:rPr>
                <w:rFonts w:hint="eastAsia"/>
                <w:lang w:eastAsia="zh-CN"/>
              </w:rPr>
            </w:pPr>
            <w:r>
              <w:t>25476.59</w:t>
            </w:r>
          </w:p>
        </w:tc>
        <w:tc>
          <w:tcPr>
            <w:tcW w:w="51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8782796">
            <w:pPr>
              <w:pStyle w:val="10"/>
              <w:bidi w:val="0"/>
              <w:jc w:val="center"/>
            </w:pPr>
            <w:r>
              <w:t>0</w:t>
            </w:r>
          </w:p>
        </w:tc>
        <w:tc>
          <w:tcPr>
            <w:tcW w:w="46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ED09E78">
            <w:pPr>
              <w:pStyle w:val="10"/>
              <w:bidi w:val="0"/>
              <w:jc w:val="center"/>
            </w:pPr>
            <w:r>
              <w:t>0</w:t>
            </w:r>
          </w:p>
        </w:tc>
        <w:tc>
          <w:tcPr>
            <w:tcW w:w="49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D0325E1">
            <w:pPr>
              <w:pStyle w:val="10"/>
              <w:bidi w:val="0"/>
              <w:jc w:val="center"/>
            </w:pPr>
            <w:r>
              <w:t>0</w:t>
            </w:r>
          </w:p>
        </w:tc>
        <w:tc>
          <w:tcPr>
            <w:tcW w:w="3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8EDA188">
            <w:pPr>
              <w:pStyle w:val="10"/>
              <w:bidi w:val="0"/>
              <w:jc w:val="center"/>
            </w:pPr>
            <w:r>
              <w:t>1</w:t>
            </w:r>
          </w:p>
        </w:tc>
        <w:tc>
          <w:tcPr>
            <w:tcW w:w="49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C05EBBD">
            <w:pPr>
              <w:pStyle w:val="10"/>
              <w:bidi w:val="0"/>
              <w:jc w:val="center"/>
            </w:pPr>
            <w:r>
              <w:t>400</w:t>
            </w:r>
          </w:p>
        </w:tc>
        <w:tc>
          <w:tcPr>
            <w:tcW w:w="490" w:type="pct"/>
            <w:tcBorders>
              <w:top w:val="single" w:color="000000" w:sz="8" w:space="0"/>
              <w:left w:val="single" w:color="000000" w:sz="8" w:space="0"/>
              <w:bottom w:val="single" w:color="000000" w:sz="8" w:space="0"/>
              <w:right w:val="nil"/>
            </w:tcBorders>
            <w:shd w:val="clear" w:color="auto" w:fill="FFFFFF"/>
            <w:noWrap w:val="0"/>
            <w:vAlign w:val="center"/>
          </w:tcPr>
          <w:p w14:paraId="31873BEB">
            <w:pPr>
              <w:pStyle w:val="10"/>
              <w:bidi w:val="0"/>
              <w:jc w:val="center"/>
            </w:pPr>
            <w:r>
              <w:t>0</w:t>
            </w:r>
          </w:p>
        </w:tc>
      </w:tr>
    </w:tbl>
    <w:p w14:paraId="560D104C">
      <w:pPr>
        <w:pStyle w:val="10"/>
        <w:bidi w:val="0"/>
        <w:jc w:val="center"/>
        <w:rPr>
          <w:rFonts w:hint="eastAsia"/>
          <w:b/>
          <w:bCs/>
        </w:rPr>
      </w:pPr>
      <w:r>
        <w:rPr>
          <w:rFonts w:hint="eastAsia"/>
          <w:b/>
          <w:bCs/>
        </w:rPr>
        <w:t>南雄市年降水量（2013年）</w:t>
      </w:r>
    </w:p>
    <w:p w14:paraId="34CC724E">
      <w:pPr>
        <w:bidi w:val="0"/>
        <w:rPr>
          <w:rFonts w:hint="eastAsia"/>
        </w:rPr>
      </w:pPr>
      <w:r>
        <w:rPr>
          <w:rFonts w:hint="eastAsia"/>
        </w:rPr>
        <w:t>表7</w:t>
      </w:r>
    </w:p>
    <w:tbl>
      <w:tblPr>
        <w:tblStyle w:val="7"/>
        <w:tblW w:w="498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0"/>
        <w:gridCol w:w="1157"/>
        <w:gridCol w:w="977"/>
        <w:gridCol w:w="1101"/>
        <w:gridCol w:w="1372"/>
        <w:gridCol w:w="1554"/>
        <w:gridCol w:w="1271"/>
        <w:gridCol w:w="1490"/>
      </w:tblGrid>
      <w:tr w14:paraId="2DCED8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508" w:type="pct"/>
            <w:vMerge w:val="restart"/>
            <w:tcBorders>
              <w:top w:val="single" w:color="000000" w:sz="8" w:space="0"/>
              <w:left w:val="nil"/>
              <w:bottom w:val="single" w:color="000000" w:sz="8" w:space="0"/>
              <w:right w:val="single" w:color="000000" w:sz="8" w:space="0"/>
            </w:tcBorders>
            <w:shd w:val="clear" w:color="auto" w:fill="FFFFFF"/>
            <w:noWrap w:val="0"/>
            <w:vAlign w:val="center"/>
          </w:tcPr>
          <w:p w14:paraId="342E84C8">
            <w:pPr>
              <w:pStyle w:val="10"/>
              <w:bidi w:val="0"/>
              <w:jc w:val="center"/>
              <w:rPr>
                <w:b/>
                <w:bCs/>
                <w:color w:val="000000"/>
              </w:rPr>
            </w:pPr>
            <w:r>
              <w:rPr>
                <w:rFonts w:hint="eastAsia"/>
                <w:b/>
                <w:bCs/>
                <w:color w:val="000000"/>
              </w:rPr>
              <w:t>年度</w:t>
            </w:r>
          </w:p>
        </w:tc>
        <w:tc>
          <w:tcPr>
            <w:tcW w:w="582"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2C2869F">
            <w:pPr>
              <w:pStyle w:val="10"/>
              <w:bidi w:val="0"/>
              <w:jc w:val="center"/>
              <w:rPr>
                <w:b/>
                <w:bCs/>
                <w:color w:val="000000"/>
              </w:rPr>
            </w:pPr>
            <w:r>
              <w:rPr>
                <w:rFonts w:hint="eastAsia"/>
                <w:b/>
                <w:bCs/>
                <w:color w:val="000000"/>
              </w:rPr>
              <w:t>计算面积（</w:t>
            </w:r>
            <w:r>
              <w:rPr>
                <w:b/>
                <w:bCs/>
                <w:color w:val="000000"/>
              </w:rPr>
              <w:t>km2</w:t>
            </w:r>
            <w:r>
              <w:rPr>
                <w:rFonts w:hint="eastAsia"/>
                <w:b/>
                <w:bCs/>
                <w:color w:val="000000"/>
              </w:rPr>
              <w:t>）</w:t>
            </w:r>
          </w:p>
        </w:tc>
        <w:tc>
          <w:tcPr>
            <w:tcW w:w="1046" w:type="pct"/>
            <w:gridSpan w:val="2"/>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EC6DB16">
            <w:pPr>
              <w:pStyle w:val="10"/>
              <w:bidi w:val="0"/>
              <w:jc w:val="center"/>
              <w:rPr>
                <w:b/>
                <w:bCs/>
                <w:color w:val="000000"/>
              </w:rPr>
            </w:pPr>
            <w:r>
              <w:rPr>
                <w:rFonts w:hint="eastAsia"/>
                <w:b/>
                <w:bCs/>
                <w:color w:val="000000"/>
              </w:rPr>
              <w:t>年降水量</w:t>
            </w:r>
          </w:p>
        </w:tc>
        <w:tc>
          <w:tcPr>
            <w:tcW w:w="690"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40D4AD5">
            <w:pPr>
              <w:pStyle w:val="10"/>
              <w:bidi w:val="0"/>
              <w:jc w:val="center"/>
              <w:rPr>
                <w:b/>
                <w:bCs/>
                <w:color w:val="000000"/>
              </w:rPr>
            </w:pPr>
            <w:r>
              <w:rPr>
                <w:rFonts w:hint="eastAsia"/>
                <w:b/>
                <w:bCs/>
                <w:color w:val="000000"/>
              </w:rPr>
              <w:t>上年</w:t>
            </w:r>
          </w:p>
          <w:p w14:paraId="001C8BC8">
            <w:pPr>
              <w:pStyle w:val="10"/>
              <w:bidi w:val="0"/>
              <w:jc w:val="center"/>
              <w:rPr>
                <w:b/>
                <w:bCs/>
                <w:color w:val="000000"/>
              </w:rPr>
            </w:pPr>
            <w:r>
              <w:rPr>
                <w:rFonts w:hint="eastAsia"/>
                <w:b/>
                <w:bCs/>
                <w:color w:val="000000"/>
              </w:rPr>
              <w:t>降水量（</w:t>
            </w:r>
            <w:r>
              <w:rPr>
                <w:b/>
                <w:bCs/>
                <w:color w:val="000000"/>
              </w:rPr>
              <w:t>mm</w:t>
            </w:r>
            <w:r>
              <w:rPr>
                <w:rFonts w:hint="eastAsia"/>
                <w:b/>
                <w:bCs/>
                <w:color w:val="000000"/>
              </w:rPr>
              <w:t>）</w:t>
            </w:r>
          </w:p>
        </w:tc>
        <w:tc>
          <w:tcPr>
            <w:tcW w:w="782"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DC64E8F">
            <w:pPr>
              <w:pStyle w:val="10"/>
              <w:bidi w:val="0"/>
              <w:jc w:val="center"/>
              <w:rPr>
                <w:b/>
                <w:bCs/>
                <w:color w:val="000000"/>
              </w:rPr>
            </w:pPr>
            <w:r>
              <w:rPr>
                <w:rFonts w:hint="eastAsia"/>
                <w:b/>
                <w:bCs/>
                <w:color w:val="000000"/>
              </w:rPr>
              <w:t>多年平均年降水量（</w:t>
            </w:r>
            <w:r>
              <w:rPr>
                <w:b/>
                <w:bCs/>
                <w:color w:val="000000"/>
              </w:rPr>
              <w:t>mm</w:t>
            </w:r>
            <w:r>
              <w:rPr>
                <w:rFonts w:hint="eastAsia"/>
                <w:b/>
                <w:bCs/>
                <w:color w:val="000000"/>
              </w:rPr>
              <w:t>）</w:t>
            </w:r>
          </w:p>
        </w:tc>
        <w:tc>
          <w:tcPr>
            <w:tcW w:w="639"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D1697B8">
            <w:pPr>
              <w:pStyle w:val="10"/>
              <w:bidi w:val="0"/>
              <w:jc w:val="center"/>
              <w:rPr>
                <w:b/>
                <w:bCs/>
                <w:color w:val="000000"/>
              </w:rPr>
            </w:pPr>
            <w:r>
              <w:rPr>
                <w:rFonts w:hint="eastAsia"/>
                <w:b/>
                <w:bCs/>
                <w:color w:val="000000"/>
              </w:rPr>
              <w:t>与上年</w:t>
            </w:r>
          </w:p>
          <w:p w14:paraId="3964704D">
            <w:pPr>
              <w:pStyle w:val="10"/>
              <w:bidi w:val="0"/>
              <w:jc w:val="center"/>
              <w:rPr>
                <w:b/>
                <w:bCs/>
                <w:color w:val="000000"/>
              </w:rPr>
            </w:pPr>
            <w:r>
              <w:rPr>
                <w:rFonts w:hint="eastAsia"/>
                <w:b/>
                <w:bCs/>
                <w:color w:val="000000"/>
              </w:rPr>
              <w:t>比较（</w:t>
            </w:r>
            <w:r>
              <w:rPr>
                <w:b/>
                <w:bCs/>
                <w:color w:val="000000"/>
              </w:rPr>
              <w:t>%</w:t>
            </w:r>
            <w:r>
              <w:rPr>
                <w:rFonts w:hint="eastAsia"/>
                <w:b/>
                <w:bCs/>
                <w:color w:val="000000"/>
              </w:rPr>
              <w:t>）</w:t>
            </w:r>
          </w:p>
        </w:tc>
        <w:tc>
          <w:tcPr>
            <w:tcW w:w="750" w:type="pct"/>
            <w:vMerge w:val="restart"/>
            <w:tcBorders>
              <w:top w:val="single" w:color="000000" w:sz="8" w:space="0"/>
              <w:left w:val="single" w:color="000000" w:sz="8" w:space="0"/>
              <w:bottom w:val="single" w:color="000000" w:sz="8" w:space="0"/>
              <w:right w:val="nil"/>
            </w:tcBorders>
            <w:shd w:val="clear" w:color="auto" w:fill="FFFFFF"/>
            <w:noWrap w:val="0"/>
            <w:vAlign w:val="center"/>
          </w:tcPr>
          <w:p w14:paraId="59FF3396">
            <w:pPr>
              <w:pStyle w:val="10"/>
              <w:bidi w:val="0"/>
              <w:jc w:val="center"/>
              <w:rPr>
                <w:b/>
                <w:bCs/>
                <w:color w:val="000000"/>
              </w:rPr>
            </w:pPr>
            <w:r>
              <w:rPr>
                <w:rFonts w:hint="eastAsia"/>
                <w:b/>
                <w:bCs/>
                <w:color w:val="000000"/>
              </w:rPr>
              <w:t>与多年平均比较（</w:t>
            </w:r>
            <w:r>
              <w:rPr>
                <w:b/>
                <w:bCs/>
                <w:color w:val="000000"/>
              </w:rPr>
              <w:t>%)</w:t>
            </w:r>
          </w:p>
        </w:tc>
      </w:tr>
      <w:tr w14:paraId="609AA8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508" w:type="pct"/>
            <w:vMerge w:val="continue"/>
            <w:tcBorders>
              <w:top w:val="single" w:color="000000" w:sz="8" w:space="0"/>
              <w:left w:val="nil"/>
              <w:bottom w:val="single" w:color="000000" w:sz="8" w:space="0"/>
              <w:right w:val="single" w:color="000000" w:sz="8" w:space="0"/>
            </w:tcBorders>
            <w:shd w:val="clear" w:color="auto" w:fill="FFFFFF"/>
            <w:noWrap w:val="0"/>
            <w:vAlign w:val="center"/>
          </w:tcPr>
          <w:p w14:paraId="2FAF4D17">
            <w:pPr>
              <w:pStyle w:val="10"/>
              <w:bidi w:val="0"/>
              <w:jc w:val="center"/>
              <w:rPr>
                <w:color w:val="000000"/>
              </w:rPr>
            </w:pPr>
          </w:p>
        </w:tc>
        <w:tc>
          <w:tcPr>
            <w:tcW w:w="582"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0D7F073">
            <w:pPr>
              <w:pStyle w:val="10"/>
              <w:bidi w:val="0"/>
              <w:jc w:val="center"/>
              <w:rPr>
                <w:color w:val="000000"/>
              </w:rPr>
            </w:pPr>
          </w:p>
        </w:tc>
        <w:tc>
          <w:tcPr>
            <w:tcW w:w="49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0CDBC75">
            <w:pPr>
              <w:pStyle w:val="10"/>
              <w:bidi w:val="0"/>
              <w:jc w:val="center"/>
              <w:rPr>
                <w:b/>
                <w:bCs/>
                <w:color w:val="000000"/>
              </w:rPr>
            </w:pPr>
            <w:r>
              <w:rPr>
                <w:rFonts w:hint="eastAsia"/>
                <w:b/>
                <w:bCs/>
                <w:color w:val="000000"/>
              </w:rPr>
              <w:t>毫米</w:t>
            </w:r>
          </w:p>
        </w:tc>
        <w:tc>
          <w:tcPr>
            <w:tcW w:w="55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DDDC522">
            <w:pPr>
              <w:pStyle w:val="10"/>
              <w:bidi w:val="0"/>
              <w:jc w:val="center"/>
              <w:rPr>
                <w:b/>
                <w:bCs/>
                <w:color w:val="000000"/>
              </w:rPr>
            </w:pPr>
            <w:r>
              <w:rPr>
                <w:rFonts w:hint="eastAsia"/>
                <w:b/>
                <w:bCs/>
                <w:color w:val="000000"/>
              </w:rPr>
              <w:t>亿</w:t>
            </w:r>
            <w:r>
              <w:rPr>
                <w:b/>
                <w:bCs/>
                <w:color w:val="000000"/>
              </w:rPr>
              <w:t>m3</w:t>
            </w:r>
          </w:p>
        </w:tc>
        <w:tc>
          <w:tcPr>
            <w:tcW w:w="690"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2D36A52">
            <w:pPr>
              <w:pStyle w:val="10"/>
              <w:bidi w:val="0"/>
              <w:jc w:val="center"/>
              <w:rPr>
                <w:color w:val="000000"/>
              </w:rPr>
            </w:pPr>
          </w:p>
        </w:tc>
        <w:tc>
          <w:tcPr>
            <w:tcW w:w="782"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1A7946D">
            <w:pPr>
              <w:pStyle w:val="10"/>
              <w:bidi w:val="0"/>
              <w:jc w:val="center"/>
              <w:rPr>
                <w:color w:val="000000"/>
              </w:rPr>
            </w:pPr>
          </w:p>
        </w:tc>
        <w:tc>
          <w:tcPr>
            <w:tcW w:w="639"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8B0AFCD">
            <w:pPr>
              <w:pStyle w:val="10"/>
              <w:bidi w:val="0"/>
              <w:jc w:val="center"/>
              <w:rPr>
                <w:color w:val="000000"/>
              </w:rPr>
            </w:pPr>
          </w:p>
        </w:tc>
        <w:tc>
          <w:tcPr>
            <w:tcW w:w="750" w:type="pct"/>
            <w:vMerge w:val="continue"/>
            <w:tcBorders>
              <w:top w:val="single" w:color="000000" w:sz="8" w:space="0"/>
              <w:left w:val="single" w:color="000000" w:sz="8" w:space="0"/>
              <w:bottom w:val="single" w:color="000000" w:sz="8" w:space="0"/>
              <w:right w:val="nil"/>
            </w:tcBorders>
            <w:shd w:val="clear" w:color="auto" w:fill="FFFFFF"/>
            <w:noWrap w:val="0"/>
            <w:vAlign w:val="center"/>
          </w:tcPr>
          <w:p w14:paraId="533B8E40">
            <w:pPr>
              <w:pStyle w:val="10"/>
              <w:bidi w:val="0"/>
              <w:jc w:val="center"/>
              <w:rPr>
                <w:color w:val="000000"/>
              </w:rPr>
            </w:pPr>
          </w:p>
        </w:tc>
      </w:tr>
      <w:tr w14:paraId="736700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08" w:type="pct"/>
            <w:tcBorders>
              <w:top w:val="single" w:color="000000" w:sz="8" w:space="0"/>
              <w:left w:val="nil"/>
              <w:bottom w:val="single" w:color="000000" w:sz="8" w:space="0"/>
              <w:right w:val="single" w:color="000000" w:sz="8" w:space="0"/>
            </w:tcBorders>
            <w:shd w:val="clear" w:color="auto" w:fill="FFFFFF"/>
            <w:noWrap w:val="0"/>
            <w:vAlign w:val="center"/>
          </w:tcPr>
          <w:p w14:paraId="4FD9FDC0">
            <w:pPr>
              <w:pStyle w:val="10"/>
              <w:bidi w:val="0"/>
              <w:jc w:val="center"/>
              <w:rPr>
                <w:color w:val="000000"/>
              </w:rPr>
            </w:pPr>
            <w:r>
              <w:rPr>
                <w:color w:val="000000"/>
              </w:rPr>
              <w:t>2013</w:t>
            </w:r>
          </w:p>
        </w:tc>
        <w:tc>
          <w:tcPr>
            <w:tcW w:w="58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B3F8D00">
            <w:pPr>
              <w:pStyle w:val="10"/>
              <w:bidi w:val="0"/>
              <w:jc w:val="center"/>
              <w:rPr>
                <w:color w:val="000000"/>
              </w:rPr>
            </w:pPr>
            <w:r>
              <w:rPr>
                <w:color w:val="000000"/>
              </w:rPr>
              <w:t>2361</w:t>
            </w:r>
          </w:p>
        </w:tc>
        <w:tc>
          <w:tcPr>
            <w:tcW w:w="49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EC21ADB">
            <w:pPr>
              <w:pStyle w:val="10"/>
              <w:bidi w:val="0"/>
              <w:jc w:val="center"/>
              <w:rPr>
                <w:rFonts w:hint="eastAsia"/>
                <w:color w:val="000000"/>
                <w:lang w:eastAsia="zh-CN"/>
              </w:rPr>
            </w:pPr>
            <w:r>
              <w:rPr>
                <w:color w:val="000000"/>
              </w:rPr>
              <w:t>1220.60</w:t>
            </w:r>
          </w:p>
        </w:tc>
        <w:tc>
          <w:tcPr>
            <w:tcW w:w="55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67ACED8">
            <w:pPr>
              <w:pStyle w:val="10"/>
              <w:bidi w:val="0"/>
              <w:jc w:val="center"/>
              <w:rPr>
                <w:color w:val="000000"/>
              </w:rPr>
            </w:pPr>
            <w:r>
              <w:rPr>
                <w:color w:val="000000"/>
              </w:rPr>
              <w:t>28.8</w:t>
            </w:r>
          </w:p>
        </w:tc>
        <w:tc>
          <w:tcPr>
            <w:tcW w:w="69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AB7ECE0">
            <w:pPr>
              <w:pStyle w:val="10"/>
              <w:bidi w:val="0"/>
              <w:jc w:val="center"/>
              <w:rPr>
                <w:color w:val="000000"/>
              </w:rPr>
            </w:pPr>
            <w:r>
              <w:rPr>
                <w:color w:val="000000"/>
              </w:rPr>
              <w:t>1906</w:t>
            </w:r>
          </w:p>
        </w:tc>
        <w:tc>
          <w:tcPr>
            <w:tcW w:w="78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27088C9">
            <w:pPr>
              <w:pStyle w:val="10"/>
              <w:bidi w:val="0"/>
              <w:jc w:val="center"/>
              <w:rPr>
                <w:color w:val="000000"/>
              </w:rPr>
            </w:pPr>
            <w:r>
              <w:rPr>
                <w:color w:val="000000"/>
              </w:rPr>
              <w:t>1526</w:t>
            </w:r>
          </w:p>
        </w:tc>
        <w:tc>
          <w:tcPr>
            <w:tcW w:w="6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CD31DC6">
            <w:pPr>
              <w:pStyle w:val="10"/>
              <w:bidi w:val="0"/>
              <w:jc w:val="center"/>
              <w:rPr>
                <w:color w:val="000000"/>
              </w:rPr>
            </w:pPr>
            <w:r>
              <w:rPr>
                <w:color w:val="000000"/>
              </w:rPr>
              <w:t>-36</w:t>
            </w:r>
          </w:p>
        </w:tc>
        <w:tc>
          <w:tcPr>
            <w:tcW w:w="750" w:type="pct"/>
            <w:tcBorders>
              <w:top w:val="single" w:color="000000" w:sz="8" w:space="0"/>
              <w:left w:val="single" w:color="000000" w:sz="8" w:space="0"/>
              <w:bottom w:val="single" w:color="000000" w:sz="8" w:space="0"/>
              <w:right w:val="nil"/>
            </w:tcBorders>
            <w:shd w:val="clear" w:color="auto" w:fill="FFFFFF"/>
            <w:noWrap w:val="0"/>
            <w:vAlign w:val="center"/>
          </w:tcPr>
          <w:p w14:paraId="0D9021A6">
            <w:pPr>
              <w:pStyle w:val="10"/>
              <w:bidi w:val="0"/>
              <w:jc w:val="center"/>
              <w:rPr>
                <w:color w:val="000000"/>
              </w:rPr>
            </w:pPr>
            <w:r>
              <w:rPr>
                <w:color w:val="000000"/>
              </w:rPr>
              <w:t>-20</w:t>
            </w:r>
          </w:p>
        </w:tc>
      </w:tr>
    </w:tbl>
    <w:p w14:paraId="40056748">
      <w:pPr>
        <w:pStyle w:val="10"/>
        <w:bidi w:val="0"/>
        <w:jc w:val="center"/>
        <w:rPr>
          <w:rFonts w:hint="eastAsia"/>
          <w:b/>
          <w:bCs/>
        </w:rPr>
      </w:pPr>
      <w:r>
        <w:rPr>
          <w:rFonts w:hint="eastAsia"/>
          <w:b/>
          <w:bCs/>
        </w:rPr>
        <w:t>南雄市地表水资源量（2013年）</w:t>
      </w:r>
    </w:p>
    <w:p w14:paraId="08C16EC1">
      <w:pPr>
        <w:bidi w:val="0"/>
        <w:rPr>
          <w:rFonts w:hint="eastAsia"/>
        </w:rPr>
      </w:pPr>
      <w:r>
        <w:rPr>
          <w:rFonts w:hint="eastAsia"/>
        </w:rPr>
        <w:t>表8</w:t>
      </w:r>
    </w:p>
    <w:tbl>
      <w:tblPr>
        <w:tblStyle w:val="7"/>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97"/>
        <w:gridCol w:w="2852"/>
        <w:gridCol w:w="3461"/>
        <w:gridCol w:w="2342"/>
      </w:tblGrid>
      <w:tr w14:paraId="0E5A88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jc w:val="center"/>
        </w:trPr>
        <w:tc>
          <w:tcPr>
            <w:tcW w:w="651" w:type="pct"/>
            <w:tcBorders>
              <w:top w:val="single" w:color="000000" w:sz="8" w:space="0"/>
              <w:left w:val="nil"/>
              <w:bottom w:val="single" w:color="000000" w:sz="8" w:space="0"/>
              <w:right w:val="single" w:color="000000" w:sz="8" w:space="0"/>
            </w:tcBorders>
            <w:shd w:val="clear" w:color="auto" w:fill="FFFFFF"/>
            <w:noWrap w:val="0"/>
            <w:vAlign w:val="center"/>
          </w:tcPr>
          <w:p w14:paraId="7980E880">
            <w:pPr>
              <w:pStyle w:val="10"/>
              <w:bidi w:val="0"/>
              <w:jc w:val="center"/>
              <w:rPr>
                <w:b/>
                <w:bCs/>
                <w:color w:val="000000"/>
              </w:rPr>
            </w:pPr>
            <w:r>
              <w:rPr>
                <w:rFonts w:hint="eastAsia"/>
                <w:b/>
                <w:bCs/>
                <w:color w:val="000000"/>
              </w:rPr>
              <w:t>年度</w:t>
            </w:r>
          </w:p>
        </w:tc>
        <w:tc>
          <w:tcPr>
            <w:tcW w:w="14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250B15D">
            <w:pPr>
              <w:pStyle w:val="10"/>
              <w:bidi w:val="0"/>
              <w:jc w:val="center"/>
              <w:rPr>
                <w:b/>
                <w:bCs/>
                <w:color w:val="000000"/>
              </w:rPr>
            </w:pPr>
            <w:r>
              <w:rPr>
                <w:rFonts w:hint="eastAsia"/>
                <w:b/>
                <w:bCs/>
                <w:color w:val="000000"/>
              </w:rPr>
              <w:t>地表水资源量（亿立方米</w:t>
            </w:r>
            <w:r>
              <w:rPr>
                <w:b/>
                <w:bCs/>
                <w:color w:val="000000"/>
              </w:rPr>
              <w:t>)</w:t>
            </w:r>
          </w:p>
        </w:tc>
        <w:tc>
          <w:tcPr>
            <w:tcW w:w="173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8521186">
            <w:pPr>
              <w:pStyle w:val="10"/>
              <w:bidi w:val="0"/>
              <w:jc w:val="center"/>
              <w:rPr>
                <w:b/>
                <w:bCs/>
                <w:color w:val="000000"/>
              </w:rPr>
            </w:pPr>
            <w:r>
              <w:rPr>
                <w:rFonts w:hint="eastAsia"/>
                <w:b/>
                <w:bCs/>
                <w:color w:val="000000"/>
              </w:rPr>
              <w:t>多年平均地表水资源量（亿立方米）</w:t>
            </w:r>
          </w:p>
        </w:tc>
        <w:tc>
          <w:tcPr>
            <w:tcW w:w="1176" w:type="pct"/>
            <w:tcBorders>
              <w:top w:val="single" w:color="000000" w:sz="8" w:space="0"/>
              <w:left w:val="single" w:color="000000" w:sz="8" w:space="0"/>
              <w:bottom w:val="single" w:color="000000" w:sz="8" w:space="0"/>
              <w:right w:val="nil"/>
            </w:tcBorders>
            <w:shd w:val="clear" w:color="auto" w:fill="FFFFFF"/>
            <w:noWrap w:val="0"/>
            <w:vAlign w:val="center"/>
          </w:tcPr>
          <w:p w14:paraId="0AEDAFB1">
            <w:pPr>
              <w:pStyle w:val="10"/>
              <w:bidi w:val="0"/>
              <w:jc w:val="center"/>
              <w:rPr>
                <w:b/>
                <w:bCs/>
                <w:color w:val="000000"/>
              </w:rPr>
            </w:pPr>
            <w:r>
              <w:rPr>
                <w:rFonts w:hint="eastAsia"/>
                <w:b/>
                <w:bCs/>
                <w:color w:val="000000"/>
              </w:rPr>
              <w:t>与多年均值比较（</w:t>
            </w:r>
            <w:r>
              <w:rPr>
                <w:b/>
                <w:bCs/>
                <w:color w:val="000000"/>
              </w:rPr>
              <w:t>%</w:t>
            </w:r>
            <w:r>
              <w:rPr>
                <w:rFonts w:hint="eastAsia"/>
                <w:b/>
                <w:bCs/>
                <w:color w:val="000000"/>
              </w:rPr>
              <w:t>）</w:t>
            </w:r>
          </w:p>
        </w:tc>
      </w:tr>
      <w:tr w14:paraId="1D32AC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651" w:type="pct"/>
            <w:tcBorders>
              <w:top w:val="single" w:color="000000" w:sz="8" w:space="0"/>
              <w:left w:val="nil"/>
              <w:bottom w:val="single" w:color="000000" w:sz="8" w:space="0"/>
              <w:right w:val="single" w:color="000000" w:sz="8" w:space="0"/>
            </w:tcBorders>
            <w:shd w:val="clear" w:color="auto" w:fill="FFFFFF"/>
            <w:noWrap w:val="0"/>
            <w:vAlign w:val="center"/>
          </w:tcPr>
          <w:p w14:paraId="1737E5CD">
            <w:pPr>
              <w:pStyle w:val="10"/>
              <w:bidi w:val="0"/>
              <w:jc w:val="center"/>
              <w:rPr>
                <w:color w:val="000000"/>
              </w:rPr>
            </w:pPr>
            <w:r>
              <w:rPr>
                <w:color w:val="000000"/>
              </w:rPr>
              <w:t>2013</w:t>
            </w:r>
          </w:p>
        </w:tc>
        <w:tc>
          <w:tcPr>
            <w:tcW w:w="14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8185BF9">
            <w:pPr>
              <w:pStyle w:val="10"/>
              <w:bidi w:val="0"/>
              <w:jc w:val="center"/>
              <w:rPr>
                <w:color w:val="000000"/>
              </w:rPr>
            </w:pPr>
            <w:r>
              <w:rPr>
                <w:color w:val="000000"/>
              </w:rPr>
              <w:t>20.8</w:t>
            </w:r>
          </w:p>
        </w:tc>
        <w:tc>
          <w:tcPr>
            <w:tcW w:w="173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19FEF1D">
            <w:pPr>
              <w:pStyle w:val="10"/>
              <w:bidi w:val="0"/>
              <w:jc w:val="center"/>
              <w:rPr>
                <w:color w:val="000000"/>
              </w:rPr>
            </w:pPr>
            <w:r>
              <w:rPr>
                <w:color w:val="000000"/>
              </w:rPr>
              <w:t>18.73</w:t>
            </w:r>
          </w:p>
        </w:tc>
        <w:tc>
          <w:tcPr>
            <w:tcW w:w="1176" w:type="pct"/>
            <w:tcBorders>
              <w:top w:val="single" w:color="000000" w:sz="8" w:space="0"/>
              <w:left w:val="single" w:color="000000" w:sz="8" w:space="0"/>
              <w:bottom w:val="single" w:color="000000" w:sz="8" w:space="0"/>
              <w:right w:val="nil"/>
            </w:tcBorders>
            <w:shd w:val="clear" w:color="auto" w:fill="FFFFFF"/>
            <w:noWrap w:val="0"/>
            <w:vAlign w:val="center"/>
          </w:tcPr>
          <w:p w14:paraId="48D296CC">
            <w:pPr>
              <w:pStyle w:val="10"/>
              <w:bidi w:val="0"/>
              <w:jc w:val="center"/>
              <w:rPr>
                <w:color w:val="000000"/>
              </w:rPr>
            </w:pPr>
            <w:r>
              <w:rPr>
                <w:color w:val="000000"/>
              </w:rPr>
              <w:t>11.1</w:t>
            </w:r>
          </w:p>
        </w:tc>
      </w:tr>
    </w:tbl>
    <w:p w14:paraId="1DA3AA55">
      <w:pPr>
        <w:pStyle w:val="10"/>
        <w:bidi w:val="0"/>
        <w:jc w:val="center"/>
        <w:rPr>
          <w:rFonts w:hint="eastAsia"/>
          <w:b/>
          <w:bCs/>
        </w:rPr>
      </w:pPr>
      <w:r>
        <w:rPr>
          <w:rFonts w:hint="eastAsia"/>
          <w:b/>
          <w:bCs/>
        </w:rPr>
        <w:t>南雄市地下水资源量（2012年）</w:t>
      </w:r>
    </w:p>
    <w:p w14:paraId="60801DBD">
      <w:pPr>
        <w:bidi w:val="0"/>
        <w:rPr>
          <w:rFonts w:hint="eastAsia"/>
        </w:rPr>
      </w:pPr>
      <w:r>
        <w:rPr>
          <w:rFonts w:hint="eastAsia"/>
        </w:rPr>
        <w:t>表9</w:t>
      </w:r>
    </w:p>
    <w:tbl>
      <w:tblPr>
        <w:tblStyle w:val="7"/>
        <w:tblW w:w="499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7"/>
        <w:gridCol w:w="2975"/>
        <w:gridCol w:w="3483"/>
        <w:gridCol w:w="2213"/>
      </w:tblGrid>
      <w:tr w14:paraId="7B81E9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5" w:hRule="atLeast"/>
          <w:jc w:val="center"/>
        </w:trPr>
        <w:tc>
          <w:tcPr>
            <w:tcW w:w="642" w:type="pct"/>
            <w:tcBorders>
              <w:top w:val="single" w:color="000000" w:sz="8" w:space="0"/>
              <w:left w:val="nil"/>
              <w:bottom w:val="single" w:color="000000" w:sz="8" w:space="0"/>
              <w:right w:val="single" w:color="000000" w:sz="8" w:space="0"/>
            </w:tcBorders>
            <w:shd w:val="clear" w:color="auto" w:fill="FFFFFF"/>
            <w:noWrap w:val="0"/>
            <w:vAlign w:val="center"/>
          </w:tcPr>
          <w:p w14:paraId="469CB46B">
            <w:pPr>
              <w:pStyle w:val="10"/>
              <w:bidi w:val="0"/>
              <w:jc w:val="center"/>
              <w:rPr>
                <w:b/>
                <w:bCs/>
                <w:color w:val="000000"/>
              </w:rPr>
            </w:pPr>
            <w:r>
              <w:rPr>
                <w:rFonts w:hint="eastAsia"/>
                <w:b/>
                <w:bCs/>
                <w:color w:val="000000"/>
              </w:rPr>
              <w:t>年度</w:t>
            </w:r>
          </w:p>
        </w:tc>
        <w:tc>
          <w:tcPr>
            <w:tcW w:w="149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617AB39">
            <w:pPr>
              <w:pStyle w:val="10"/>
              <w:bidi w:val="0"/>
              <w:jc w:val="center"/>
              <w:rPr>
                <w:b/>
                <w:bCs/>
                <w:color w:val="000000"/>
              </w:rPr>
            </w:pPr>
            <w:r>
              <w:rPr>
                <w:rFonts w:hint="eastAsia"/>
                <w:b/>
                <w:bCs/>
                <w:color w:val="000000"/>
              </w:rPr>
              <w:t>地下水资源量（亿立方米）</w:t>
            </w:r>
          </w:p>
        </w:tc>
        <w:tc>
          <w:tcPr>
            <w:tcW w:w="17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A9DBBCD">
            <w:pPr>
              <w:pStyle w:val="10"/>
              <w:bidi w:val="0"/>
              <w:jc w:val="center"/>
              <w:rPr>
                <w:b/>
                <w:bCs/>
                <w:color w:val="000000"/>
              </w:rPr>
            </w:pPr>
            <w:r>
              <w:rPr>
                <w:rFonts w:hint="eastAsia"/>
                <w:b/>
                <w:bCs/>
                <w:color w:val="000000"/>
              </w:rPr>
              <w:t>多年平均地下水资源量（亿立方米）</w:t>
            </w:r>
          </w:p>
        </w:tc>
        <w:tc>
          <w:tcPr>
            <w:tcW w:w="1112" w:type="pct"/>
            <w:tcBorders>
              <w:top w:val="single" w:color="000000" w:sz="8" w:space="0"/>
              <w:left w:val="single" w:color="000000" w:sz="8" w:space="0"/>
              <w:bottom w:val="single" w:color="000000" w:sz="8" w:space="0"/>
              <w:right w:val="nil"/>
            </w:tcBorders>
            <w:shd w:val="clear" w:color="auto" w:fill="FFFFFF"/>
            <w:noWrap w:val="0"/>
            <w:vAlign w:val="center"/>
          </w:tcPr>
          <w:p w14:paraId="0F2E4A76">
            <w:pPr>
              <w:pStyle w:val="10"/>
              <w:bidi w:val="0"/>
              <w:jc w:val="center"/>
              <w:rPr>
                <w:b/>
                <w:bCs/>
                <w:color w:val="000000"/>
              </w:rPr>
            </w:pPr>
            <w:r>
              <w:rPr>
                <w:rFonts w:hint="eastAsia"/>
                <w:b/>
                <w:bCs/>
                <w:color w:val="000000"/>
              </w:rPr>
              <w:t>与多年均值比较（</w:t>
            </w:r>
            <w:r>
              <w:rPr>
                <w:b/>
                <w:bCs/>
                <w:color w:val="000000"/>
              </w:rPr>
              <w:t>%</w:t>
            </w:r>
            <w:r>
              <w:rPr>
                <w:rFonts w:hint="eastAsia"/>
                <w:b/>
                <w:bCs/>
                <w:color w:val="000000"/>
              </w:rPr>
              <w:t>）</w:t>
            </w:r>
          </w:p>
        </w:tc>
      </w:tr>
      <w:tr w14:paraId="147574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642" w:type="pct"/>
            <w:tcBorders>
              <w:top w:val="single" w:color="000000" w:sz="8" w:space="0"/>
              <w:left w:val="nil"/>
              <w:bottom w:val="single" w:color="000000" w:sz="8" w:space="0"/>
              <w:right w:val="single" w:color="000000" w:sz="8" w:space="0"/>
            </w:tcBorders>
            <w:shd w:val="clear" w:color="auto" w:fill="FFFFFF"/>
            <w:noWrap w:val="0"/>
            <w:vAlign w:val="center"/>
          </w:tcPr>
          <w:p w14:paraId="1E527055">
            <w:pPr>
              <w:pStyle w:val="10"/>
              <w:bidi w:val="0"/>
              <w:jc w:val="center"/>
              <w:rPr>
                <w:color w:val="000000"/>
              </w:rPr>
            </w:pPr>
            <w:r>
              <w:rPr>
                <w:color w:val="000000"/>
              </w:rPr>
              <w:t>2013</w:t>
            </w:r>
          </w:p>
        </w:tc>
        <w:tc>
          <w:tcPr>
            <w:tcW w:w="149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71D513D">
            <w:pPr>
              <w:pStyle w:val="10"/>
              <w:bidi w:val="0"/>
              <w:jc w:val="center"/>
              <w:rPr>
                <w:color w:val="000000"/>
              </w:rPr>
            </w:pPr>
            <w:r>
              <w:rPr>
                <w:color w:val="000000"/>
              </w:rPr>
              <w:t>6.71</w:t>
            </w:r>
          </w:p>
        </w:tc>
        <w:tc>
          <w:tcPr>
            <w:tcW w:w="17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C3DD36E">
            <w:pPr>
              <w:pStyle w:val="10"/>
              <w:bidi w:val="0"/>
              <w:jc w:val="center"/>
              <w:rPr>
                <w:color w:val="000000"/>
              </w:rPr>
            </w:pPr>
            <w:r>
              <w:rPr>
                <w:color w:val="000000"/>
              </w:rPr>
              <w:t>4.52</w:t>
            </w:r>
          </w:p>
        </w:tc>
        <w:tc>
          <w:tcPr>
            <w:tcW w:w="1112" w:type="pct"/>
            <w:tcBorders>
              <w:top w:val="single" w:color="000000" w:sz="8" w:space="0"/>
              <w:left w:val="single" w:color="000000" w:sz="8" w:space="0"/>
              <w:bottom w:val="single" w:color="000000" w:sz="8" w:space="0"/>
              <w:right w:val="nil"/>
            </w:tcBorders>
            <w:shd w:val="clear" w:color="auto" w:fill="FFFFFF"/>
            <w:noWrap w:val="0"/>
            <w:vAlign w:val="center"/>
          </w:tcPr>
          <w:p w14:paraId="063DA55C">
            <w:pPr>
              <w:pStyle w:val="10"/>
              <w:bidi w:val="0"/>
              <w:jc w:val="center"/>
              <w:rPr>
                <w:color w:val="000000"/>
              </w:rPr>
            </w:pPr>
            <w:r>
              <w:rPr>
                <w:color w:val="000000"/>
              </w:rPr>
              <w:t>48.5</w:t>
            </w:r>
          </w:p>
        </w:tc>
      </w:tr>
    </w:tbl>
    <w:p w14:paraId="74F10C25">
      <w:pPr>
        <w:bidi w:val="0"/>
        <w:ind w:left="0" w:leftChars="0" w:firstLine="0" w:firstLineChars="0"/>
        <w:jc w:val="center"/>
        <w:rPr>
          <w:b/>
          <w:bCs/>
        </w:rPr>
      </w:pPr>
      <w:r>
        <w:rPr>
          <w:rFonts w:hint="eastAsia"/>
          <w:b/>
          <w:bCs/>
        </w:rPr>
        <w:t>南雄市年供水量（2013年）</w:t>
      </w:r>
    </w:p>
    <w:p w14:paraId="3B427D48">
      <w:pPr>
        <w:bidi w:val="0"/>
        <w:rPr>
          <w:rFonts w:hint="eastAsia"/>
        </w:rPr>
      </w:pPr>
      <w:r>
        <w:rPr>
          <w:rFonts w:hint="eastAsia"/>
        </w:rPr>
        <w:t>表10</w:t>
      </w:r>
    </w:p>
    <w:p w14:paraId="72864DEB">
      <w:pPr>
        <w:bidi w:val="0"/>
        <w:jc w:val="right"/>
        <w:rPr>
          <w:rFonts w:hint="eastAsia"/>
        </w:rPr>
      </w:pPr>
      <w:r>
        <w:rPr>
          <w:rFonts w:hint="eastAsia"/>
        </w:rPr>
        <w:t>单位：万立方米</w:t>
      </w:r>
    </w:p>
    <w:tbl>
      <w:tblPr>
        <w:tblStyle w:val="7"/>
        <w:tblW w:w="498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7"/>
        <w:gridCol w:w="820"/>
        <w:gridCol w:w="996"/>
        <w:gridCol w:w="976"/>
        <w:gridCol w:w="952"/>
        <w:gridCol w:w="1635"/>
        <w:gridCol w:w="817"/>
        <w:gridCol w:w="988"/>
        <w:gridCol w:w="813"/>
        <w:gridCol w:w="976"/>
      </w:tblGrid>
      <w:tr w14:paraId="37D903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4" w:hRule="atLeast"/>
          <w:jc w:val="center"/>
        </w:trPr>
        <w:tc>
          <w:tcPr>
            <w:tcW w:w="482" w:type="pct"/>
            <w:vMerge w:val="restart"/>
            <w:tcBorders>
              <w:top w:val="single" w:color="000000" w:sz="8" w:space="0"/>
              <w:left w:val="nil"/>
              <w:bottom w:val="single" w:color="000000" w:sz="8" w:space="0"/>
              <w:right w:val="single" w:color="000000" w:sz="8" w:space="0"/>
            </w:tcBorders>
            <w:shd w:val="clear" w:color="auto" w:fill="FFFFFF"/>
            <w:noWrap w:val="0"/>
            <w:vAlign w:val="center"/>
          </w:tcPr>
          <w:p w14:paraId="5194D425">
            <w:pPr>
              <w:pStyle w:val="10"/>
              <w:bidi w:val="0"/>
              <w:jc w:val="center"/>
              <w:rPr>
                <w:b/>
                <w:bCs/>
                <w:color w:val="000000"/>
              </w:rPr>
            </w:pPr>
            <w:r>
              <w:rPr>
                <w:rFonts w:hint="eastAsia"/>
                <w:b/>
                <w:bCs/>
                <w:color w:val="000000"/>
              </w:rPr>
              <w:t>年度</w:t>
            </w:r>
          </w:p>
        </w:tc>
        <w:tc>
          <w:tcPr>
            <w:tcW w:w="413"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A19D31C">
            <w:pPr>
              <w:pStyle w:val="10"/>
              <w:bidi w:val="0"/>
              <w:jc w:val="center"/>
              <w:rPr>
                <w:b/>
                <w:bCs/>
                <w:color w:val="000000"/>
              </w:rPr>
            </w:pPr>
            <w:r>
              <w:rPr>
                <w:rFonts w:hint="eastAsia"/>
                <w:b/>
                <w:bCs/>
                <w:color w:val="000000"/>
              </w:rPr>
              <w:t>总供水量</w:t>
            </w:r>
          </w:p>
        </w:tc>
        <w:tc>
          <w:tcPr>
            <w:tcW w:w="2294" w:type="pct"/>
            <w:gridSpan w:val="4"/>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F53E270">
            <w:pPr>
              <w:pStyle w:val="10"/>
              <w:bidi w:val="0"/>
              <w:jc w:val="center"/>
              <w:rPr>
                <w:b/>
                <w:bCs/>
                <w:color w:val="000000"/>
              </w:rPr>
            </w:pPr>
            <w:r>
              <w:rPr>
                <w:rFonts w:hint="eastAsia"/>
                <w:b/>
                <w:bCs/>
                <w:color w:val="000000"/>
              </w:rPr>
              <w:t>地表水量</w:t>
            </w:r>
          </w:p>
        </w:tc>
        <w:tc>
          <w:tcPr>
            <w:tcW w:w="411"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70CBFF5">
            <w:pPr>
              <w:pStyle w:val="10"/>
              <w:bidi w:val="0"/>
              <w:jc w:val="center"/>
              <w:rPr>
                <w:b/>
                <w:bCs/>
                <w:color w:val="000000"/>
              </w:rPr>
            </w:pPr>
            <w:r>
              <w:rPr>
                <w:rFonts w:hint="eastAsia"/>
                <w:b/>
                <w:bCs/>
                <w:color w:val="000000"/>
              </w:rPr>
              <w:t>地下水量</w:t>
            </w:r>
          </w:p>
        </w:tc>
        <w:tc>
          <w:tcPr>
            <w:tcW w:w="497"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56C2267">
            <w:pPr>
              <w:pStyle w:val="10"/>
              <w:bidi w:val="0"/>
              <w:jc w:val="center"/>
              <w:rPr>
                <w:b/>
                <w:bCs/>
                <w:color w:val="000000"/>
              </w:rPr>
            </w:pPr>
            <w:r>
              <w:rPr>
                <w:rFonts w:hint="eastAsia"/>
                <w:b/>
                <w:bCs/>
                <w:color w:val="000000"/>
              </w:rPr>
              <w:t>占总供水量比例（</w:t>
            </w:r>
            <w:r>
              <w:rPr>
                <w:b/>
                <w:bCs/>
                <w:color w:val="000000"/>
              </w:rPr>
              <w:t>%</w:t>
            </w:r>
            <w:r>
              <w:rPr>
                <w:rFonts w:hint="eastAsia"/>
                <w:b/>
                <w:bCs/>
                <w:color w:val="000000"/>
              </w:rPr>
              <w:t>）</w:t>
            </w:r>
          </w:p>
        </w:tc>
        <w:tc>
          <w:tcPr>
            <w:tcW w:w="409"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907A1DB">
            <w:pPr>
              <w:pStyle w:val="10"/>
              <w:bidi w:val="0"/>
              <w:jc w:val="center"/>
              <w:rPr>
                <w:b/>
                <w:bCs/>
                <w:color w:val="000000"/>
              </w:rPr>
            </w:pPr>
            <w:r>
              <w:rPr>
                <w:rFonts w:hint="eastAsia"/>
                <w:b/>
                <w:bCs/>
                <w:color w:val="000000"/>
              </w:rPr>
              <w:t>其它供水量</w:t>
            </w:r>
          </w:p>
        </w:tc>
        <w:tc>
          <w:tcPr>
            <w:tcW w:w="491" w:type="pct"/>
            <w:vMerge w:val="restart"/>
            <w:tcBorders>
              <w:top w:val="single" w:color="000000" w:sz="8" w:space="0"/>
              <w:left w:val="single" w:color="000000" w:sz="8" w:space="0"/>
              <w:bottom w:val="single" w:color="000000" w:sz="8" w:space="0"/>
              <w:right w:val="nil"/>
            </w:tcBorders>
            <w:shd w:val="clear" w:color="auto" w:fill="FFFFFF"/>
            <w:noWrap w:val="0"/>
            <w:vAlign w:val="center"/>
          </w:tcPr>
          <w:p w14:paraId="37425BD2">
            <w:pPr>
              <w:pStyle w:val="10"/>
              <w:bidi w:val="0"/>
              <w:jc w:val="center"/>
              <w:rPr>
                <w:b/>
                <w:bCs/>
                <w:color w:val="000000"/>
              </w:rPr>
            </w:pPr>
            <w:r>
              <w:rPr>
                <w:rFonts w:hint="eastAsia"/>
                <w:b/>
                <w:bCs/>
                <w:color w:val="000000"/>
              </w:rPr>
              <w:t>占总供水量比例（</w:t>
            </w:r>
            <w:r>
              <w:rPr>
                <w:b/>
                <w:bCs/>
                <w:color w:val="000000"/>
              </w:rPr>
              <w:t>%</w:t>
            </w:r>
            <w:r>
              <w:rPr>
                <w:rFonts w:hint="eastAsia"/>
                <w:b/>
                <w:bCs/>
                <w:color w:val="000000"/>
              </w:rPr>
              <w:t>）</w:t>
            </w:r>
          </w:p>
        </w:tc>
      </w:tr>
      <w:tr w14:paraId="69EFFD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2" w:hRule="atLeast"/>
          <w:jc w:val="center"/>
        </w:trPr>
        <w:tc>
          <w:tcPr>
            <w:tcW w:w="482" w:type="pct"/>
            <w:vMerge w:val="continue"/>
            <w:tcBorders>
              <w:top w:val="single" w:color="000000" w:sz="8" w:space="0"/>
              <w:left w:val="nil"/>
              <w:bottom w:val="single" w:color="000000" w:sz="8" w:space="0"/>
              <w:right w:val="single" w:color="000000" w:sz="8" w:space="0"/>
            </w:tcBorders>
            <w:shd w:val="clear" w:color="auto" w:fill="FFFFFF"/>
            <w:noWrap w:val="0"/>
            <w:vAlign w:val="center"/>
          </w:tcPr>
          <w:p w14:paraId="062314B6">
            <w:pPr>
              <w:pStyle w:val="10"/>
              <w:bidi w:val="0"/>
              <w:jc w:val="center"/>
              <w:rPr>
                <w:color w:val="000000"/>
              </w:rPr>
            </w:pPr>
          </w:p>
        </w:tc>
        <w:tc>
          <w:tcPr>
            <w:tcW w:w="413"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90D0F7C">
            <w:pPr>
              <w:pStyle w:val="10"/>
              <w:bidi w:val="0"/>
              <w:jc w:val="center"/>
              <w:rPr>
                <w:color w:val="000000"/>
              </w:rPr>
            </w:pPr>
          </w:p>
        </w:tc>
        <w:tc>
          <w:tcPr>
            <w:tcW w:w="5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59A17E6">
            <w:pPr>
              <w:pStyle w:val="10"/>
              <w:bidi w:val="0"/>
              <w:jc w:val="center"/>
              <w:rPr>
                <w:b/>
                <w:bCs/>
                <w:color w:val="000000"/>
              </w:rPr>
            </w:pPr>
            <w:r>
              <w:rPr>
                <w:rFonts w:hint="eastAsia"/>
                <w:b/>
                <w:bCs/>
                <w:color w:val="000000"/>
              </w:rPr>
              <w:t>蓄水量</w:t>
            </w:r>
          </w:p>
        </w:tc>
        <w:tc>
          <w:tcPr>
            <w:tcW w:w="49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9D57114">
            <w:pPr>
              <w:pStyle w:val="10"/>
              <w:bidi w:val="0"/>
              <w:jc w:val="center"/>
              <w:rPr>
                <w:b/>
                <w:bCs/>
                <w:color w:val="000000"/>
              </w:rPr>
            </w:pPr>
            <w:r>
              <w:rPr>
                <w:rFonts w:hint="eastAsia"/>
                <w:b/>
                <w:bCs/>
                <w:color w:val="000000"/>
              </w:rPr>
              <w:t>引水量</w:t>
            </w:r>
          </w:p>
        </w:tc>
        <w:tc>
          <w:tcPr>
            <w:tcW w:w="4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D4364A7">
            <w:pPr>
              <w:pStyle w:val="10"/>
              <w:bidi w:val="0"/>
              <w:jc w:val="center"/>
              <w:rPr>
                <w:b/>
                <w:bCs/>
                <w:color w:val="000000"/>
              </w:rPr>
            </w:pPr>
            <w:r>
              <w:rPr>
                <w:rFonts w:hint="eastAsia"/>
                <w:b/>
                <w:bCs/>
                <w:color w:val="000000"/>
              </w:rPr>
              <w:t>提水量</w:t>
            </w:r>
          </w:p>
        </w:tc>
        <w:tc>
          <w:tcPr>
            <w:tcW w:w="82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67EAEBA">
            <w:pPr>
              <w:pStyle w:val="10"/>
              <w:bidi w:val="0"/>
              <w:jc w:val="center"/>
              <w:rPr>
                <w:b/>
                <w:bCs/>
                <w:color w:val="000000"/>
              </w:rPr>
            </w:pPr>
            <w:r>
              <w:rPr>
                <w:rFonts w:hint="eastAsia"/>
                <w:b/>
                <w:bCs/>
                <w:color w:val="000000"/>
              </w:rPr>
              <w:t>占总供水量比例（</w:t>
            </w:r>
            <w:r>
              <w:rPr>
                <w:b/>
                <w:bCs/>
                <w:color w:val="000000"/>
              </w:rPr>
              <w:t>%</w:t>
            </w:r>
            <w:r>
              <w:rPr>
                <w:rFonts w:hint="eastAsia"/>
                <w:b/>
                <w:bCs/>
                <w:color w:val="000000"/>
              </w:rPr>
              <w:t>）</w:t>
            </w:r>
          </w:p>
        </w:tc>
        <w:tc>
          <w:tcPr>
            <w:tcW w:w="411"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395C11F">
            <w:pPr>
              <w:pStyle w:val="10"/>
              <w:bidi w:val="0"/>
              <w:jc w:val="center"/>
              <w:rPr>
                <w:color w:val="000000"/>
              </w:rPr>
            </w:pPr>
          </w:p>
        </w:tc>
        <w:tc>
          <w:tcPr>
            <w:tcW w:w="497"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0D148F1">
            <w:pPr>
              <w:pStyle w:val="10"/>
              <w:bidi w:val="0"/>
              <w:jc w:val="center"/>
              <w:rPr>
                <w:color w:val="000000"/>
              </w:rPr>
            </w:pPr>
          </w:p>
        </w:tc>
        <w:tc>
          <w:tcPr>
            <w:tcW w:w="409"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5BA40A3">
            <w:pPr>
              <w:pStyle w:val="10"/>
              <w:bidi w:val="0"/>
              <w:jc w:val="center"/>
              <w:rPr>
                <w:color w:val="000000"/>
              </w:rPr>
            </w:pPr>
          </w:p>
        </w:tc>
        <w:tc>
          <w:tcPr>
            <w:tcW w:w="491" w:type="pct"/>
            <w:vMerge w:val="continue"/>
            <w:tcBorders>
              <w:top w:val="single" w:color="000000" w:sz="8" w:space="0"/>
              <w:left w:val="single" w:color="000000" w:sz="8" w:space="0"/>
              <w:bottom w:val="single" w:color="000000" w:sz="8" w:space="0"/>
              <w:right w:val="nil"/>
            </w:tcBorders>
            <w:shd w:val="clear" w:color="auto" w:fill="FFFFFF"/>
            <w:noWrap w:val="0"/>
            <w:vAlign w:val="center"/>
          </w:tcPr>
          <w:p w14:paraId="109E1F50">
            <w:pPr>
              <w:pStyle w:val="10"/>
              <w:bidi w:val="0"/>
              <w:jc w:val="center"/>
              <w:rPr>
                <w:color w:val="000000"/>
              </w:rPr>
            </w:pPr>
          </w:p>
        </w:tc>
      </w:tr>
      <w:tr w14:paraId="1D68CD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2" w:type="pct"/>
            <w:tcBorders>
              <w:top w:val="single" w:color="000000" w:sz="8" w:space="0"/>
              <w:left w:val="nil"/>
              <w:bottom w:val="single" w:color="000000" w:sz="8" w:space="0"/>
              <w:right w:val="single" w:color="000000" w:sz="8" w:space="0"/>
            </w:tcBorders>
            <w:shd w:val="clear" w:color="auto" w:fill="FFFFFF"/>
            <w:noWrap w:val="0"/>
            <w:vAlign w:val="center"/>
          </w:tcPr>
          <w:p w14:paraId="7D77B0DF">
            <w:pPr>
              <w:pStyle w:val="10"/>
              <w:bidi w:val="0"/>
              <w:jc w:val="center"/>
              <w:rPr>
                <w:color w:val="000000"/>
              </w:rPr>
            </w:pPr>
            <w:r>
              <w:rPr>
                <w:color w:val="000000"/>
              </w:rPr>
              <w:t>2013</w:t>
            </w:r>
          </w:p>
        </w:tc>
        <w:tc>
          <w:tcPr>
            <w:tcW w:w="41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53733CB">
            <w:pPr>
              <w:pStyle w:val="10"/>
              <w:bidi w:val="0"/>
              <w:jc w:val="center"/>
              <w:rPr>
                <w:color w:val="000000"/>
              </w:rPr>
            </w:pPr>
            <w:r>
              <w:rPr>
                <w:color w:val="000000"/>
              </w:rPr>
              <w:t>34850</w:t>
            </w:r>
          </w:p>
        </w:tc>
        <w:tc>
          <w:tcPr>
            <w:tcW w:w="5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8AC951A">
            <w:pPr>
              <w:pStyle w:val="10"/>
              <w:bidi w:val="0"/>
              <w:jc w:val="center"/>
              <w:rPr>
                <w:color w:val="000000"/>
              </w:rPr>
            </w:pPr>
            <w:r>
              <w:rPr>
                <w:color w:val="000000"/>
              </w:rPr>
              <w:t>21500</w:t>
            </w:r>
          </w:p>
        </w:tc>
        <w:tc>
          <w:tcPr>
            <w:tcW w:w="49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7DC3555">
            <w:pPr>
              <w:pStyle w:val="10"/>
              <w:bidi w:val="0"/>
              <w:jc w:val="center"/>
              <w:rPr>
                <w:color w:val="000000"/>
              </w:rPr>
            </w:pPr>
            <w:r>
              <w:rPr>
                <w:color w:val="000000"/>
              </w:rPr>
              <w:t>8550</w:t>
            </w:r>
          </w:p>
        </w:tc>
        <w:tc>
          <w:tcPr>
            <w:tcW w:w="4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BCEA1B4">
            <w:pPr>
              <w:pStyle w:val="10"/>
              <w:bidi w:val="0"/>
              <w:jc w:val="center"/>
              <w:rPr>
                <w:color w:val="000000"/>
              </w:rPr>
            </w:pPr>
            <w:r>
              <w:rPr>
                <w:color w:val="000000"/>
              </w:rPr>
              <w:t>3040</w:t>
            </w:r>
          </w:p>
        </w:tc>
        <w:tc>
          <w:tcPr>
            <w:tcW w:w="82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6641CA6">
            <w:pPr>
              <w:pStyle w:val="10"/>
              <w:bidi w:val="0"/>
              <w:jc w:val="center"/>
              <w:rPr>
                <w:color w:val="000000"/>
              </w:rPr>
            </w:pPr>
            <w:r>
              <w:rPr>
                <w:color w:val="000000"/>
              </w:rPr>
              <w:t>94.9</w:t>
            </w:r>
          </w:p>
        </w:tc>
        <w:tc>
          <w:tcPr>
            <w:tcW w:w="4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0606EDE">
            <w:pPr>
              <w:pStyle w:val="10"/>
              <w:bidi w:val="0"/>
              <w:jc w:val="center"/>
              <w:rPr>
                <w:color w:val="000000"/>
              </w:rPr>
            </w:pPr>
            <w:r>
              <w:rPr>
                <w:color w:val="000000"/>
              </w:rPr>
              <w:t>1200</w:t>
            </w:r>
          </w:p>
        </w:tc>
        <w:tc>
          <w:tcPr>
            <w:tcW w:w="49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13CCDD8">
            <w:pPr>
              <w:pStyle w:val="10"/>
              <w:bidi w:val="0"/>
              <w:jc w:val="center"/>
              <w:rPr>
                <w:color w:val="000000"/>
              </w:rPr>
            </w:pPr>
            <w:r>
              <w:rPr>
                <w:color w:val="000000"/>
              </w:rPr>
              <w:t>3.5</w:t>
            </w:r>
          </w:p>
        </w:tc>
        <w:tc>
          <w:tcPr>
            <w:tcW w:w="40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E5414AB">
            <w:pPr>
              <w:pStyle w:val="10"/>
              <w:bidi w:val="0"/>
              <w:jc w:val="center"/>
              <w:rPr>
                <w:color w:val="000000"/>
              </w:rPr>
            </w:pPr>
            <w:r>
              <w:rPr>
                <w:color w:val="000000"/>
              </w:rPr>
              <w:t>100</w:t>
            </w:r>
          </w:p>
        </w:tc>
        <w:tc>
          <w:tcPr>
            <w:tcW w:w="491" w:type="pct"/>
            <w:tcBorders>
              <w:top w:val="single" w:color="000000" w:sz="8" w:space="0"/>
              <w:left w:val="single" w:color="000000" w:sz="8" w:space="0"/>
              <w:bottom w:val="single" w:color="000000" w:sz="8" w:space="0"/>
              <w:right w:val="nil"/>
            </w:tcBorders>
            <w:shd w:val="clear" w:color="auto" w:fill="FFFFFF"/>
            <w:noWrap w:val="0"/>
            <w:vAlign w:val="center"/>
          </w:tcPr>
          <w:p w14:paraId="5F388A83">
            <w:pPr>
              <w:pStyle w:val="10"/>
              <w:bidi w:val="0"/>
              <w:jc w:val="center"/>
              <w:rPr>
                <w:color w:val="000000"/>
              </w:rPr>
            </w:pPr>
            <w:r>
              <w:rPr>
                <w:color w:val="000000"/>
              </w:rPr>
              <w:t>0.5</w:t>
            </w:r>
          </w:p>
        </w:tc>
      </w:tr>
    </w:tbl>
    <w:p w14:paraId="61FC18A3">
      <w:pPr>
        <w:pStyle w:val="10"/>
        <w:bidi w:val="0"/>
        <w:jc w:val="center"/>
        <w:rPr>
          <w:b/>
          <w:bCs/>
        </w:rPr>
      </w:pPr>
      <w:r>
        <w:rPr>
          <w:rFonts w:hint="eastAsia"/>
          <w:b/>
          <w:bCs/>
        </w:rPr>
        <w:t>南雄市年用水量（2013年）</w:t>
      </w:r>
    </w:p>
    <w:p w14:paraId="7CB716C2">
      <w:pPr>
        <w:bidi w:val="0"/>
        <w:rPr>
          <w:rFonts w:hint="eastAsia"/>
        </w:rPr>
      </w:pPr>
      <w:r>
        <w:rPr>
          <w:rFonts w:hint="eastAsia"/>
        </w:rPr>
        <w:t>表11</w:t>
      </w:r>
    </w:p>
    <w:p w14:paraId="6C4602B8">
      <w:pPr>
        <w:bidi w:val="0"/>
        <w:jc w:val="right"/>
        <w:rPr>
          <w:rFonts w:hint="eastAsia"/>
        </w:rPr>
      </w:pPr>
      <w:r>
        <w:rPr>
          <w:rFonts w:hint="eastAsia"/>
        </w:rPr>
        <w:t>单位：万立方米</w:t>
      </w:r>
    </w:p>
    <w:tbl>
      <w:tblPr>
        <w:tblStyle w:val="7"/>
        <w:tblW w:w="498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7"/>
        <w:gridCol w:w="836"/>
        <w:gridCol w:w="745"/>
        <w:gridCol w:w="834"/>
        <w:gridCol w:w="796"/>
        <w:gridCol w:w="1247"/>
        <w:gridCol w:w="737"/>
        <w:gridCol w:w="919"/>
        <w:gridCol w:w="812"/>
        <w:gridCol w:w="1207"/>
        <w:gridCol w:w="852"/>
      </w:tblGrid>
      <w:tr w14:paraId="6F45F6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472" w:type="pct"/>
            <w:vMerge w:val="restart"/>
            <w:tcBorders>
              <w:top w:val="single" w:color="000000" w:sz="8" w:space="0"/>
              <w:left w:val="nil"/>
              <w:bottom w:val="single" w:color="000000" w:sz="8" w:space="0"/>
              <w:right w:val="single" w:color="000000" w:sz="8" w:space="0"/>
            </w:tcBorders>
            <w:shd w:val="clear" w:color="auto" w:fill="FFFFFF"/>
            <w:noWrap w:val="0"/>
            <w:vAlign w:val="center"/>
          </w:tcPr>
          <w:p w14:paraId="1117B167">
            <w:pPr>
              <w:pStyle w:val="10"/>
              <w:bidi w:val="0"/>
              <w:jc w:val="center"/>
              <w:rPr>
                <w:b/>
                <w:bCs/>
                <w:color w:val="000000"/>
              </w:rPr>
            </w:pPr>
            <w:r>
              <w:rPr>
                <w:rFonts w:hint="eastAsia"/>
                <w:b/>
                <w:bCs/>
                <w:color w:val="000000"/>
              </w:rPr>
              <w:t>年度</w:t>
            </w:r>
          </w:p>
        </w:tc>
        <w:tc>
          <w:tcPr>
            <w:tcW w:w="2245" w:type="pct"/>
            <w:gridSpan w:val="5"/>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072F63D">
            <w:pPr>
              <w:pStyle w:val="10"/>
              <w:bidi w:val="0"/>
              <w:jc w:val="center"/>
              <w:rPr>
                <w:b/>
                <w:bCs/>
                <w:color w:val="000000"/>
              </w:rPr>
            </w:pPr>
            <w:r>
              <w:rPr>
                <w:rFonts w:hint="eastAsia"/>
                <w:b/>
                <w:bCs/>
                <w:color w:val="000000"/>
              </w:rPr>
              <w:t>生产用水量</w:t>
            </w:r>
          </w:p>
        </w:tc>
        <w:tc>
          <w:tcPr>
            <w:tcW w:w="371"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4FD7508">
            <w:pPr>
              <w:pStyle w:val="10"/>
              <w:bidi w:val="0"/>
              <w:jc w:val="center"/>
              <w:rPr>
                <w:b/>
                <w:bCs/>
                <w:color w:val="000000"/>
              </w:rPr>
            </w:pPr>
            <w:r>
              <w:rPr>
                <w:rFonts w:hint="eastAsia"/>
                <w:b/>
                <w:bCs/>
                <w:color w:val="000000"/>
              </w:rPr>
              <w:t>居民生活</w:t>
            </w:r>
          </w:p>
        </w:tc>
        <w:tc>
          <w:tcPr>
            <w:tcW w:w="463"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0402D21">
            <w:pPr>
              <w:pStyle w:val="10"/>
              <w:bidi w:val="0"/>
              <w:jc w:val="center"/>
              <w:rPr>
                <w:b/>
                <w:bCs/>
                <w:color w:val="000000"/>
              </w:rPr>
            </w:pPr>
            <w:r>
              <w:rPr>
                <w:rFonts w:hint="eastAsia"/>
                <w:b/>
                <w:bCs/>
                <w:color w:val="000000"/>
              </w:rPr>
              <w:t>占总用水比例（</w:t>
            </w:r>
            <w:r>
              <w:rPr>
                <w:b/>
                <w:bCs/>
                <w:color w:val="000000"/>
              </w:rPr>
              <w:t>%</w:t>
            </w:r>
            <w:r>
              <w:rPr>
                <w:rFonts w:hint="eastAsia"/>
                <w:b/>
                <w:bCs/>
                <w:color w:val="000000"/>
              </w:rPr>
              <w:t>）</w:t>
            </w:r>
          </w:p>
        </w:tc>
        <w:tc>
          <w:tcPr>
            <w:tcW w:w="409"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01A6B35">
            <w:pPr>
              <w:pStyle w:val="10"/>
              <w:bidi w:val="0"/>
              <w:jc w:val="center"/>
              <w:rPr>
                <w:b/>
                <w:bCs/>
                <w:color w:val="000000"/>
              </w:rPr>
            </w:pPr>
            <w:r>
              <w:rPr>
                <w:rFonts w:hint="eastAsia"/>
                <w:b/>
                <w:bCs/>
                <w:color w:val="000000"/>
              </w:rPr>
              <w:t>生态环境</w:t>
            </w:r>
          </w:p>
        </w:tc>
        <w:tc>
          <w:tcPr>
            <w:tcW w:w="608"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2FAC772">
            <w:pPr>
              <w:pStyle w:val="10"/>
              <w:bidi w:val="0"/>
              <w:jc w:val="center"/>
              <w:rPr>
                <w:b/>
                <w:bCs/>
                <w:color w:val="000000"/>
              </w:rPr>
            </w:pPr>
            <w:r>
              <w:rPr>
                <w:rFonts w:hint="eastAsia"/>
                <w:b/>
                <w:bCs/>
                <w:color w:val="000000"/>
              </w:rPr>
              <w:t>占总用水比例（</w:t>
            </w:r>
            <w:r>
              <w:rPr>
                <w:b/>
                <w:bCs/>
                <w:color w:val="000000"/>
              </w:rPr>
              <w:t>%</w:t>
            </w:r>
            <w:r>
              <w:rPr>
                <w:rFonts w:hint="eastAsia"/>
                <w:b/>
                <w:bCs/>
                <w:color w:val="000000"/>
              </w:rPr>
              <w:t>）</w:t>
            </w:r>
          </w:p>
        </w:tc>
        <w:tc>
          <w:tcPr>
            <w:tcW w:w="429" w:type="pct"/>
            <w:vMerge w:val="restart"/>
            <w:tcBorders>
              <w:top w:val="single" w:color="000000" w:sz="8" w:space="0"/>
              <w:left w:val="single" w:color="000000" w:sz="8" w:space="0"/>
              <w:bottom w:val="single" w:color="000000" w:sz="8" w:space="0"/>
              <w:right w:val="nil"/>
            </w:tcBorders>
            <w:shd w:val="clear" w:color="auto" w:fill="FFFFFF"/>
            <w:noWrap w:val="0"/>
            <w:vAlign w:val="center"/>
          </w:tcPr>
          <w:p w14:paraId="702206AA">
            <w:pPr>
              <w:pStyle w:val="10"/>
              <w:bidi w:val="0"/>
              <w:jc w:val="center"/>
              <w:rPr>
                <w:b/>
                <w:bCs/>
                <w:color w:val="000000"/>
              </w:rPr>
            </w:pPr>
            <w:r>
              <w:rPr>
                <w:rFonts w:hint="eastAsia"/>
                <w:b/>
                <w:bCs/>
                <w:color w:val="000000"/>
              </w:rPr>
              <w:t>总用水量</w:t>
            </w:r>
          </w:p>
        </w:tc>
      </w:tr>
      <w:tr w14:paraId="474BD6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5" w:hRule="atLeast"/>
          <w:jc w:val="center"/>
        </w:trPr>
        <w:tc>
          <w:tcPr>
            <w:tcW w:w="472" w:type="pct"/>
            <w:vMerge w:val="continue"/>
            <w:tcBorders>
              <w:top w:val="single" w:color="000000" w:sz="8" w:space="0"/>
              <w:left w:val="nil"/>
              <w:bottom w:val="single" w:color="000000" w:sz="8" w:space="0"/>
              <w:right w:val="single" w:color="000000" w:sz="8" w:space="0"/>
            </w:tcBorders>
            <w:shd w:val="clear" w:color="auto" w:fill="FFFFFF"/>
            <w:noWrap w:val="0"/>
            <w:vAlign w:val="center"/>
          </w:tcPr>
          <w:p w14:paraId="470EB5BC">
            <w:pPr>
              <w:pStyle w:val="10"/>
              <w:bidi w:val="0"/>
              <w:jc w:val="center"/>
              <w:rPr>
                <w:color w:val="000000"/>
              </w:rPr>
            </w:pPr>
          </w:p>
        </w:tc>
        <w:tc>
          <w:tcPr>
            <w:tcW w:w="42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741C79E">
            <w:pPr>
              <w:pStyle w:val="10"/>
              <w:bidi w:val="0"/>
              <w:jc w:val="center"/>
              <w:rPr>
                <w:b/>
                <w:bCs/>
                <w:color w:val="000000"/>
              </w:rPr>
            </w:pPr>
            <w:r>
              <w:rPr>
                <w:rFonts w:hint="eastAsia"/>
                <w:b/>
                <w:bCs/>
                <w:color w:val="000000"/>
              </w:rPr>
              <w:t>农田灌溉</w:t>
            </w:r>
          </w:p>
        </w:tc>
        <w:tc>
          <w:tcPr>
            <w:tcW w:w="37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FAA3B5D">
            <w:pPr>
              <w:pStyle w:val="10"/>
              <w:bidi w:val="0"/>
              <w:jc w:val="center"/>
              <w:rPr>
                <w:b/>
                <w:bCs/>
                <w:color w:val="000000"/>
              </w:rPr>
            </w:pPr>
            <w:r>
              <w:rPr>
                <w:rFonts w:hint="eastAsia"/>
                <w:b/>
                <w:bCs/>
                <w:color w:val="000000"/>
              </w:rPr>
              <w:t>林牧渔畜</w:t>
            </w:r>
          </w:p>
        </w:tc>
        <w:tc>
          <w:tcPr>
            <w:tcW w:w="42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23CE7A3">
            <w:pPr>
              <w:pStyle w:val="10"/>
              <w:bidi w:val="0"/>
              <w:jc w:val="center"/>
              <w:rPr>
                <w:b/>
                <w:bCs/>
                <w:color w:val="000000"/>
              </w:rPr>
            </w:pPr>
            <w:r>
              <w:rPr>
                <w:rFonts w:hint="eastAsia"/>
                <w:b/>
                <w:bCs/>
                <w:color w:val="000000"/>
              </w:rPr>
              <w:t>工业</w:t>
            </w:r>
          </w:p>
        </w:tc>
        <w:tc>
          <w:tcPr>
            <w:tcW w:w="4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710CB6B">
            <w:pPr>
              <w:pStyle w:val="10"/>
              <w:bidi w:val="0"/>
              <w:jc w:val="center"/>
              <w:rPr>
                <w:b/>
                <w:bCs/>
                <w:color w:val="000000"/>
              </w:rPr>
            </w:pPr>
            <w:r>
              <w:rPr>
                <w:rFonts w:hint="eastAsia"/>
                <w:b/>
                <w:bCs/>
                <w:color w:val="000000"/>
              </w:rPr>
              <w:t>城镇公用</w:t>
            </w:r>
          </w:p>
        </w:tc>
        <w:tc>
          <w:tcPr>
            <w:tcW w:w="62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5E8B92F">
            <w:pPr>
              <w:pStyle w:val="10"/>
              <w:bidi w:val="0"/>
              <w:jc w:val="center"/>
              <w:rPr>
                <w:color w:val="000000"/>
              </w:rPr>
            </w:pPr>
            <w:r>
              <w:rPr>
                <w:rFonts w:hint="eastAsia"/>
                <w:b/>
                <w:bCs/>
                <w:color w:val="000000"/>
              </w:rPr>
              <w:t>占总用水比例（</w:t>
            </w:r>
            <w:r>
              <w:rPr>
                <w:b/>
                <w:bCs/>
                <w:color w:val="000000"/>
              </w:rPr>
              <w:t>%</w:t>
            </w:r>
            <w:r>
              <w:rPr>
                <w:rFonts w:hint="eastAsia"/>
                <w:b/>
                <w:bCs/>
                <w:color w:val="000000"/>
              </w:rPr>
              <w:t>）</w:t>
            </w:r>
          </w:p>
        </w:tc>
        <w:tc>
          <w:tcPr>
            <w:tcW w:w="371"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C3EBC54">
            <w:pPr>
              <w:pStyle w:val="10"/>
              <w:bidi w:val="0"/>
              <w:jc w:val="center"/>
              <w:rPr>
                <w:color w:val="000000"/>
              </w:rPr>
            </w:pPr>
          </w:p>
        </w:tc>
        <w:tc>
          <w:tcPr>
            <w:tcW w:w="463"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422E7E7">
            <w:pPr>
              <w:pStyle w:val="10"/>
              <w:bidi w:val="0"/>
              <w:jc w:val="center"/>
              <w:rPr>
                <w:color w:val="000000"/>
              </w:rPr>
            </w:pPr>
          </w:p>
        </w:tc>
        <w:tc>
          <w:tcPr>
            <w:tcW w:w="409"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8577EB0">
            <w:pPr>
              <w:pStyle w:val="10"/>
              <w:bidi w:val="0"/>
              <w:jc w:val="center"/>
              <w:rPr>
                <w:color w:val="000000"/>
              </w:rPr>
            </w:pPr>
          </w:p>
        </w:tc>
        <w:tc>
          <w:tcPr>
            <w:tcW w:w="608"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431FD13">
            <w:pPr>
              <w:pStyle w:val="10"/>
              <w:bidi w:val="0"/>
              <w:jc w:val="center"/>
              <w:rPr>
                <w:color w:val="000000"/>
              </w:rPr>
            </w:pPr>
          </w:p>
        </w:tc>
        <w:tc>
          <w:tcPr>
            <w:tcW w:w="429" w:type="pct"/>
            <w:vMerge w:val="continue"/>
            <w:tcBorders>
              <w:top w:val="single" w:color="000000" w:sz="8" w:space="0"/>
              <w:left w:val="single" w:color="000000" w:sz="8" w:space="0"/>
              <w:bottom w:val="single" w:color="000000" w:sz="8" w:space="0"/>
              <w:right w:val="nil"/>
            </w:tcBorders>
            <w:shd w:val="clear" w:color="auto" w:fill="FFFFFF"/>
            <w:noWrap w:val="0"/>
            <w:vAlign w:val="center"/>
          </w:tcPr>
          <w:p w14:paraId="42BCDEEA">
            <w:pPr>
              <w:pStyle w:val="10"/>
              <w:bidi w:val="0"/>
              <w:jc w:val="center"/>
              <w:rPr>
                <w:color w:val="000000"/>
              </w:rPr>
            </w:pPr>
          </w:p>
        </w:tc>
      </w:tr>
      <w:tr w14:paraId="7436D5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472" w:type="pct"/>
            <w:tcBorders>
              <w:top w:val="single" w:color="000000" w:sz="8" w:space="0"/>
              <w:left w:val="nil"/>
              <w:bottom w:val="single" w:color="000000" w:sz="8" w:space="0"/>
              <w:right w:val="single" w:color="000000" w:sz="8" w:space="0"/>
            </w:tcBorders>
            <w:shd w:val="clear" w:color="auto" w:fill="FFFFFF"/>
            <w:noWrap w:val="0"/>
            <w:vAlign w:val="center"/>
          </w:tcPr>
          <w:p w14:paraId="0FB83046">
            <w:pPr>
              <w:pStyle w:val="10"/>
              <w:bidi w:val="0"/>
              <w:jc w:val="center"/>
              <w:rPr>
                <w:color w:val="000000"/>
              </w:rPr>
            </w:pPr>
            <w:r>
              <w:rPr>
                <w:color w:val="000000"/>
              </w:rPr>
              <w:t>2013</w:t>
            </w:r>
          </w:p>
        </w:tc>
        <w:tc>
          <w:tcPr>
            <w:tcW w:w="42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5802128">
            <w:pPr>
              <w:pStyle w:val="10"/>
              <w:bidi w:val="0"/>
              <w:jc w:val="center"/>
              <w:rPr>
                <w:color w:val="000000"/>
              </w:rPr>
            </w:pPr>
            <w:r>
              <w:rPr>
                <w:color w:val="000000"/>
              </w:rPr>
              <w:t>24120</w:t>
            </w:r>
          </w:p>
        </w:tc>
        <w:tc>
          <w:tcPr>
            <w:tcW w:w="37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A95AA85">
            <w:pPr>
              <w:pStyle w:val="10"/>
              <w:bidi w:val="0"/>
              <w:jc w:val="center"/>
              <w:rPr>
                <w:color w:val="000000"/>
              </w:rPr>
            </w:pPr>
            <w:r>
              <w:rPr>
                <w:color w:val="000000"/>
              </w:rPr>
              <w:t>3080</w:t>
            </w:r>
          </w:p>
        </w:tc>
        <w:tc>
          <w:tcPr>
            <w:tcW w:w="42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3507085">
            <w:pPr>
              <w:pStyle w:val="10"/>
              <w:bidi w:val="0"/>
              <w:jc w:val="center"/>
              <w:rPr>
                <w:color w:val="000000"/>
              </w:rPr>
            </w:pPr>
            <w:r>
              <w:rPr>
                <w:color w:val="000000"/>
              </w:rPr>
              <w:t>4510</w:t>
            </w:r>
          </w:p>
        </w:tc>
        <w:tc>
          <w:tcPr>
            <w:tcW w:w="4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DE52A37">
            <w:pPr>
              <w:pStyle w:val="10"/>
              <w:bidi w:val="0"/>
              <w:jc w:val="center"/>
              <w:rPr>
                <w:color w:val="000000"/>
              </w:rPr>
            </w:pPr>
            <w:r>
              <w:rPr>
                <w:color w:val="000000"/>
              </w:rPr>
              <w:t>650</w:t>
            </w:r>
          </w:p>
        </w:tc>
        <w:tc>
          <w:tcPr>
            <w:tcW w:w="62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D60991B">
            <w:pPr>
              <w:pStyle w:val="10"/>
              <w:bidi w:val="0"/>
              <w:jc w:val="center"/>
              <w:rPr>
                <w:color w:val="000000"/>
              </w:rPr>
            </w:pPr>
            <w:r>
              <w:rPr>
                <w:color w:val="000000"/>
              </w:rPr>
              <w:t>94.1</w:t>
            </w:r>
          </w:p>
        </w:tc>
        <w:tc>
          <w:tcPr>
            <w:tcW w:w="37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3E964F9">
            <w:pPr>
              <w:pStyle w:val="10"/>
              <w:bidi w:val="0"/>
              <w:jc w:val="center"/>
              <w:rPr>
                <w:color w:val="000000"/>
              </w:rPr>
            </w:pPr>
            <w:r>
              <w:rPr>
                <w:color w:val="000000"/>
              </w:rPr>
              <w:t>1810</w:t>
            </w:r>
          </w:p>
        </w:tc>
        <w:tc>
          <w:tcPr>
            <w:tcW w:w="46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BD628E2">
            <w:pPr>
              <w:pStyle w:val="10"/>
              <w:bidi w:val="0"/>
              <w:jc w:val="center"/>
              <w:rPr>
                <w:color w:val="000000"/>
              </w:rPr>
            </w:pPr>
            <w:r>
              <w:rPr>
                <w:color w:val="000000"/>
              </w:rPr>
              <w:t>5.3</w:t>
            </w:r>
          </w:p>
        </w:tc>
        <w:tc>
          <w:tcPr>
            <w:tcW w:w="40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DB38D46">
            <w:pPr>
              <w:pStyle w:val="10"/>
              <w:bidi w:val="0"/>
              <w:jc w:val="center"/>
              <w:rPr>
                <w:color w:val="000000"/>
              </w:rPr>
            </w:pPr>
            <w:r>
              <w:rPr>
                <w:color w:val="000000"/>
              </w:rPr>
              <w:t>220</w:t>
            </w:r>
          </w:p>
        </w:tc>
        <w:tc>
          <w:tcPr>
            <w:tcW w:w="60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B234BC0">
            <w:pPr>
              <w:pStyle w:val="10"/>
              <w:bidi w:val="0"/>
              <w:jc w:val="center"/>
              <w:rPr>
                <w:color w:val="000000"/>
              </w:rPr>
            </w:pPr>
            <w:r>
              <w:rPr>
                <w:color w:val="000000"/>
              </w:rPr>
              <w:t>0.6</w:t>
            </w:r>
          </w:p>
        </w:tc>
        <w:tc>
          <w:tcPr>
            <w:tcW w:w="429" w:type="pct"/>
            <w:tcBorders>
              <w:top w:val="single" w:color="000000" w:sz="8" w:space="0"/>
              <w:left w:val="single" w:color="000000" w:sz="8" w:space="0"/>
              <w:bottom w:val="single" w:color="000000" w:sz="8" w:space="0"/>
              <w:right w:val="nil"/>
            </w:tcBorders>
            <w:shd w:val="clear" w:color="auto" w:fill="FFFFFF"/>
            <w:noWrap w:val="0"/>
            <w:vAlign w:val="center"/>
          </w:tcPr>
          <w:p w14:paraId="71F9024C">
            <w:pPr>
              <w:pStyle w:val="10"/>
              <w:bidi w:val="0"/>
              <w:jc w:val="center"/>
              <w:rPr>
                <w:color w:val="000000"/>
              </w:rPr>
            </w:pPr>
            <w:r>
              <w:rPr>
                <w:color w:val="000000"/>
              </w:rPr>
              <w:t>34390</w:t>
            </w:r>
          </w:p>
        </w:tc>
      </w:tr>
    </w:tbl>
    <w:p w14:paraId="41084CCA">
      <w:pPr>
        <w:pStyle w:val="10"/>
        <w:bidi w:val="0"/>
        <w:jc w:val="center"/>
        <w:rPr>
          <w:rFonts w:hint="eastAsia"/>
          <w:b/>
          <w:bCs/>
        </w:rPr>
      </w:pPr>
      <w:r>
        <w:rPr>
          <w:rFonts w:hint="eastAsia"/>
          <w:b/>
          <w:bCs/>
        </w:rPr>
        <w:t>南雄市主要用水指标（2013年）</w:t>
      </w:r>
    </w:p>
    <w:p w14:paraId="09F72B0B">
      <w:pPr>
        <w:bidi w:val="0"/>
        <w:rPr>
          <w:rFonts w:hint="eastAsia"/>
        </w:rPr>
      </w:pPr>
      <w:r>
        <w:rPr>
          <w:rFonts w:hint="eastAsia"/>
        </w:rPr>
        <w:t>表12</w:t>
      </w:r>
    </w:p>
    <w:tbl>
      <w:tblPr>
        <w:tblStyle w:val="7"/>
        <w:tblW w:w="499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9"/>
        <w:gridCol w:w="1027"/>
        <w:gridCol w:w="1210"/>
        <w:gridCol w:w="1211"/>
        <w:gridCol w:w="1093"/>
        <w:gridCol w:w="1136"/>
        <w:gridCol w:w="1307"/>
        <w:gridCol w:w="932"/>
        <w:gridCol w:w="915"/>
      </w:tblGrid>
      <w:tr w14:paraId="6D1CA2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5" w:hRule="atLeast"/>
          <w:jc w:val="center"/>
        </w:trPr>
        <w:tc>
          <w:tcPr>
            <w:tcW w:w="562" w:type="pct"/>
            <w:vMerge w:val="restart"/>
            <w:tcBorders>
              <w:top w:val="single" w:color="000000" w:sz="8" w:space="0"/>
              <w:left w:val="nil"/>
              <w:bottom w:val="single" w:color="000000" w:sz="8" w:space="0"/>
              <w:right w:val="single" w:color="000000" w:sz="8" w:space="0"/>
            </w:tcBorders>
            <w:shd w:val="clear" w:color="auto" w:fill="FFFFFF"/>
            <w:noWrap w:val="0"/>
            <w:vAlign w:val="center"/>
          </w:tcPr>
          <w:p w14:paraId="2AF89F5B">
            <w:pPr>
              <w:pStyle w:val="10"/>
              <w:bidi w:val="0"/>
              <w:jc w:val="center"/>
              <w:rPr>
                <w:b/>
                <w:bCs/>
                <w:color w:val="000000"/>
              </w:rPr>
            </w:pPr>
            <w:r>
              <w:rPr>
                <w:rFonts w:hint="eastAsia"/>
                <w:b/>
                <w:bCs/>
                <w:color w:val="000000"/>
              </w:rPr>
              <w:t>年度</w:t>
            </w:r>
          </w:p>
        </w:tc>
        <w:tc>
          <w:tcPr>
            <w:tcW w:w="516"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EA81D56">
            <w:pPr>
              <w:pStyle w:val="10"/>
              <w:bidi w:val="0"/>
              <w:jc w:val="center"/>
              <w:rPr>
                <w:b/>
                <w:bCs/>
                <w:color w:val="000000"/>
              </w:rPr>
            </w:pPr>
            <w:r>
              <w:rPr>
                <w:rFonts w:hint="eastAsia"/>
                <w:b/>
                <w:bCs/>
                <w:color w:val="000000"/>
              </w:rPr>
              <w:t>人均</w:t>
            </w:r>
            <w:r>
              <w:rPr>
                <w:b/>
                <w:bCs/>
                <w:color w:val="000000"/>
              </w:rPr>
              <w:t>GDP(</w:t>
            </w:r>
            <w:r>
              <w:rPr>
                <w:rFonts w:hint="eastAsia"/>
                <w:b/>
                <w:bCs/>
                <w:color w:val="000000"/>
              </w:rPr>
              <w:t>元）</w:t>
            </w:r>
          </w:p>
        </w:tc>
        <w:tc>
          <w:tcPr>
            <w:tcW w:w="608"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9E054B8">
            <w:pPr>
              <w:pStyle w:val="10"/>
              <w:bidi w:val="0"/>
              <w:jc w:val="center"/>
              <w:rPr>
                <w:rFonts w:hint="eastAsia"/>
                <w:b/>
                <w:bCs/>
                <w:color w:val="000000"/>
              </w:rPr>
            </w:pPr>
            <w:r>
              <w:rPr>
                <w:rFonts w:hint="eastAsia"/>
                <w:b/>
                <w:bCs/>
                <w:color w:val="000000"/>
              </w:rPr>
              <w:t>人均综合用水量</w:t>
            </w:r>
          </w:p>
          <w:p w14:paraId="3D63080F">
            <w:pPr>
              <w:pStyle w:val="10"/>
              <w:bidi w:val="0"/>
              <w:jc w:val="center"/>
              <w:rPr>
                <w:b/>
                <w:bCs/>
                <w:color w:val="000000"/>
              </w:rPr>
            </w:pPr>
            <w:r>
              <w:rPr>
                <w:b/>
                <w:bCs/>
                <w:color w:val="000000"/>
              </w:rPr>
              <w:t>(</w:t>
            </w:r>
            <w:r>
              <w:rPr>
                <w:rFonts w:hint="eastAsia"/>
                <w:b/>
                <w:bCs/>
                <w:color w:val="000000"/>
              </w:rPr>
              <w:t>立方米</w:t>
            </w:r>
            <w:r>
              <w:rPr>
                <w:b/>
                <w:bCs/>
                <w:color w:val="000000"/>
              </w:rPr>
              <w:t>)</w:t>
            </w:r>
          </w:p>
        </w:tc>
        <w:tc>
          <w:tcPr>
            <w:tcW w:w="608"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897A3BE">
            <w:pPr>
              <w:pStyle w:val="10"/>
              <w:bidi w:val="0"/>
              <w:jc w:val="center"/>
              <w:rPr>
                <w:rFonts w:hint="eastAsia"/>
                <w:b/>
                <w:bCs/>
                <w:color w:val="000000"/>
              </w:rPr>
            </w:pPr>
            <w:r>
              <w:rPr>
                <w:rFonts w:hint="eastAsia"/>
                <w:b/>
                <w:bCs/>
                <w:color w:val="000000"/>
              </w:rPr>
              <w:t>万元</w:t>
            </w:r>
            <w:r>
              <w:rPr>
                <w:b/>
                <w:bCs/>
                <w:color w:val="000000"/>
              </w:rPr>
              <w:t>GDP</w:t>
            </w:r>
            <w:r>
              <w:rPr>
                <w:rFonts w:hint="eastAsia"/>
                <w:b/>
                <w:bCs/>
                <w:color w:val="000000"/>
              </w:rPr>
              <w:t>用水量</w:t>
            </w:r>
          </w:p>
          <w:p w14:paraId="346703AE">
            <w:pPr>
              <w:pStyle w:val="10"/>
              <w:bidi w:val="0"/>
              <w:jc w:val="center"/>
              <w:rPr>
                <w:b/>
                <w:bCs/>
                <w:color w:val="000000"/>
              </w:rPr>
            </w:pPr>
            <w:r>
              <w:rPr>
                <w:rFonts w:hint="eastAsia"/>
                <w:b/>
                <w:bCs/>
                <w:color w:val="000000"/>
              </w:rPr>
              <w:t>（立方米）</w:t>
            </w:r>
          </w:p>
        </w:tc>
        <w:tc>
          <w:tcPr>
            <w:tcW w:w="1120" w:type="pct"/>
            <w:gridSpan w:val="2"/>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34CFE87">
            <w:pPr>
              <w:pStyle w:val="10"/>
              <w:bidi w:val="0"/>
              <w:jc w:val="center"/>
              <w:rPr>
                <w:b/>
                <w:bCs/>
                <w:color w:val="000000"/>
              </w:rPr>
            </w:pPr>
            <w:r>
              <w:rPr>
                <w:rFonts w:hint="eastAsia"/>
                <w:b/>
                <w:bCs/>
                <w:color w:val="000000"/>
              </w:rPr>
              <w:t>万元工业增加值用水量（立方米）</w:t>
            </w:r>
          </w:p>
        </w:tc>
        <w:tc>
          <w:tcPr>
            <w:tcW w:w="656"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C64D5C6">
            <w:pPr>
              <w:pStyle w:val="10"/>
              <w:bidi w:val="0"/>
              <w:jc w:val="center"/>
              <w:rPr>
                <w:rFonts w:hint="eastAsia"/>
                <w:b/>
                <w:bCs/>
                <w:color w:val="000000"/>
              </w:rPr>
            </w:pPr>
            <w:r>
              <w:rPr>
                <w:rFonts w:hint="eastAsia"/>
                <w:b/>
                <w:bCs/>
                <w:color w:val="000000"/>
              </w:rPr>
              <w:t>农田实灌亩均用水量</w:t>
            </w:r>
          </w:p>
          <w:p w14:paraId="43343C5E">
            <w:pPr>
              <w:pStyle w:val="10"/>
              <w:bidi w:val="0"/>
              <w:jc w:val="center"/>
              <w:rPr>
                <w:b/>
                <w:bCs/>
                <w:color w:val="000000"/>
              </w:rPr>
            </w:pPr>
            <w:r>
              <w:rPr>
                <w:b/>
                <w:bCs/>
                <w:color w:val="000000"/>
              </w:rPr>
              <w:t>(</w:t>
            </w:r>
            <w:r>
              <w:rPr>
                <w:rFonts w:hint="eastAsia"/>
                <w:b/>
                <w:bCs/>
                <w:color w:val="000000"/>
              </w:rPr>
              <w:t>立方米</w:t>
            </w:r>
            <w:r>
              <w:rPr>
                <w:b/>
                <w:bCs/>
                <w:color w:val="000000"/>
              </w:rPr>
              <w:t>)</w:t>
            </w:r>
          </w:p>
        </w:tc>
        <w:tc>
          <w:tcPr>
            <w:tcW w:w="928" w:type="pct"/>
            <w:gridSpan w:val="2"/>
            <w:tcBorders>
              <w:top w:val="single" w:color="000000" w:sz="8" w:space="0"/>
              <w:left w:val="single" w:color="000000" w:sz="8" w:space="0"/>
              <w:bottom w:val="single" w:color="000000" w:sz="8" w:space="0"/>
              <w:right w:val="nil"/>
            </w:tcBorders>
            <w:shd w:val="clear" w:color="auto" w:fill="FFFFFF"/>
            <w:noWrap w:val="0"/>
            <w:vAlign w:val="center"/>
          </w:tcPr>
          <w:p w14:paraId="10163B46">
            <w:pPr>
              <w:pStyle w:val="10"/>
              <w:bidi w:val="0"/>
              <w:jc w:val="center"/>
              <w:rPr>
                <w:b/>
                <w:bCs/>
                <w:color w:val="000000"/>
              </w:rPr>
            </w:pPr>
            <w:r>
              <w:rPr>
                <w:rFonts w:hint="eastAsia"/>
                <w:b/>
                <w:bCs/>
                <w:color w:val="000000"/>
              </w:rPr>
              <w:t>居民生活人均用水量（升</w:t>
            </w:r>
            <w:r>
              <w:rPr>
                <w:b/>
                <w:bCs/>
                <w:color w:val="000000"/>
              </w:rPr>
              <w:t>/</w:t>
            </w:r>
            <w:r>
              <w:rPr>
                <w:rFonts w:hint="eastAsia"/>
                <w:b/>
                <w:bCs/>
                <w:color w:val="000000"/>
              </w:rPr>
              <w:t>日）</w:t>
            </w:r>
          </w:p>
        </w:tc>
      </w:tr>
      <w:tr w14:paraId="680508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562" w:type="pct"/>
            <w:vMerge w:val="continue"/>
            <w:tcBorders>
              <w:top w:val="single" w:color="000000" w:sz="8" w:space="0"/>
              <w:left w:val="nil"/>
              <w:bottom w:val="single" w:color="000000" w:sz="8" w:space="0"/>
              <w:right w:val="single" w:color="000000" w:sz="8" w:space="0"/>
            </w:tcBorders>
            <w:shd w:val="clear" w:color="auto" w:fill="FFFFFF"/>
            <w:noWrap w:val="0"/>
            <w:vAlign w:val="center"/>
          </w:tcPr>
          <w:p w14:paraId="12E5DE7C">
            <w:pPr>
              <w:pStyle w:val="10"/>
              <w:bidi w:val="0"/>
              <w:jc w:val="center"/>
              <w:rPr>
                <w:b/>
                <w:bCs/>
                <w:color w:val="000000"/>
              </w:rPr>
            </w:pPr>
          </w:p>
        </w:tc>
        <w:tc>
          <w:tcPr>
            <w:tcW w:w="516"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1DAD78D">
            <w:pPr>
              <w:pStyle w:val="10"/>
              <w:bidi w:val="0"/>
              <w:jc w:val="center"/>
              <w:rPr>
                <w:b/>
                <w:bCs/>
                <w:color w:val="000000"/>
              </w:rPr>
            </w:pPr>
          </w:p>
        </w:tc>
        <w:tc>
          <w:tcPr>
            <w:tcW w:w="608"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0BBA23C">
            <w:pPr>
              <w:pStyle w:val="10"/>
              <w:bidi w:val="0"/>
              <w:jc w:val="center"/>
              <w:rPr>
                <w:b/>
                <w:bCs/>
                <w:color w:val="000000"/>
              </w:rPr>
            </w:pPr>
          </w:p>
        </w:tc>
        <w:tc>
          <w:tcPr>
            <w:tcW w:w="608"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9AC389D">
            <w:pPr>
              <w:pStyle w:val="10"/>
              <w:bidi w:val="0"/>
              <w:jc w:val="center"/>
              <w:rPr>
                <w:b/>
                <w:bCs/>
                <w:color w:val="000000"/>
              </w:rPr>
            </w:pPr>
          </w:p>
        </w:tc>
        <w:tc>
          <w:tcPr>
            <w:tcW w:w="54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EC74322">
            <w:pPr>
              <w:pStyle w:val="10"/>
              <w:bidi w:val="0"/>
              <w:jc w:val="center"/>
              <w:rPr>
                <w:b/>
                <w:bCs/>
                <w:color w:val="000000"/>
              </w:rPr>
            </w:pPr>
            <w:r>
              <w:rPr>
                <w:rFonts w:hint="eastAsia"/>
                <w:b/>
                <w:bCs/>
                <w:color w:val="000000"/>
              </w:rPr>
              <w:t>含火电</w:t>
            </w:r>
          </w:p>
        </w:tc>
        <w:tc>
          <w:tcPr>
            <w:tcW w:w="5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2E6AEBC">
            <w:pPr>
              <w:pStyle w:val="10"/>
              <w:bidi w:val="0"/>
              <w:jc w:val="center"/>
              <w:rPr>
                <w:b/>
                <w:bCs/>
                <w:color w:val="000000"/>
              </w:rPr>
            </w:pPr>
            <w:r>
              <w:rPr>
                <w:rFonts w:hint="eastAsia"/>
                <w:b/>
                <w:bCs/>
                <w:color w:val="000000"/>
              </w:rPr>
              <w:t>不含火电</w:t>
            </w:r>
          </w:p>
        </w:tc>
        <w:tc>
          <w:tcPr>
            <w:tcW w:w="656"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AE3137C">
            <w:pPr>
              <w:pStyle w:val="10"/>
              <w:bidi w:val="0"/>
              <w:jc w:val="center"/>
              <w:rPr>
                <w:b/>
                <w:bCs/>
                <w:color w:val="000000"/>
              </w:rPr>
            </w:pPr>
          </w:p>
        </w:tc>
        <w:tc>
          <w:tcPr>
            <w:tcW w:w="4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A2EC12E">
            <w:pPr>
              <w:pStyle w:val="10"/>
              <w:bidi w:val="0"/>
              <w:jc w:val="center"/>
              <w:rPr>
                <w:b/>
                <w:bCs/>
                <w:color w:val="000000"/>
              </w:rPr>
            </w:pPr>
            <w:r>
              <w:rPr>
                <w:rFonts w:hint="eastAsia"/>
                <w:b/>
                <w:bCs/>
                <w:color w:val="000000"/>
              </w:rPr>
              <w:t>城镇</w:t>
            </w:r>
          </w:p>
        </w:tc>
        <w:tc>
          <w:tcPr>
            <w:tcW w:w="459" w:type="pct"/>
            <w:tcBorders>
              <w:top w:val="single" w:color="000000" w:sz="8" w:space="0"/>
              <w:left w:val="single" w:color="000000" w:sz="8" w:space="0"/>
              <w:bottom w:val="single" w:color="000000" w:sz="8" w:space="0"/>
              <w:right w:val="nil"/>
            </w:tcBorders>
            <w:shd w:val="clear" w:color="auto" w:fill="FFFFFF"/>
            <w:noWrap w:val="0"/>
            <w:vAlign w:val="center"/>
          </w:tcPr>
          <w:p w14:paraId="36863BA1">
            <w:pPr>
              <w:pStyle w:val="10"/>
              <w:bidi w:val="0"/>
              <w:jc w:val="center"/>
              <w:rPr>
                <w:b/>
                <w:bCs/>
                <w:color w:val="000000"/>
              </w:rPr>
            </w:pPr>
            <w:r>
              <w:rPr>
                <w:rFonts w:hint="eastAsia"/>
                <w:b/>
                <w:bCs/>
                <w:color w:val="000000"/>
              </w:rPr>
              <w:t>农村</w:t>
            </w:r>
          </w:p>
        </w:tc>
      </w:tr>
      <w:tr w14:paraId="1FF302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562" w:type="pct"/>
            <w:tcBorders>
              <w:top w:val="single" w:color="000000" w:sz="8" w:space="0"/>
              <w:left w:val="nil"/>
              <w:bottom w:val="single" w:color="000000" w:sz="8" w:space="0"/>
              <w:right w:val="single" w:color="000000" w:sz="8" w:space="0"/>
            </w:tcBorders>
            <w:shd w:val="clear" w:color="auto" w:fill="FFFFFF"/>
            <w:noWrap w:val="0"/>
            <w:vAlign w:val="center"/>
          </w:tcPr>
          <w:p w14:paraId="0FC59965">
            <w:pPr>
              <w:pStyle w:val="10"/>
              <w:bidi w:val="0"/>
              <w:jc w:val="center"/>
              <w:rPr>
                <w:color w:val="000000"/>
              </w:rPr>
            </w:pPr>
            <w:r>
              <w:rPr>
                <w:color w:val="000000"/>
              </w:rPr>
              <w:t>2012</w:t>
            </w:r>
          </w:p>
        </w:tc>
        <w:tc>
          <w:tcPr>
            <w:tcW w:w="51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41EE8A9">
            <w:pPr>
              <w:pStyle w:val="10"/>
              <w:bidi w:val="0"/>
              <w:jc w:val="center"/>
              <w:rPr>
                <w:color w:val="000000"/>
              </w:rPr>
            </w:pPr>
            <w:r>
              <w:rPr>
                <w:color w:val="000000"/>
              </w:rPr>
              <w:t>26702</w:t>
            </w:r>
          </w:p>
        </w:tc>
        <w:tc>
          <w:tcPr>
            <w:tcW w:w="60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4E0613A">
            <w:pPr>
              <w:pStyle w:val="10"/>
              <w:bidi w:val="0"/>
              <w:jc w:val="center"/>
              <w:rPr>
                <w:color w:val="000000"/>
              </w:rPr>
            </w:pPr>
            <w:r>
              <w:rPr>
                <w:color w:val="000000"/>
              </w:rPr>
              <w:t>1064</w:t>
            </w:r>
          </w:p>
        </w:tc>
        <w:tc>
          <w:tcPr>
            <w:tcW w:w="60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3965C5A">
            <w:pPr>
              <w:pStyle w:val="10"/>
              <w:bidi w:val="0"/>
              <w:jc w:val="center"/>
              <w:rPr>
                <w:color w:val="000000"/>
              </w:rPr>
            </w:pPr>
            <w:r>
              <w:rPr>
                <w:color w:val="000000"/>
              </w:rPr>
              <w:t>398</w:t>
            </w:r>
          </w:p>
        </w:tc>
        <w:tc>
          <w:tcPr>
            <w:tcW w:w="54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925F12C">
            <w:pPr>
              <w:pStyle w:val="10"/>
              <w:bidi w:val="0"/>
              <w:jc w:val="center"/>
              <w:rPr>
                <w:color w:val="000000"/>
              </w:rPr>
            </w:pPr>
            <w:r>
              <w:rPr>
                <w:color w:val="000000"/>
              </w:rPr>
              <w:t>216</w:t>
            </w:r>
          </w:p>
        </w:tc>
        <w:tc>
          <w:tcPr>
            <w:tcW w:w="5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2FB5B3A">
            <w:pPr>
              <w:pStyle w:val="10"/>
              <w:bidi w:val="0"/>
              <w:jc w:val="center"/>
              <w:rPr>
                <w:color w:val="000000"/>
              </w:rPr>
            </w:pPr>
            <w:r>
              <w:rPr>
                <w:color w:val="000000"/>
              </w:rPr>
              <w:t>216</w:t>
            </w:r>
          </w:p>
        </w:tc>
        <w:tc>
          <w:tcPr>
            <w:tcW w:w="6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F3D0FED">
            <w:pPr>
              <w:pStyle w:val="10"/>
              <w:bidi w:val="0"/>
              <w:jc w:val="center"/>
              <w:rPr>
                <w:color w:val="000000"/>
              </w:rPr>
            </w:pPr>
            <w:r>
              <w:rPr>
                <w:color w:val="000000"/>
              </w:rPr>
              <w:t>712</w:t>
            </w:r>
          </w:p>
        </w:tc>
        <w:tc>
          <w:tcPr>
            <w:tcW w:w="4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C1735C2">
            <w:pPr>
              <w:pStyle w:val="10"/>
              <w:bidi w:val="0"/>
              <w:jc w:val="center"/>
              <w:rPr>
                <w:color w:val="000000"/>
              </w:rPr>
            </w:pPr>
            <w:r>
              <w:rPr>
                <w:color w:val="000000"/>
              </w:rPr>
              <w:t>182</w:t>
            </w:r>
          </w:p>
        </w:tc>
        <w:tc>
          <w:tcPr>
            <w:tcW w:w="459" w:type="pct"/>
            <w:tcBorders>
              <w:top w:val="single" w:color="000000" w:sz="8" w:space="0"/>
              <w:left w:val="single" w:color="000000" w:sz="8" w:space="0"/>
              <w:bottom w:val="single" w:color="000000" w:sz="8" w:space="0"/>
              <w:right w:val="nil"/>
            </w:tcBorders>
            <w:shd w:val="clear" w:color="auto" w:fill="FFFFFF"/>
            <w:noWrap w:val="0"/>
            <w:vAlign w:val="center"/>
          </w:tcPr>
          <w:p w14:paraId="22C23743">
            <w:pPr>
              <w:pStyle w:val="10"/>
              <w:bidi w:val="0"/>
              <w:jc w:val="center"/>
              <w:rPr>
                <w:color w:val="000000"/>
              </w:rPr>
            </w:pPr>
            <w:r>
              <w:rPr>
                <w:color w:val="000000"/>
              </w:rPr>
              <w:t>130</w:t>
            </w:r>
          </w:p>
        </w:tc>
      </w:tr>
    </w:tbl>
    <w:p w14:paraId="32AB37F7">
      <w:pPr>
        <w:ind w:firstLine="420"/>
        <w:jc w:val="right"/>
        <w:rPr>
          <w:b/>
          <w:bCs/>
        </w:rPr>
      </w:pPr>
      <w:r>
        <w:rPr>
          <w:rFonts w:hint="eastAsia"/>
          <w:b/>
          <w:bCs/>
        </w:rPr>
        <w:t>（张熙宁）</w:t>
      </w:r>
    </w:p>
    <w:p w14:paraId="037F8F3A">
      <w:pPr>
        <w:pStyle w:val="10"/>
        <w:bidi w:val="0"/>
        <w:rPr>
          <w:b/>
          <w:bCs/>
        </w:rPr>
      </w:pPr>
      <w:r>
        <w:rPr>
          <w:rFonts w:hint="eastAsia"/>
          <w:b/>
          <w:bCs/>
        </w:rPr>
        <w:t>附：</w:t>
      </w:r>
      <w:r>
        <w:rPr>
          <w:b/>
          <w:bCs/>
        </w:rPr>
        <w:t>2013年市水务局领导班子成员名单</w:t>
      </w:r>
    </w:p>
    <w:p w14:paraId="24EDEDD6">
      <w:pPr>
        <w:pStyle w:val="10"/>
        <w:bidi w:val="0"/>
      </w:pPr>
      <w:r>
        <w:rPr>
          <w:rFonts w:hint="eastAsia"/>
          <w:b/>
          <w:bCs/>
        </w:rPr>
        <w:t>局</w:t>
      </w:r>
      <w:r>
        <w:rPr>
          <w:rFonts w:hint="eastAsia"/>
          <w:b/>
          <w:bCs/>
          <w:lang w:val="en-US" w:eastAsia="zh-CN"/>
        </w:rPr>
        <w:t xml:space="preserve">    </w:t>
      </w:r>
      <w:r>
        <w:rPr>
          <w:rFonts w:hint="eastAsia"/>
          <w:b/>
          <w:bCs/>
        </w:rPr>
        <w:t>长：</w:t>
      </w:r>
      <w:r>
        <w:rPr>
          <w:rFonts w:hint="eastAsia"/>
        </w:rPr>
        <w:t>何启林（任至</w:t>
      </w:r>
      <w:r>
        <w:t>8月）</w:t>
      </w:r>
    </w:p>
    <w:p w14:paraId="6969354E">
      <w:pPr>
        <w:pStyle w:val="10"/>
        <w:bidi w:val="0"/>
        <w:ind w:leftChars="500"/>
      </w:pPr>
      <w:r>
        <w:t>严桂龙（9月任）</w:t>
      </w:r>
    </w:p>
    <w:p w14:paraId="5B0F0880">
      <w:pPr>
        <w:pStyle w:val="10"/>
        <w:bidi w:val="0"/>
      </w:pPr>
      <w:r>
        <w:rPr>
          <w:rFonts w:hint="eastAsia"/>
          <w:b/>
          <w:bCs/>
        </w:rPr>
        <w:t>副</w:t>
      </w:r>
      <w:r>
        <w:rPr>
          <w:rFonts w:hint="eastAsia"/>
          <w:b/>
          <w:bCs/>
          <w:lang w:val="en-US" w:eastAsia="zh-CN"/>
        </w:rPr>
        <w:t xml:space="preserve"> </w:t>
      </w:r>
      <w:r>
        <w:rPr>
          <w:rFonts w:hint="eastAsia"/>
          <w:b/>
          <w:bCs/>
        </w:rPr>
        <w:t>局</w:t>
      </w:r>
      <w:r>
        <w:rPr>
          <w:rFonts w:hint="eastAsia"/>
          <w:b/>
          <w:bCs/>
          <w:lang w:val="en-US" w:eastAsia="zh-CN"/>
        </w:rPr>
        <w:t xml:space="preserve"> </w:t>
      </w:r>
      <w:r>
        <w:rPr>
          <w:rFonts w:hint="eastAsia"/>
          <w:b/>
          <w:bCs/>
        </w:rPr>
        <w:t>长：</w:t>
      </w:r>
      <w:r>
        <w:rPr>
          <w:rFonts w:hint="eastAsia"/>
        </w:rPr>
        <w:t>何金生</w:t>
      </w:r>
      <w:r>
        <w:rPr>
          <w:rFonts w:hint="eastAsia"/>
          <w:lang w:val="en-US" w:eastAsia="zh-CN"/>
        </w:rPr>
        <w:t xml:space="preserve">   </w:t>
      </w:r>
      <w:r>
        <w:rPr>
          <w:rFonts w:hint="eastAsia"/>
        </w:rPr>
        <w:t>刘伟凡</w:t>
      </w:r>
      <w:r>
        <w:rPr>
          <w:rFonts w:hint="eastAsia"/>
          <w:lang w:val="en-US" w:eastAsia="zh-CN"/>
        </w:rPr>
        <w:t xml:space="preserve">   </w:t>
      </w:r>
      <w:r>
        <w:rPr>
          <w:rFonts w:hint="eastAsia"/>
        </w:rPr>
        <w:t>阳良芯（任至</w:t>
      </w:r>
      <w:r>
        <w:t>8月）</w:t>
      </w:r>
    </w:p>
    <w:p w14:paraId="2027DF0F">
      <w:pPr>
        <w:pStyle w:val="10"/>
        <w:bidi w:val="0"/>
        <w:rPr>
          <w:rFonts w:hint="eastAsia"/>
        </w:rPr>
      </w:pPr>
      <w:r>
        <w:rPr>
          <w:rFonts w:hint="eastAsia"/>
          <w:b/>
          <w:bCs/>
        </w:rPr>
        <w:t>工会主席：</w:t>
      </w:r>
      <w:r>
        <w:rPr>
          <w:rFonts w:hint="eastAsia"/>
        </w:rPr>
        <w:t>董圣水</w:t>
      </w:r>
    </w:p>
    <w:p w14:paraId="2608F666">
      <w:pPr>
        <w:pStyle w:val="10"/>
        <w:bidi w:val="0"/>
        <w:rPr>
          <w:rFonts w:hint="eastAsia"/>
        </w:rPr>
      </w:pPr>
      <w:r>
        <w:rPr>
          <w:rFonts w:hint="eastAsia"/>
          <w:b/>
          <w:bCs/>
        </w:rPr>
        <w:t>纪检组长：</w:t>
      </w:r>
      <w:r>
        <w:rPr>
          <w:rFonts w:hint="eastAsia"/>
        </w:rPr>
        <w:t>龚甫团</w:t>
      </w:r>
    </w:p>
    <w:p w14:paraId="4EB69BA3">
      <w:pPr>
        <w:pStyle w:val="3"/>
        <w:bidi w:val="0"/>
        <w:rPr>
          <w:rFonts w:hint="default"/>
          <w:lang w:val="en-US" w:eastAsia="zh-CN"/>
        </w:rPr>
      </w:pPr>
      <w:r>
        <w:rPr>
          <w:rFonts w:hint="eastAsia"/>
          <w:lang w:val="en-US" w:eastAsia="zh-CN"/>
        </w:rPr>
        <w:t>气象</w:t>
      </w:r>
    </w:p>
    <w:p w14:paraId="430DA019">
      <w:pPr>
        <w:pStyle w:val="4"/>
        <w:bidi w:val="0"/>
        <w:rPr>
          <w:rFonts w:hint="eastAsia"/>
        </w:rPr>
      </w:pPr>
      <w:r>
        <w:rPr>
          <w:rFonts w:hint="eastAsia"/>
        </w:rPr>
        <w:t>【概况】</w:t>
      </w:r>
    </w:p>
    <w:p w14:paraId="0F0E5690">
      <w:pPr>
        <w:rPr>
          <w:rFonts w:hint="eastAsia"/>
          <w:lang w:eastAsia="zh-CN"/>
        </w:rPr>
      </w:pPr>
      <w:r>
        <w:t>2013年平均气温20.2℃，比历年平均偏高0.3℃，最高气温38.9℃，最低气温-2.1℃，年降雨</w:t>
      </w:r>
      <w:r>
        <w:rPr>
          <w:rFonts w:hint="eastAsia"/>
        </w:rPr>
        <w:t>量</w:t>
      </w:r>
      <w:r>
        <w:t>1358.8mm，比历年偏少139.3mm，年日照时数1716.6小时，比历年偏多94.1小时。5月18日，受西</w:t>
      </w:r>
      <w:r>
        <w:rPr>
          <w:rFonts w:hint="eastAsia"/>
        </w:rPr>
        <w:t>南暖湿气流和高空槽及弱冷空气的共同影响，南雄市局部地区出现冰雹、雷</w:t>
      </w:r>
      <w:r>
        <w:rPr>
          <w:rFonts w:hint="eastAsia"/>
          <w:lang w:eastAsia="zh-CN"/>
        </w:rPr>
        <w:t>雨</w:t>
      </w:r>
      <w:r>
        <w:rPr>
          <w:rFonts w:hint="eastAsia"/>
        </w:rPr>
        <w:t>大风等强对流天气，冰雹直径</w:t>
      </w:r>
      <w:r>
        <w:t>20毫米至30毫米，降冰雹时间持续3分钟，此次</w:t>
      </w:r>
      <w:r>
        <w:rPr>
          <w:rFonts w:hint="eastAsia"/>
        </w:rPr>
        <w:t>过程导致</w:t>
      </w:r>
      <w:r>
        <w:t>512人受灾，农作物损失8100亩，房屋倒塌51间，渠道塌方决口36处。8月16日至17日，受台</w:t>
      </w:r>
      <w:r>
        <w:rPr>
          <w:rFonts w:hint="eastAsia"/>
        </w:rPr>
        <w:t>风“尤特”影响，各地普降暴雨、局部大暴雨，导致农房倒塌</w:t>
      </w:r>
      <w:r>
        <w:t>24间，受灾人口806人，直接经济损失605</w:t>
      </w:r>
      <w:r>
        <w:rPr>
          <w:rFonts w:hint="eastAsia"/>
        </w:rPr>
        <w:t>万元</w:t>
      </w:r>
      <w:r>
        <w:rPr>
          <w:rFonts w:hint="eastAsia"/>
          <w:lang w:eastAsia="zh-CN"/>
        </w:rPr>
        <w:t>。</w:t>
      </w:r>
    </w:p>
    <w:p w14:paraId="6854A719">
      <w:pPr>
        <w:pStyle w:val="4"/>
        <w:bidi w:val="0"/>
        <w:rPr>
          <w:rFonts w:hint="eastAsia"/>
        </w:rPr>
      </w:pPr>
      <w:r>
        <w:rPr>
          <w:rFonts w:hint="eastAsia"/>
        </w:rPr>
        <w:t>【气象设施建设】</w:t>
      </w:r>
    </w:p>
    <w:p w14:paraId="4D222C8F">
      <w:r>
        <w:t>2013年1月1日，古市新探测基</w:t>
      </w:r>
      <w:r>
        <w:rPr>
          <w:rFonts w:hint="eastAsia"/>
        </w:rPr>
        <w:t>地顺利进行业务切换，投入正式运行，完成新址气象探测环境的勘察和评估工作；在广东省气象局仪器装备中心的协助下，安装新型气象自动站；风廓线雷达经中国气象局、广东省气象局相关职能部门验收合格</w:t>
      </w:r>
      <w:r>
        <w:t>7月25日，南雄市政府刘清生市长主持召开南雄市气</w:t>
      </w:r>
      <w:r>
        <w:rPr>
          <w:rFonts w:hint="eastAsia"/>
        </w:rPr>
        <w:t>象现代化工作推进座谈会，韶关市气象局李国毅副局长及市局有关科室负责人出席，南雄市机构编制委员会批复成立南雄市气象服务中心，加挂南雄市防雷减灾管理中心、南雄市突发事件预警信息发布中心、南雄市人工影响天气管理中心</w:t>
      </w:r>
      <w:r>
        <w:t>3块牌子。</w:t>
      </w:r>
    </w:p>
    <w:p w14:paraId="55F7EA1F">
      <w:pPr>
        <w:pStyle w:val="4"/>
        <w:bidi w:val="0"/>
        <w:rPr>
          <w:rFonts w:hint="eastAsia"/>
        </w:rPr>
      </w:pPr>
      <w:r>
        <w:rPr>
          <w:rFonts w:hint="eastAsia"/>
        </w:rPr>
        <w:t>【依法行政】</w:t>
      </w:r>
    </w:p>
    <w:p w14:paraId="7CE3FD6F">
      <w:pPr>
        <w:rPr>
          <w:rFonts w:hint="eastAsia"/>
        </w:rPr>
      </w:pPr>
      <w:r>
        <w:rPr>
          <w:rFonts w:hint="eastAsia"/>
        </w:rPr>
        <w:t>落实行政执法责任制，规范气象行政许可和行政审批工作。落实防雷定期检测制度，</w:t>
      </w:r>
      <w:r>
        <w:t>2013</w:t>
      </w:r>
      <w:r>
        <w:rPr>
          <w:rFonts w:hint="eastAsia"/>
        </w:rPr>
        <w:t>年完成防雷检测验收</w:t>
      </w:r>
      <w:r>
        <w:t>216栋，报建4</w:t>
      </w:r>
      <w:r>
        <w:rPr>
          <w:rFonts w:hint="eastAsia"/>
          <w:lang w:eastAsia="zh-CN"/>
        </w:rPr>
        <w:t>9</w:t>
      </w:r>
      <w:r>
        <w:t>宗（95栋），雷</w:t>
      </w:r>
      <w:r>
        <w:rPr>
          <w:rFonts w:hint="eastAsia"/>
        </w:rPr>
        <w:t>击风险评估</w:t>
      </w:r>
      <w:r>
        <w:t>4宗，探测环境保护得到落实；为南雄市</w:t>
      </w:r>
      <w:r>
        <w:rPr>
          <w:rFonts w:hint="eastAsia"/>
        </w:rPr>
        <w:t>精细化工园区建设做好防雷安全工作。</w:t>
      </w:r>
      <w:r>
        <w:t>5月25日，在</w:t>
      </w:r>
      <w:r>
        <w:rPr>
          <w:rFonts w:hint="eastAsia"/>
        </w:rPr>
        <w:t>古市作业点开展人影防雹作业，发射火箭弹</w:t>
      </w:r>
      <w:r>
        <w:t>16枚，经</w:t>
      </w:r>
      <w:r>
        <w:rPr>
          <w:rFonts w:hint="eastAsia"/>
        </w:rPr>
        <w:t>济与社会效益明显。</w:t>
      </w:r>
    </w:p>
    <w:p w14:paraId="4203E7D4">
      <w:pPr>
        <w:pStyle w:val="4"/>
        <w:bidi w:val="0"/>
        <w:rPr>
          <w:rFonts w:hint="eastAsia"/>
        </w:rPr>
      </w:pPr>
      <w:r>
        <w:rPr>
          <w:rFonts w:hint="eastAsia"/>
        </w:rPr>
        <w:t>【精神文明建设】</w:t>
      </w:r>
    </w:p>
    <w:p w14:paraId="4413AE67">
      <w:r>
        <w:rPr>
          <w:rFonts w:hint="eastAsia"/>
        </w:rPr>
        <w:t>按照市委部署，开展党的十八大精神的学习，开展“面向基层、整顿作风、服务群众”主题实践活动。南雄市气象局被南雄市委、市政府评为扶贫双到工作“优秀单位”，李时林被评为韶关市“先进个人”。</w:t>
      </w:r>
      <w:r>
        <w:t>11月26日，经韶关市气象局研</w:t>
      </w:r>
      <w:r>
        <w:rPr>
          <w:rFonts w:hint="eastAsia"/>
        </w:rPr>
        <w:t>究，决定成立中共南雄市气象局党组及中共南雄市气象局党组纪检组，朱祖明任党组书记，吴在全任党组成员，吴达鸿任纪检组副组长。为扶贫济困日捐款</w:t>
      </w:r>
      <w:r>
        <w:t>5900元，党员互助金捐款750元。发表技术论文5篇、</w:t>
      </w:r>
      <w:r>
        <w:rPr>
          <w:rFonts w:hint="eastAsia"/>
        </w:rPr>
        <w:t>通讯稿件</w:t>
      </w:r>
      <w:r>
        <w:t>10篇。</w:t>
      </w:r>
    </w:p>
    <w:p w14:paraId="7F86FB89">
      <w:pPr>
        <w:jc w:val="right"/>
        <w:rPr>
          <w:rFonts w:hint="eastAsia"/>
          <w:b/>
          <w:bCs/>
        </w:rPr>
      </w:pPr>
      <w:r>
        <w:rPr>
          <w:rFonts w:hint="eastAsia"/>
          <w:b/>
          <w:bCs/>
        </w:rPr>
        <w:t>（吴达鸿）</w:t>
      </w:r>
    </w:p>
    <w:p w14:paraId="7F7D7100">
      <w:pPr>
        <w:pStyle w:val="10"/>
        <w:bidi w:val="0"/>
        <w:rPr>
          <w:b/>
          <w:bCs/>
        </w:rPr>
      </w:pPr>
      <w:r>
        <w:rPr>
          <w:rFonts w:hint="eastAsia"/>
          <w:b/>
          <w:bCs/>
        </w:rPr>
        <w:t>附：</w:t>
      </w:r>
      <w:r>
        <w:rPr>
          <w:b/>
          <w:bCs/>
        </w:rPr>
        <w:t>2013年市气象局领导班子成员名单</w:t>
      </w:r>
    </w:p>
    <w:p w14:paraId="0B1ACE6F">
      <w:pPr>
        <w:pStyle w:val="10"/>
        <w:bidi w:val="0"/>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朱祖明</w:t>
      </w:r>
    </w:p>
    <w:p w14:paraId="22819E06">
      <w:pPr>
        <w:pStyle w:val="10"/>
        <w:bidi w:val="0"/>
        <w:rPr>
          <w:rFonts w:hint="eastAsia"/>
        </w:rPr>
      </w:pPr>
      <w:r>
        <w:rPr>
          <w:rFonts w:hint="eastAsia"/>
          <w:b/>
          <w:bCs/>
        </w:rPr>
        <w:t>副局长：</w:t>
      </w:r>
      <w:r>
        <w:rPr>
          <w:rFonts w:hint="eastAsia"/>
        </w:rPr>
        <w:t>吴在全</w:t>
      </w:r>
      <w:r>
        <w:rPr>
          <w:rFonts w:hint="eastAsia"/>
          <w:lang w:val="en-US" w:eastAsia="zh-CN"/>
        </w:rPr>
        <w:t xml:space="preserve">   </w:t>
      </w:r>
      <w:r>
        <w:rPr>
          <w:rFonts w:hint="eastAsia"/>
        </w:rPr>
        <w:t>李胜利</w:t>
      </w:r>
    </w:p>
    <w:p w14:paraId="06E73829">
      <w:pPr>
        <w:pStyle w:val="3"/>
        <w:bidi w:val="0"/>
        <w:rPr>
          <w:rFonts w:hint="default"/>
          <w:lang w:val="en-US" w:eastAsia="zh-CN"/>
        </w:rPr>
      </w:pPr>
      <w:r>
        <w:rPr>
          <w:rFonts w:hint="eastAsia"/>
          <w:lang w:val="en-US" w:eastAsia="zh-CN"/>
        </w:rPr>
        <w:t>水保保持</w:t>
      </w:r>
    </w:p>
    <w:p w14:paraId="188EF59D">
      <w:pPr>
        <w:pStyle w:val="4"/>
        <w:bidi w:val="0"/>
        <w:rPr>
          <w:rFonts w:hint="eastAsia"/>
        </w:rPr>
      </w:pPr>
      <w:r>
        <w:rPr>
          <w:rFonts w:hint="eastAsia"/>
        </w:rPr>
        <w:t>【概况】</w:t>
      </w:r>
    </w:p>
    <w:p w14:paraId="1814DF23">
      <w:pPr>
        <w:rPr>
          <w:rFonts w:hint="eastAsia"/>
        </w:rPr>
      </w:pPr>
      <w:r>
        <w:rPr>
          <w:rFonts w:hint="eastAsia"/>
        </w:rPr>
        <w:t>南雄市水土保持委员会办公室（简称：南雄市水保办），是经南雄县人民政府雄府发</w:t>
      </w:r>
      <w:r>
        <w:t>[1984]46</w:t>
      </w:r>
      <w:r>
        <w:rPr>
          <w:rFonts w:hint="eastAsia"/>
        </w:rPr>
        <w:t>号文批准成立的县政府直属正科级单位。</w:t>
      </w:r>
      <w:r>
        <w:t>2001年县级</w:t>
      </w:r>
      <w:r>
        <w:rPr>
          <w:rFonts w:hint="eastAsia"/>
        </w:rPr>
        <w:t>机构改革根据雄发</w:t>
      </w:r>
      <w:r>
        <w:t>[200</w:t>
      </w:r>
      <w:r>
        <w:rPr>
          <w:rFonts w:hint="eastAsia"/>
          <w:lang w:val="en-US" w:eastAsia="zh-CN"/>
        </w:rPr>
        <w:t>1</w:t>
      </w:r>
      <w:r>
        <w:t>]25号文件确定为市政府直</w:t>
      </w:r>
      <w:r>
        <w:rPr>
          <w:rFonts w:hint="eastAsia"/>
        </w:rPr>
        <w:t>属参照公务员管理的正科级单位。雄市机编</w:t>
      </w:r>
      <w:r>
        <w:t>[200</w:t>
      </w:r>
      <w:r>
        <w:rPr>
          <w:rFonts w:hint="eastAsia"/>
          <w:lang w:val="en-US" w:eastAsia="zh-CN"/>
        </w:rPr>
        <w:t>2]</w:t>
      </w:r>
      <w:r>
        <w:t>157号文件核定水保办编制16名，其中事业编制15</w:t>
      </w:r>
      <w:r>
        <w:rPr>
          <w:rFonts w:hint="eastAsia"/>
        </w:rPr>
        <w:t>名，工勤编制</w:t>
      </w:r>
      <w:r>
        <w:t>1名，现有人员18名。内设机构有：人</w:t>
      </w:r>
      <w:r>
        <w:rPr>
          <w:rFonts w:hint="eastAsia"/>
        </w:rPr>
        <w:t>保财会股、水土保持方案审批股、生产技术股、执法监督股、水土保持设施验收股。主要职能：</w:t>
      </w:r>
      <w:r>
        <w:t>1、宣传执</w:t>
      </w:r>
      <w:r>
        <w:rPr>
          <w:rFonts w:hint="eastAsia"/>
        </w:rPr>
        <w:t>行《中华人民共和国水土保持法》及其法律法规；</w:t>
      </w:r>
      <w:r>
        <w:t>2、</w:t>
      </w:r>
      <w:r>
        <w:rPr>
          <w:rFonts w:hint="eastAsia"/>
        </w:rPr>
        <w:t>做好水保工作的规划；</w:t>
      </w:r>
      <w:r>
        <w:t>3、负责全市的水土保持预防</w:t>
      </w:r>
      <w:r>
        <w:rPr>
          <w:rFonts w:hint="eastAsia"/>
          <w:lang w:eastAsia="zh-CN"/>
        </w:rPr>
        <w:t>、</w:t>
      </w:r>
      <w:r>
        <w:rPr>
          <w:rFonts w:hint="eastAsia"/>
        </w:rPr>
        <w:t>监督、执法等行政管理工作；依法征收水土保持补偿费并监督管理使用，</w:t>
      </w:r>
      <w:r>
        <w:rPr>
          <w:rFonts w:hint="eastAsia"/>
          <w:lang w:eastAsia="zh-CN"/>
        </w:rPr>
        <w:t>查</w:t>
      </w:r>
      <w:r>
        <w:rPr>
          <w:rFonts w:hint="eastAsia"/>
        </w:rPr>
        <w:t>处水</w:t>
      </w:r>
      <w:r>
        <w:rPr>
          <w:rFonts w:hint="eastAsia"/>
          <w:lang w:val="en-US" w:eastAsia="zh-CN"/>
        </w:rPr>
        <w:t>土</w:t>
      </w:r>
      <w:r>
        <w:rPr>
          <w:rFonts w:hint="eastAsia"/>
        </w:rPr>
        <w:t>流失案件；</w:t>
      </w:r>
      <w:r>
        <w:t>4、依法依规</w:t>
      </w:r>
      <w:r>
        <w:rPr>
          <w:rFonts w:hint="eastAsia"/>
        </w:rPr>
        <w:t>对开发建设项目的水土保持方案进行审批，负责检</w:t>
      </w:r>
      <w:r>
        <w:rPr>
          <w:rFonts w:hint="eastAsia"/>
          <w:lang w:eastAsia="zh-CN"/>
        </w:rPr>
        <w:t>查</w:t>
      </w:r>
      <w:r>
        <w:rPr>
          <w:rFonts w:hint="eastAsia"/>
        </w:rPr>
        <w:t>验收开发建设项目水土保持设施；</w:t>
      </w:r>
      <w:r>
        <w:t>5、负责治理水土流</w:t>
      </w:r>
      <w:r>
        <w:rPr>
          <w:rFonts w:hint="eastAsia"/>
        </w:rPr>
        <w:t>失工作并对全市水土流失进行动态监测；</w:t>
      </w:r>
      <w:r>
        <w:t>6、完成上级</w:t>
      </w:r>
      <w:r>
        <w:rPr>
          <w:rFonts w:hint="eastAsia"/>
        </w:rPr>
        <w:t>业务部门和市委、市政府交办的其他工作。下属事业单位有：南雄市水土保持执法监督站（副科级）、南雄市水土保持站（股级）、南雄市水土保持监测站（股级）。</w:t>
      </w:r>
    </w:p>
    <w:p w14:paraId="2E1ECA98">
      <w:pPr>
        <w:pStyle w:val="4"/>
        <w:bidi w:val="0"/>
        <w:rPr>
          <w:rFonts w:hint="eastAsia"/>
        </w:rPr>
      </w:pPr>
      <w:r>
        <w:rPr>
          <w:rFonts w:hint="eastAsia"/>
        </w:rPr>
        <w:t>【人员变动】</w:t>
      </w:r>
    </w:p>
    <w:p w14:paraId="72FBF07D">
      <w:pPr>
        <w:rPr>
          <w:rFonts w:hint="eastAsia" w:eastAsia="宋体"/>
          <w:lang w:eastAsia="zh-CN"/>
        </w:rPr>
      </w:pPr>
      <w:r>
        <w:t>6月26日，根据国家有关法律法规定</w:t>
      </w:r>
      <w:r>
        <w:rPr>
          <w:rFonts w:hint="eastAsia"/>
        </w:rPr>
        <w:t>以及《中共南雄市委办公室、南雄市人民政府办公室印发〈关于清理整顿机关事业单位工作人员离岗吃空饷等问题的实施方案〉的通知》，雄人社干〔</w:t>
      </w:r>
      <w:r>
        <w:t>2013〕5</w:t>
      </w:r>
      <w:r>
        <w:rPr>
          <w:rFonts w:hint="eastAsia"/>
        </w:rPr>
        <w:t>号文给予长期离岗的水保办刘宏立同志自动辞职处理</w:t>
      </w:r>
      <w:r>
        <w:rPr>
          <w:rFonts w:hint="eastAsia"/>
          <w:lang w:eastAsia="zh-CN"/>
        </w:rPr>
        <w:t>。</w:t>
      </w:r>
    </w:p>
    <w:p w14:paraId="21A7FDE7">
      <w:pPr>
        <w:pStyle w:val="4"/>
        <w:bidi w:val="0"/>
        <w:rPr>
          <w:rFonts w:hint="eastAsia"/>
        </w:rPr>
      </w:pPr>
      <w:r>
        <w:rPr>
          <w:rFonts w:hint="eastAsia"/>
        </w:rPr>
        <w:t>【法律宣传】</w:t>
      </w:r>
    </w:p>
    <w:p w14:paraId="730C08B8">
      <w:pPr>
        <w:rPr>
          <w:rFonts w:hint="eastAsia"/>
        </w:rPr>
      </w:pPr>
      <w:r>
        <w:t>3月21日至25日，为纪念21届“世</w:t>
      </w:r>
      <w:r>
        <w:rPr>
          <w:rFonts w:hint="eastAsia"/>
        </w:rPr>
        <w:t>界水日”、</w:t>
      </w:r>
      <w:r>
        <w:t>26届“中国水周”和新《水土保持法》实</w:t>
      </w:r>
      <w:r>
        <w:rPr>
          <w:rFonts w:hint="eastAsia"/>
        </w:rPr>
        <w:t>施</w:t>
      </w:r>
      <w:r>
        <w:t>2周年，大力宣传《水土保持法》及水土资源相关</w:t>
      </w:r>
      <w:r>
        <w:rPr>
          <w:rFonts w:hint="eastAsia"/>
        </w:rPr>
        <w:t>法规，出动宣传车</w:t>
      </w:r>
      <w:r>
        <w:t>10车次，张贴、发放《水土保持</w:t>
      </w:r>
      <w:r>
        <w:rPr>
          <w:rFonts w:hint="eastAsia"/>
        </w:rPr>
        <w:t>法》图解共</w:t>
      </w:r>
      <w:r>
        <w:t>235套，深入南雄市第一中学和墟镇、工</w:t>
      </w:r>
      <w:r>
        <w:rPr>
          <w:rFonts w:hint="eastAsia"/>
        </w:rPr>
        <w:t>矿企业、开发建设工地、房地产、工业园等地开展《水土保持法》法律法规宣传、咨询活动。</w:t>
      </w:r>
    </w:p>
    <w:p w14:paraId="6F9E2AF4">
      <w:pPr>
        <w:pStyle w:val="4"/>
        <w:bidi w:val="0"/>
        <w:rPr>
          <w:rFonts w:hint="eastAsia"/>
        </w:rPr>
      </w:pPr>
      <w:r>
        <w:rPr>
          <w:rFonts w:hint="eastAsia"/>
        </w:rPr>
        <w:t>【执法监督】</w:t>
      </w:r>
    </w:p>
    <w:p w14:paraId="09E3C92A">
      <w:r>
        <w:t>1、9月12日，在省水利厅副厅长王春</w:t>
      </w:r>
      <w:r>
        <w:rPr>
          <w:rFonts w:hint="eastAsia"/>
        </w:rPr>
        <w:t>海同志带领下，省水利厅水政监察局、北江分局，韶关水务局联合对南雄二期工业园及大润发等开发建设项目进行了检</w:t>
      </w:r>
      <w:r>
        <w:rPr>
          <w:rFonts w:hint="eastAsia"/>
          <w:lang w:eastAsia="zh-CN"/>
        </w:rPr>
        <w:t>查</w:t>
      </w:r>
      <w:r>
        <w:rPr>
          <w:rFonts w:hint="eastAsia"/>
        </w:rPr>
        <w:t>，韶关市政府副秘书长沈河民、南雄市副市长罗战勇陪同检</w:t>
      </w:r>
      <w:r>
        <w:rPr>
          <w:rFonts w:hint="eastAsia"/>
          <w:lang w:eastAsia="zh-CN"/>
        </w:rPr>
        <w:t>查</w:t>
      </w:r>
      <w:r>
        <w:rPr>
          <w:rFonts w:hint="eastAsia"/>
        </w:rPr>
        <w:t>。</w:t>
      </w:r>
      <w:r>
        <w:t>2、根据群众举报和水保执</w:t>
      </w:r>
      <w:r>
        <w:rPr>
          <w:rFonts w:hint="eastAsia"/>
        </w:rPr>
        <w:t>法人员的巡视，</w:t>
      </w:r>
      <w:r>
        <w:t>2013年处理了湖口镇湖口村社官下及</w:t>
      </w:r>
      <w:r>
        <w:rPr>
          <w:rFonts w:hint="eastAsia"/>
        </w:rPr>
        <w:t>湖口镇新迳村村民张某水土保持违法案件</w:t>
      </w:r>
      <w:r>
        <w:t>2宗，水保</w:t>
      </w:r>
      <w:r>
        <w:rPr>
          <w:rFonts w:hint="eastAsia"/>
        </w:rPr>
        <w:t>执法监督检</w:t>
      </w:r>
      <w:r>
        <w:rPr>
          <w:rFonts w:hint="eastAsia"/>
          <w:lang w:eastAsia="zh-CN"/>
        </w:rPr>
        <w:t>查</w:t>
      </w:r>
      <w:r>
        <w:rPr>
          <w:rFonts w:hint="eastAsia"/>
        </w:rPr>
        <w:t>生产建设项目</w:t>
      </w:r>
      <w:r>
        <w:t>32个，监督开发建设单位</w:t>
      </w:r>
      <w:r>
        <w:rPr>
          <w:rFonts w:hint="eastAsia"/>
        </w:rPr>
        <w:t>投入</w:t>
      </w:r>
      <w:r>
        <w:t>8000万元，依法征收水土保持补偿费40万元。</w:t>
      </w:r>
      <w:r>
        <w:rPr>
          <w:rFonts w:hint="eastAsia"/>
        </w:rPr>
        <w:t>由于南雄的水保执法工作规范、严谨，受到省水利厅的</w:t>
      </w:r>
      <w:r>
        <w:rPr>
          <w:rFonts w:hint="eastAsia"/>
          <w:lang w:eastAsia="zh-CN"/>
        </w:rPr>
        <w:t>高</w:t>
      </w:r>
      <w:r>
        <w:rPr>
          <w:rFonts w:hint="eastAsia"/>
        </w:rPr>
        <w:t>度评价和肯定，因此向水保办赠送执法车</w:t>
      </w:r>
      <w:r>
        <w:t>1台。</w:t>
      </w:r>
    </w:p>
    <w:p w14:paraId="72FF017D">
      <w:pPr>
        <w:pStyle w:val="4"/>
        <w:bidi w:val="0"/>
        <w:rPr>
          <w:rFonts w:hint="eastAsia"/>
        </w:rPr>
      </w:pPr>
      <w:r>
        <w:rPr>
          <w:rFonts w:hint="eastAsia"/>
        </w:rPr>
        <w:t>【水保方案审批】</w:t>
      </w:r>
    </w:p>
    <w:p w14:paraId="74088BE6">
      <w:r>
        <w:rPr>
          <w:rFonts w:hint="eastAsia"/>
        </w:rPr>
        <w:t>根据《水土保持法》等有关规定，</w:t>
      </w:r>
      <w:r>
        <w:t>2013年审批开发建设项目水土保持方案报告书8宗。</w:t>
      </w:r>
    </w:p>
    <w:p w14:paraId="4675D492">
      <w:pPr>
        <w:pStyle w:val="4"/>
        <w:bidi w:val="0"/>
        <w:rPr>
          <w:rFonts w:hint="eastAsia"/>
        </w:rPr>
      </w:pPr>
      <w:r>
        <w:rPr>
          <w:rFonts w:hint="eastAsia"/>
        </w:rPr>
        <w:t>【扶贫济困】</w:t>
      </w:r>
    </w:p>
    <w:p w14:paraId="51CF6A24">
      <w:r>
        <w:t>1、2月4日，水保办干部由主管扶贫</w:t>
      </w:r>
      <w:r>
        <w:rPr>
          <w:rFonts w:hint="eastAsia"/>
        </w:rPr>
        <w:t>工作领导带领，到扶贫挂点村湖口镇新迳村慰问贫困户，送上慰问品和慰问金</w:t>
      </w:r>
      <w:r>
        <w:t>3500元。2、6月21日</w:t>
      </w:r>
      <w:r>
        <w:rPr>
          <w:rFonts w:hint="eastAsia" w:ascii="宋体" w:hAnsi="宋体" w:cs="宋体"/>
        </w:rPr>
        <w:t>“</w:t>
      </w:r>
      <w:r>
        <w:t>扶</w:t>
      </w:r>
      <w:r>
        <w:rPr>
          <w:rFonts w:hint="eastAsia"/>
        </w:rPr>
        <w:t>贫济困日”，水保办单位和个人共捐款</w:t>
      </w:r>
      <w:r>
        <w:t>9400元。3、9</w:t>
      </w:r>
      <w:r>
        <w:rPr>
          <w:rFonts w:hint="eastAsia"/>
        </w:rPr>
        <w:t>月</w:t>
      </w:r>
      <w:r>
        <w:t>10日教师节期间水保办到江头中学、南雄市第一小</w:t>
      </w:r>
      <w:r>
        <w:rPr>
          <w:rFonts w:hint="eastAsia"/>
        </w:rPr>
        <w:t>学进行慰问，送上慰问金各</w:t>
      </w:r>
      <w:r>
        <w:t>4000、1000元。4、11月25日，水保办全体干部职工到水口镇大部村开展</w:t>
      </w:r>
      <w:r>
        <w:rPr>
          <w:rFonts w:hint="eastAsia"/>
          <w:lang w:eastAsia="zh-CN"/>
        </w:rPr>
        <w:t>“</w:t>
      </w:r>
      <w:r>
        <w:rPr>
          <w:rFonts w:hint="eastAsia"/>
          <w:lang w:val="en-US" w:eastAsia="zh-CN"/>
        </w:rPr>
        <w:t>一</w:t>
      </w:r>
      <w:r>
        <w:rPr>
          <w:rFonts w:hint="eastAsia"/>
        </w:rPr>
        <w:t>对</w:t>
      </w:r>
      <w:r>
        <w:rPr>
          <w:rFonts w:hint="eastAsia"/>
          <w:lang w:val="en-US" w:eastAsia="zh-CN"/>
        </w:rPr>
        <w:t>一</w:t>
      </w:r>
      <w:r>
        <w:rPr>
          <w:rFonts w:hint="eastAsia"/>
        </w:rPr>
        <w:t>”帮扶活动，送上帮扶资金</w:t>
      </w:r>
      <w:r>
        <w:t>3000元。5、水保办</w:t>
      </w:r>
      <w:r>
        <w:rPr>
          <w:rFonts w:hint="eastAsia"/>
        </w:rPr>
        <w:t>为</w:t>
      </w:r>
      <w:r>
        <w:t>2名特困党员向市委组织部申请补助金各2000元。</w:t>
      </w:r>
    </w:p>
    <w:p w14:paraId="4975C59D">
      <w:pPr>
        <w:pStyle w:val="4"/>
        <w:bidi w:val="0"/>
        <w:rPr>
          <w:rFonts w:hint="eastAsia"/>
        </w:rPr>
      </w:pPr>
      <w:r>
        <w:rPr>
          <w:rFonts w:hint="eastAsia"/>
        </w:rPr>
        <w:t>【水土流失监测】</w:t>
      </w:r>
    </w:p>
    <w:p w14:paraId="716F98B6">
      <w:pPr>
        <w:rPr>
          <w:rFonts w:hint="eastAsia"/>
        </w:rPr>
      </w:pPr>
      <w:r>
        <w:t>2013年南雄坡面径流观测场正常</w:t>
      </w:r>
      <w:r>
        <w:rPr>
          <w:rFonts w:hint="eastAsia"/>
        </w:rPr>
        <w:t>运行，一年来共向省监测总站、珠委监测总站上报</w:t>
      </w:r>
      <w:r>
        <w:t>30</w:t>
      </w:r>
      <w:r>
        <w:rPr>
          <w:rFonts w:hint="eastAsia"/>
        </w:rPr>
        <w:t>次数据，完成全年任务。</w:t>
      </w:r>
    </w:p>
    <w:p w14:paraId="1F14E11C">
      <w:pPr>
        <w:jc w:val="right"/>
        <w:rPr>
          <w:rFonts w:hint="eastAsia"/>
          <w:b/>
          <w:bCs/>
        </w:rPr>
      </w:pPr>
      <w:r>
        <w:rPr>
          <w:rFonts w:hint="eastAsia"/>
          <w:b/>
          <w:bCs/>
        </w:rPr>
        <w:t>（吴志前）</w:t>
      </w:r>
    </w:p>
    <w:p w14:paraId="2ED87144">
      <w:pPr>
        <w:pStyle w:val="10"/>
        <w:bidi w:val="0"/>
        <w:rPr>
          <w:b/>
          <w:bCs/>
        </w:rPr>
      </w:pPr>
      <w:r>
        <w:rPr>
          <w:rFonts w:hint="eastAsia"/>
          <w:b/>
          <w:bCs/>
        </w:rPr>
        <w:t>附：</w:t>
      </w:r>
      <w:r>
        <w:rPr>
          <w:b/>
          <w:bCs/>
        </w:rPr>
        <w:t>2013年市水保办领导班子成员名单</w:t>
      </w:r>
    </w:p>
    <w:p w14:paraId="57ECC9E2">
      <w:pPr>
        <w:pStyle w:val="10"/>
        <w:bidi w:val="0"/>
        <w:rPr>
          <w:rFonts w:hint="eastAsia"/>
        </w:rPr>
      </w:pPr>
      <w:r>
        <w:rPr>
          <w:rFonts w:hint="eastAsia"/>
          <w:b/>
          <w:bCs/>
        </w:rPr>
        <w:t>主</w:t>
      </w:r>
      <w:r>
        <w:rPr>
          <w:rFonts w:hint="eastAsia"/>
          <w:b/>
          <w:bCs/>
          <w:lang w:val="en-US" w:eastAsia="zh-CN"/>
        </w:rPr>
        <w:t xml:space="preserve">  </w:t>
      </w:r>
      <w:r>
        <w:rPr>
          <w:rFonts w:hint="eastAsia"/>
          <w:b/>
          <w:bCs/>
        </w:rPr>
        <w:t>任：</w:t>
      </w:r>
      <w:r>
        <w:rPr>
          <w:rFonts w:hint="eastAsia"/>
        </w:rPr>
        <w:t>肖清志</w:t>
      </w:r>
    </w:p>
    <w:p w14:paraId="2DCF83EA">
      <w:pPr>
        <w:pStyle w:val="10"/>
        <w:bidi w:val="0"/>
        <w:rPr>
          <w:rFonts w:hint="eastAsia"/>
        </w:rPr>
      </w:pPr>
      <w:r>
        <w:rPr>
          <w:rFonts w:hint="eastAsia"/>
          <w:b/>
          <w:bCs/>
        </w:rPr>
        <w:t>副主任：</w:t>
      </w:r>
      <w:r>
        <w:rPr>
          <w:rFonts w:hint="eastAsia"/>
        </w:rPr>
        <w:t>张振刚</w:t>
      </w:r>
    </w:p>
    <w:p w14:paraId="0E02973D">
      <w:pPr>
        <w:ind w:leftChars="200"/>
        <w:rPr>
          <w:rFonts w:hint="eastAsia"/>
        </w:rPr>
      </w:pPr>
      <w:r>
        <w:rPr>
          <w:rFonts w:hint="eastAsia"/>
        </w:rPr>
        <w:t>林运明</w:t>
      </w:r>
    </w:p>
    <w:p w14:paraId="52AD2E3B">
      <w:pPr>
        <w:pStyle w:val="3"/>
        <w:bidi w:val="0"/>
        <w:rPr>
          <w:rFonts w:hint="default"/>
          <w:lang w:val="en-US" w:eastAsia="zh-CN"/>
        </w:rPr>
      </w:pPr>
      <w:r>
        <w:rPr>
          <w:rFonts w:hint="eastAsia"/>
          <w:lang w:val="en-US" w:eastAsia="zh-CN"/>
        </w:rPr>
        <w:t>黄烟</w:t>
      </w:r>
    </w:p>
    <w:p w14:paraId="1FACA620">
      <w:pPr>
        <w:pStyle w:val="4"/>
        <w:bidi w:val="0"/>
        <w:rPr>
          <w:rFonts w:hint="eastAsia"/>
        </w:rPr>
      </w:pPr>
      <w:r>
        <w:rPr>
          <w:rFonts w:hint="eastAsia"/>
          <w:lang w:eastAsia="zh-CN"/>
        </w:rPr>
        <w:t>【</w:t>
      </w:r>
      <w:r>
        <w:rPr>
          <w:rFonts w:hint="eastAsia"/>
        </w:rPr>
        <w:t>概况】</w:t>
      </w:r>
    </w:p>
    <w:p w14:paraId="33312106">
      <w:pPr>
        <w:rPr>
          <w:rFonts w:hint="eastAsia"/>
          <w:lang w:eastAsia="zh-CN"/>
        </w:rPr>
      </w:pPr>
      <w:r>
        <w:rPr>
          <w:rFonts w:hint="eastAsia"/>
        </w:rPr>
        <w:t>广东省南雄市烟草专卖局成立</w:t>
      </w:r>
      <w:r>
        <w:t>1983年12</w:t>
      </w:r>
      <w:r>
        <w:rPr>
          <w:rFonts w:hint="eastAsia"/>
        </w:rPr>
        <w:t>月，受广东省烟草专卖局和南雄市人民政府双重领导，主要职能是行使</w:t>
      </w:r>
      <w:r>
        <w:rPr>
          <w:rFonts w:hint="eastAsia"/>
          <w:lang w:eastAsia="zh-CN"/>
        </w:rPr>
        <w:t>全</w:t>
      </w:r>
      <w:r>
        <w:rPr>
          <w:rFonts w:hint="eastAsia"/>
        </w:rPr>
        <w:t>市烟草专卖行政管理权力和贯彻执行《中华人民共和国烟草专卖法》及上级主管部门制定的烟草政策、规章制度。南雄市烟草公司成立</w:t>
      </w:r>
      <w:r>
        <w:t>1983</w:t>
      </w:r>
      <w:r>
        <w:rPr>
          <w:rFonts w:hint="eastAsia"/>
        </w:rPr>
        <w:t>年</w:t>
      </w:r>
      <w:r>
        <w:t>10月，1987年更名为广东省烟草公司南雄市公司</w:t>
      </w:r>
      <w:r>
        <w:rPr>
          <w:rFonts w:hint="eastAsia"/>
          <w:lang w:eastAsia="zh-CN"/>
        </w:rPr>
        <w:t>，</w:t>
      </w:r>
      <w:r>
        <w:t>2000年12月改制组建广东烟草南雄市有限公司，下辖</w:t>
      </w:r>
      <w:r>
        <w:rPr>
          <w:rFonts w:hint="eastAsia"/>
        </w:rPr>
        <w:t>广东南雄烟叶复烤有限公司。广东省南雄市烟草专卖局与广东烟草南雄市有限公司合署办公</w:t>
      </w:r>
      <w:r>
        <w:t>[简称南雄市</w:t>
      </w:r>
      <w:r>
        <w:rPr>
          <w:rFonts w:hint="eastAsia"/>
        </w:rPr>
        <w:t>烟草专卖局（公司）</w:t>
      </w:r>
      <w:r>
        <w:t>]，实行两块牌子、一套人马的管</w:t>
      </w:r>
      <w:r>
        <w:rPr>
          <w:rFonts w:hint="eastAsia"/>
        </w:rPr>
        <w:t>理体制，是南雄市对全市烟草市场实行专卖专营集中统一管理和卷烟经营、烟叶生产经营的机构。根据国家烟草专卖局、省烟草专卖局取消县级烟草有限公司法人资格工作部署，</w:t>
      </w:r>
      <w:r>
        <w:t>2013年底，取消南雄市烟草专卖</w:t>
      </w:r>
      <w:r>
        <w:rPr>
          <w:rFonts w:hint="eastAsia"/>
        </w:rPr>
        <w:t>局（有限公司）的广东烟草南雄市有限公司法人资格，保留南雄市烟草专卖局，设立广东烟草韶关市有限公司南雄市分公司，归广东烟草韶关市有限公司管理。南雄市烟草专卖局与广东烟草韶关市有限公司南雄市分公司合署办公，名为南雄市烟草专卖局（分公司）</w:t>
      </w:r>
      <w:r>
        <w:rPr>
          <w:rFonts w:hint="eastAsia"/>
          <w:lang w:eastAsia="zh-CN"/>
        </w:rPr>
        <w:t>。</w:t>
      </w:r>
    </w:p>
    <w:p w14:paraId="32100E9D">
      <w:pPr>
        <w:rPr>
          <w:rFonts w:hint="eastAsia"/>
          <w:lang w:eastAsia="zh-CN"/>
        </w:rPr>
      </w:pPr>
      <w:r>
        <w:t>2013年，实现税利5.44亿元，实现利润3.32亿</w:t>
      </w:r>
      <w:r>
        <w:rPr>
          <w:rFonts w:hint="eastAsia"/>
        </w:rPr>
        <w:t>元。销售卷烟</w:t>
      </w:r>
      <w:r>
        <w:t>1.43万箱，卷烟销售收入3.66亿元；完</w:t>
      </w:r>
      <w:r>
        <w:rPr>
          <w:rFonts w:hint="eastAsia"/>
        </w:rPr>
        <w:t>成烟叶购销合同</w:t>
      </w:r>
      <w:r>
        <w:t>23920吨，烟叶销售收入11.21亿元。</w:t>
      </w:r>
      <w:r>
        <w:rPr>
          <w:rFonts w:hint="eastAsia"/>
        </w:rPr>
        <w:t>被评为南雄市</w:t>
      </w:r>
      <w:r>
        <w:t>2011~2012年度纪检监察工作先进</w:t>
      </w:r>
      <w:r>
        <w:rPr>
          <w:rFonts w:hint="eastAsia"/>
        </w:rPr>
        <w:t>集体、</w:t>
      </w:r>
      <w:r>
        <w:t>2012年度广东省安全文化建设示范企业，获广</w:t>
      </w:r>
      <w:r>
        <w:rPr>
          <w:rFonts w:hint="eastAsia"/>
        </w:rPr>
        <w:t>东省烟草专卖局（公司）烟叶工作目标考核结果一类</w:t>
      </w:r>
      <w:r>
        <w:rPr>
          <w:rFonts w:hint="eastAsia"/>
          <w:lang w:val="en-US" w:eastAsia="zh-CN"/>
        </w:rPr>
        <w:t>二等</w:t>
      </w:r>
      <w:r>
        <w:rPr>
          <w:rFonts w:hint="eastAsia"/>
        </w:rPr>
        <w:t>奖</w:t>
      </w:r>
      <w:r>
        <w:rPr>
          <w:rFonts w:hint="eastAsia"/>
          <w:lang w:eastAsia="zh-CN"/>
        </w:rPr>
        <w:t>。</w:t>
      </w:r>
    </w:p>
    <w:p w14:paraId="20FA918E">
      <w:pPr>
        <w:pStyle w:val="4"/>
        <w:bidi w:val="0"/>
        <w:rPr>
          <w:rFonts w:hint="eastAsia"/>
        </w:rPr>
      </w:pPr>
      <w:r>
        <w:rPr>
          <w:rFonts w:hint="eastAsia"/>
        </w:rPr>
        <w:t>【黄烟生产管理】</w:t>
      </w:r>
    </w:p>
    <w:p w14:paraId="2F5FF0ED">
      <w:r>
        <w:rPr>
          <w:rFonts w:hint="eastAsia"/>
        </w:rPr>
        <w:t>南雄市种植烟叶</w:t>
      </w:r>
      <w:r>
        <w:t>6733.3</w:t>
      </w:r>
      <w:r>
        <w:rPr>
          <w:rFonts w:hint="eastAsia"/>
          <w:lang w:val="en-US" w:eastAsia="zh-CN"/>
        </w:rPr>
        <w:t>3</w:t>
      </w:r>
      <w:r>
        <w:t>公顷，种</w:t>
      </w:r>
      <w:r>
        <w:rPr>
          <w:rFonts w:hint="eastAsia"/>
        </w:rPr>
        <w:t>植品种</w:t>
      </w:r>
      <w:r>
        <w:rPr>
          <w:rFonts w:hint="eastAsia"/>
          <w:lang w:eastAsia="zh-CN"/>
        </w:rPr>
        <w:t>粤</w:t>
      </w:r>
      <w:r>
        <w:rPr>
          <w:rFonts w:hint="eastAsia"/>
        </w:rPr>
        <w:t>烟卯和</w:t>
      </w:r>
      <w:r>
        <w:t>K326，签订烟叶种植收购合同4302</w:t>
      </w:r>
      <w:r>
        <w:rPr>
          <w:rFonts w:hint="eastAsia"/>
        </w:rPr>
        <w:t>份，涉及种烟乡镇</w:t>
      </w:r>
      <w:r>
        <w:t>15个，户均种植面积1.57公顷，</w:t>
      </w:r>
      <w:r>
        <w:rPr>
          <w:rFonts w:hint="eastAsia"/>
        </w:rPr>
        <w:t>收购烟叶</w:t>
      </w:r>
      <w:r>
        <w:t>14415吨。全面覆盖烟叶标准化生产，工商</w:t>
      </w:r>
      <w:r>
        <w:rPr>
          <w:rFonts w:hint="eastAsia"/>
        </w:rPr>
        <w:t>研共同制定生产技术方案，落实“测土配方施肥、上部烟叶</w:t>
      </w:r>
      <w:r>
        <w:t>4~6片叶充分成熟一次性采烤”等适用技术推</w:t>
      </w:r>
      <w:r>
        <w:rPr>
          <w:rFonts w:hint="eastAsia"/>
          <w:lang w:val="en-US" w:eastAsia="zh-CN"/>
        </w:rPr>
        <w:t>广</w:t>
      </w:r>
      <w:r>
        <w:rPr>
          <w:rFonts w:hint="eastAsia"/>
        </w:rPr>
        <w:t>，提高机械化作业水平，加强综合服务专业合作社建设，实行规模化种植、集约化经营和专业化服务</w:t>
      </w:r>
      <w:r>
        <w:rPr>
          <w:rFonts w:hint="eastAsia"/>
          <w:lang w:eastAsia="zh-CN"/>
        </w:rPr>
        <w:t>。</w:t>
      </w:r>
      <w:r>
        <w:rPr>
          <w:rFonts w:hint="eastAsia"/>
        </w:rPr>
        <w:t>落实优化结构措施，提高原料保障能力。优化结构面积</w:t>
      </w:r>
      <w:r>
        <w:t>6540公顷，占种植面积97.13%。剔除不适用鲜烟13800吨。继续推进特色优质烟叶开发点3个，即黄</w:t>
      </w:r>
      <w:r>
        <w:rPr>
          <w:rFonts w:hint="eastAsia"/>
        </w:rPr>
        <w:t>坑、水口、古市特色优质烟叶基地，分别对应广东中烟、川渝中烟、湖北中烟工业企业，开发面积</w:t>
      </w:r>
      <w:r>
        <w:t>3400公</w:t>
      </w:r>
      <w:r>
        <w:rPr>
          <w:rFonts w:hint="eastAsia"/>
        </w:rPr>
        <w:t>顷，收购量</w:t>
      </w:r>
      <w:r>
        <w:t>7500吨，开发总量占全市收购量的50.5%。古市烟站专业化分级散叶收购试点，散叶收</w:t>
      </w:r>
      <w:r>
        <w:rPr>
          <w:rFonts w:hint="eastAsia"/>
        </w:rPr>
        <w:t>购均价</w:t>
      </w:r>
      <w:r>
        <w:t>24.88元/公斤，同比传统把烟收购提高0.77元/公斤。</w:t>
      </w:r>
    </w:p>
    <w:p w14:paraId="0A9AF3F8">
      <w:r>
        <w:t>2013年烟草行业投入烟叶生产基础设施建设资金6946万元，烟叶生产基础设施新增受益面积5393.33</w:t>
      </w:r>
      <w:r>
        <w:rPr>
          <w:rFonts w:hint="eastAsia"/>
        </w:rPr>
        <w:t>公顷。完成烟叶基础设施建设项目</w:t>
      </w:r>
      <w:r>
        <w:t>1088项，其中烟田</w:t>
      </w:r>
      <w:r>
        <w:rPr>
          <w:rFonts w:hint="eastAsia"/>
        </w:rPr>
        <w:t>水利设施</w:t>
      </w:r>
      <w:r>
        <w:t>17项，含沟渠12条、1295米，提灌站3座，</w:t>
      </w:r>
      <w:r>
        <w:rPr>
          <w:rFonts w:hint="eastAsia"/>
        </w:rPr>
        <w:t>塘坝</w:t>
      </w:r>
      <w:r>
        <w:t>2个、3.3万立方米；砂</w:t>
      </w:r>
      <w:r>
        <w:rPr>
          <w:rFonts w:hint="eastAsia"/>
        </w:rPr>
        <w:t>桥梁）</w:t>
      </w:r>
      <w:r>
        <w:t>2条、</w:t>
      </w:r>
      <w:r>
        <w:rPr>
          <w:rFonts w:hint="eastAsia"/>
          <w:lang w:val="en-US" w:eastAsia="zh-CN"/>
        </w:rPr>
        <w:t>22</w:t>
      </w:r>
      <w:r>
        <w:t>20米，密集式烤房800座，烟草农用</w:t>
      </w:r>
      <w:r>
        <w:rPr>
          <w:rFonts w:hint="eastAsia"/>
        </w:rPr>
        <w:t>机械</w:t>
      </w:r>
      <w:r>
        <w:t>269台。</w:t>
      </w:r>
    </w:p>
    <w:p w14:paraId="4B6DE7D0">
      <w:pPr>
        <w:pStyle w:val="4"/>
        <w:bidi w:val="0"/>
        <w:rPr>
          <w:rFonts w:hint="eastAsia"/>
        </w:rPr>
      </w:pPr>
      <w:r>
        <w:rPr>
          <w:rFonts w:hint="eastAsia"/>
        </w:rPr>
        <w:t>【烟叶购销】</w:t>
      </w:r>
    </w:p>
    <w:p w14:paraId="5742E77C">
      <w:r>
        <w:rPr>
          <w:rFonts w:hint="eastAsia"/>
        </w:rPr>
        <w:t>收购烟叶</w:t>
      </w:r>
      <w:r>
        <w:t>144</w:t>
      </w:r>
      <w:r>
        <w:rPr>
          <w:rFonts w:hint="eastAsia"/>
          <w:lang w:val="en-US" w:eastAsia="zh-CN"/>
        </w:rPr>
        <w:t>1</w:t>
      </w:r>
      <w:r>
        <w:t>5吨，收购资金3.5亿</w:t>
      </w:r>
      <w:r>
        <w:rPr>
          <w:rFonts w:hint="eastAsia"/>
        </w:rPr>
        <w:t>元，收购均价</w:t>
      </w:r>
      <w:r>
        <w:t>24.11元/公斤，完成烟叶购销合同239020吨。</w:t>
      </w:r>
    </w:p>
    <w:p w14:paraId="61CC9F52">
      <w:pPr>
        <w:pStyle w:val="4"/>
        <w:bidi w:val="0"/>
        <w:rPr>
          <w:rFonts w:hint="eastAsia"/>
        </w:rPr>
      </w:pPr>
      <w:r>
        <w:rPr>
          <w:rFonts w:hint="eastAsia"/>
        </w:rPr>
        <w:t>【科技兴烟】</w:t>
      </w:r>
    </w:p>
    <w:p w14:paraId="5B24CE2A">
      <w:pPr>
        <w:rPr>
          <w:rFonts w:hint="eastAsia"/>
        </w:rPr>
      </w:pPr>
      <w:r>
        <w:rPr>
          <w:rFonts w:hint="eastAsia"/>
        </w:rPr>
        <w:t>承担国家烟草专卖局“特色烟开发重大专项”课题，推进浓香型特色优质烟叶开发及开展有关课题研究。承担广东省烟草专卖局（公司）立项科技项目</w:t>
      </w:r>
      <w:r>
        <w:t>6项，包括烟草育苗温室休闲期高效利用</w:t>
      </w:r>
      <w:r>
        <w:rPr>
          <w:rFonts w:hint="eastAsia"/>
          <w:lang w:eastAsia="zh-CN"/>
        </w:rPr>
        <w:t>、</w:t>
      </w:r>
      <w:r>
        <w:rPr>
          <w:rFonts w:hint="eastAsia"/>
          <w:lang w:val="en-US" w:eastAsia="zh-CN"/>
        </w:rPr>
        <w:t>广</w:t>
      </w:r>
      <w:r>
        <w:rPr>
          <w:rFonts w:hint="eastAsia"/>
        </w:rPr>
        <w:t>东浓香型特色优质烟叶开发、紫色土抑制烟草青枯病发生的机理研究等项目。同时，自主研究和推广测土配方施肥、土壤改良、病虫害统防统治、烤烟新品种</w:t>
      </w:r>
      <w:r>
        <w:rPr>
          <w:rFonts w:hint="eastAsia"/>
          <w:lang w:eastAsia="zh-CN"/>
        </w:rPr>
        <w:t>粤</w:t>
      </w:r>
      <w:r>
        <w:rPr>
          <w:rFonts w:hint="eastAsia"/>
        </w:rPr>
        <w:t>烟</w:t>
      </w:r>
      <w:r>
        <w:t>98示范、增温补光培育壮苗、条施基肥膜上移</w:t>
      </w:r>
      <w:r>
        <w:rPr>
          <w:rFonts w:hint="eastAsia"/>
        </w:rPr>
        <w:t>栽技术等适用技术。“南雄浓香型风格特色烟叶生产技术开发及示范推广”科技项目获韶关市科学技术进步奖；“烟草育苗温室休闲期高效利用”科技项目获广东省烟草专卖局（公司）科学技术进步奖。</w:t>
      </w:r>
    </w:p>
    <w:p w14:paraId="283DFC3C">
      <w:pPr>
        <w:pStyle w:val="4"/>
        <w:bidi w:val="0"/>
        <w:rPr>
          <w:rFonts w:hint="eastAsia"/>
        </w:rPr>
      </w:pPr>
      <w:r>
        <w:rPr>
          <w:rFonts w:hint="eastAsia"/>
        </w:rPr>
        <w:t>【专卖管理】</w:t>
      </w:r>
    </w:p>
    <w:p w14:paraId="2471ACF8">
      <w:r>
        <w:t>2013年</w:t>
      </w:r>
      <w:r>
        <w:rPr>
          <w:rFonts w:hint="eastAsia"/>
          <w:lang w:eastAsia="zh-CN"/>
        </w:rPr>
        <w:t>查</w:t>
      </w:r>
      <w:r>
        <w:t>处案件182宗，其中移送公安1宗，移送工商5宗，</w:t>
      </w:r>
      <w:r>
        <w:rPr>
          <w:rFonts w:hint="eastAsia"/>
          <w:lang w:eastAsia="zh-CN"/>
        </w:rPr>
        <w:t>查</w:t>
      </w:r>
      <w:r>
        <w:t>获涉案卷烟40.12万支，</w:t>
      </w:r>
      <w:r>
        <w:rPr>
          <w:rFonts w:hint="eastAsia"/>
          <w:lang w:eastAsia="zh-CN"/>
        </w:rPr>
        <w:t>查</w:t>
      </w:r>
      <w:r>
        <w:t>获</w:t>
      </w:r>
      <w:r>
        <w:rPr>
          <w:rFonts w:hint="eastAsia"/>
        </w:rPr>
        <w:t>涉案烟丝、烟叶</w:t>
      </w:r>
      <w:r>
        <w:t>4335公斤，涉案物品总价值31.8万</w:t>
      </w:r>
      <w:r>
        <w:rPr>
          <w:rFonts w:hint="eastAsia"/>
        </w:rPr>
        <w:t>元。卷烟市场净化率</w:t>
      </w:r>
      <w:r>
        <w:t>97</w:t>
      </w:r>
      <w:r>
        <w:rPr>
          <w:rFonts w:hint="eastAsia"/>
          <w:lang w:val="en-US" w:eastAsia="zh-CN"/>
        </w:rPr>
        <w:t>.</w:t>
      </w:r>
      <w:r>
        <w:t>67%。新办理零售许可证192</w:t>
      </w:r>
      <w:r>
        <w:rPr>
          <w:rFonts w:hint="eastAsia"/>
        </w:rPr>
        <w:t>份，</w:t>
      </w:r>
      <w:r>
        <w:t>2013年底，烟草专卖零售许可证有效持证户数1558户，完成合理布局规划数1550户的100.52%。</w:t>
      </w:r>
    </w:p>
    <w:p w14:paraId="06AE6464">
      <w:pPr>
        <w:pStyle w:val="4"/>
        <w:bidi w:val="0"/>
        <w:rPr>
          <w:rFonts w:hint="eastAsia"/>
        </w:rPr>
      </w:pPr>
      <w:r>
        <w:rPr>
          <w:rFonts w:hint="eastAsia"/>
        </w:rPr>
        <w:t>【卷烟经营】</w:t>
      </w:r>
    </w:p>
    <w:p w14:paraId="5C878F4F">
      <w:pPr>
        <w:rPr>
          <w:rFonts w:hint="eastAsia"/>
        </w:rPr>
      </w:pPr>
      <w:r>
        <w:t>2013年销售卷烟1</w:t>
      </w:r>
      <w:r>
        <w:rPr>
          <w:rFonts w:hint="eastAsia"/>
          <w:lang w:val="en-US" w:eastAsia="zh-CN"/>
        </w:rPr>
        <w:t>.</w:t>
      </w:r>
      <w:r>
        <w:t>44万箱，完成年度</w:t>
      </w:r>
      <w:r>
        <w:rPr>
          <w:rFonts w:hint="eastAsia"/>
        </w:rPr>
        <w:t>预算的</w:t>
      </w:r>
      <w:r>
        <w:t>100</w:t>
      </w:r>
      <w:r>
        <w:rPr>
          <w:rFonts w:hint="eastAsia"/>
          <w:lang w:val="en-US" w:eastAsia="zh-CN"/>
        </w:rPr>
        <w:t>.</w:t>
      </w:r>
      <w:r>
        <w:t>44%。围绕“卷烟上水平”目标任务，执</w:t>
      </w:r>
      <w:r>
        <w:rPr>
          <w:rFonts w:hint="eastAsia"/>
        </w:rPr>
        <w:t>行“按客户订单组织货源”工作要求，实现货源由信息系统自动分配，紧俏品牌根据实际货源情况合理限量供应，顺销品牌基本满足市场需求。提升网建管理水平，持续推进网上订货，开始推广手机订货，作为网上订货的辅助。培育重点品牌，工商深度协同，执行统一的客户服务项目、服务程序、服务标准、服务监督和服务评价体系。</w:t>
      </w:r>
    </w:p>
    <w:p w14:paraId="78DBE7CE">
      <w:pPr>
        <w:pStyle w:val="4"/>
        <w:bidi w:val="0"/>
        <w:rPr>
          <w:rFonts w:hint="eastAsia"/>
        </w:rPr>
      </w:pPr>
      <w:r>
        <w:rPr>
          <w:rFonts w:hint="eastAsia"/>
        </w:rPr>
        <w:t>【各烟站简介】</w:t>
      </w:r>
    </w:p>
    <w:p w14:paraId="5193F4AC">
      <w:pPr>
        <w:rPr>
          <w:rFonts w:hint="eastAsia"/>
        </w:rPr>
      </w:pPr>
      <w:r>
        <w:rPr>
          <w:rFonts w:hint="eastAsia"/>
        </w:rPr>
        <w:t>水口烟站位于南雄市至水口镇区县道旁，设水口总站和河坪、南亩</w:t>
      </w:r>
      <w:r>
        <w:t>2个分站，负责水口</w:t>
      </w:r>
      <w:r>
        <w:rPr>
          <w:rFonts w:hint="eastAsia"/>
        </w:rPr>
        <w:t>镇和南亩镇的烟叶种植、收购业务，签订烟叶种植收购合同面积</w:t>
      </w:r>
      <w:r>
        <w:t>7</w:t>
      </w:r>
      <w:r>
        <w:rPr>
          <w:rFonts w:hint="eastAsia"/>
          <w:lang w:val="en-US" w:eastAsia="zh-CN"/>
        </w:rPr>
        <w:t>4</w:t>
      </w:r>
      <w:r>
        <w:t>4.6公顷，收购烟叶1595.84吨，对口川</w:t>
      </w:r>
      <w:r>
        <w:rPr>
          <w:rFonts w:hint="eastAsia"/>
        </w:rPr>
        <w:t>渝中烟工业有限责任公司，对口卷烟品牌“娇子”。湖口烟站位于南雄市湖口镇南雄至湖口镇区国道旁，设湖口总站和里和、长市</w:t>
      </w:r>
      <w:r>
        <w:t>2个分站，负责湖口镇</w:t>
      </w:r>
      <w:r>
        <w:rPr>
          <w:rFonts w:hint="eastAsia"/>
        </w:rPr>
        <w:t>的烟叶种植、收购等业务，签订烟叶种植收购合同面积</w:t>
      </w:r>
      <w:r>
        <w:t>1135</w:t>
      </w:r>
      <w:r>
        <w:rPr>
          <w:rFonts w:hint="eastAsia"/>
          <w:lang w:val="en-US" w:eastAsia="zh-CN"/>
        </w:rPr>
        <w:t>.</w:t>
      </w:r>
      <w:r>
        <w:t>33公顷，收购烟叶2435吨，对口深圳烟草工</w:t>
      </w:r>
      <w:r>
        <w:rPr>
          <w:rFonts w:hint="eastAsia"/>
        </w:rPr>
        <w:t>业有限责任公司，对口卷烟品牌“好日子”。</w:t>
      </w:r>
    </w:p>
    <w:p w14:paraId="7447F56E">
      <w:pPr>
        <w:rPr>
          <w:rFonts w:hint="eastAsia"/>
        </w:rPr>
      </w:pPr>
      <w:r>
        <w:rPr>
          <w:rFonts w:hint="eastAsia"/>
        </w:rPr>
        <w:t>黄坑烟站位于南雄市黄坑镇黄坑村委会上坑村，负责黄坑镇的烟叶生产和收购等业务，签订烟叶种植收购合同面积</w:t>
      </w:r>
      <w:r>
        <w:t>752公顷，收购烟叶1632.53吨，对口</w:t>
      </w:r>
      <w:r>
        <w:rPr>
          <w:rFonts w:hint="eastAsia"/>
          <w:lang w:val="en-US" w:eastAsia="zh-CN"/>
        </w:rPr>
        <w:t>广</w:t>
      </w:r>
      <w:r>
        <w:rPr>
          <w:rFonts w:hint="eastAsia"/>
        </w:rPr>
        <w:t>东中烟工业有限责任公司，对口卷烟品牌“红双喜”。</w:t>
      </w:r>
    </w:p>
    <w:p w14:paraId="72079D15">
      <w:pPr>
        <w:rPr>
          <w:rFonts w:hint="eastAsia"/>
        </w:rPr>
      </w:pPr>
      <w:r>
        <w:rPr>
          <w:rFonts w:hint="eastAsia"/>
        </w:rPr>
        <w:t>古市烟站位于南雄市古市镇</w:t>
      </w:r>
      <w:r>
        <w:t>G323国道旁，设古</w:t>
      </w:r>
      <w:r>
        <w:rPr>
          <w:rFonts w:hint="eastAsia"/>
        </w:rPr>
        <w:t>市总站、丹布分站、小坑收购点，负责古市镇的烟叶生产和收购等业务，签订烟叶种植收购合同面积</w:t>
      </w:r>
      <w:r>
        <w:t>734</w:t>
      </w:r>
      <w:r>
        <w:rPr>
          <w:rFonts w:hint="eastAsia"/>
          <w:lang w:val="en-US" w:eastAsia="zh-CN"/>
        </w:rPr>
        <w:t>.</w:t>
      </w:r>
      <w:r>
        <w:t>13公顷，收购烟叶1577.82吨，对口湖北中烟工</w:t>
      </w:r>
      <w:r>
        <w:rPr>
          <w:rFonts w:hint="eastAsia"/>
        </w:rPr>
        <w:t>业有限责任公司，对口卷烟品牌“黄鹤楼”。</w:t>
      </w:r>
    </w:p>
    <w:p w14:paraId="0E8006E7">
      <w:r>
        <w:rPr>
          <w:rFonts w:hint="eastAsia"/>
          <w:lang w:val="en-US" w:eastAsia="zh-CN"/>
        </w:rPr>
        <w:t>乌</w:t>
      </w:r>
      <w:r>
        <w:rPr>
          <w:rFonts w:hint="eastAsia"/>
        </w:rPr>
        <w:t>迳烟站位于南雄市乌迳镇，处在广东与江西交界地段，负责</w:t>
      </w:r>
      <w:r>
        <w:rPr>
          <w:rFonts w:hint="eastAsia"/>
          <w:lang w:val="en-US" w:eastAsia="zh-CN"/>
        </w:rPr>
        <w:t>乌</w:t>
      </w:r>
      <w:r>
        <w:rPr>
          <w:rFonts w:hint="eastAsia"/>
        </w:rPr>
        <w:t>迳镇的黄烟种植和收购等业务，签订烟叶种植收购合同面积</w:t>
      </w:r>
      <w:r>
        <w:t>498公顷，收购烟叶1051.84吨。</w:t>
      </w:r>
    </w:p>
    <w:p w14:paraId="4EE486CE">
      <w:r>
        <w:rPr>
          <w:rFonts w:hint="eastAsia"/>
        </w:rPr>
        <w:t>珠玑烟站位于南雄市雄东路雄信公路边，设珠玑总站和里东分站，负责珠玑镇和雄州街道铺背村的烟叶生产和收购等业务，签订烟叶种植收购合同面积</w:t>
      </w:r>
      <w:r>
        <w:t>461.07公顷，收购烟叶985.68吨。</w:t>
      </w:r>
    </w:p>
    <w:p w14:paraId="389D7E42">
      <w:r>
        <w:rPr>
          <w:rFonts w:hint="eastAsia"/>
        </w:rPr>
        <w:t>黎口烟站位于南雄市雄州镇雄东路，设黎口总站和帽子峰、江头收购点，负责雄州街道、江头镇、全安镇和帽子峰的烟叶生产和收购等业务，签订烟叶种植收购合同面积</w:t>
      </w:r>
      <w:r>
        <w:t>639.4公顷，收购烟叶1378.14吨。</w:t>
      </w:r>
    </w:p>
    <w:p w14:paraId="38C3497B">
      <w:r>
        <w:rPr>
          <w:rFonts w:hint="eastAsia"/>
        </w:rPr>
        <w:t>主田烟站位于南雄市雄州镇雄中路，负责主田镇以及雄州街道河南村的烟叶生产和收购业务，签订烟叶种植收购合同面积</w:t>
      </w:r>
      <w:r>
        <w:t>607.67公顷，收购烟叶1320.34吨。</w:t>
      </w:r>
    </w:p>
    <w:p w14:paraId="69FFF92E">
      <w:r>
        <w:rPr>
          <w:rFonts w:hint="eastAsia"/>
        </w:rPr>
        <w:t>大塘烟站位于南雄市油山镇大塘墟，负责油山镇的烟叶生产和收购等业务，签订烟叶种植收购合同面积</w:t>
      </w:r>
      <w:r>
        <w:t>464.13公顷，收购烟叶973吨。</w:t>
      </w:r>
    </w:p>
    <w:p w14:paraId="749E2124">
      <w:r>
        <w:rPr>
          <w:rFonts w:hint="eastAsia"/>
        </w:rPr>
        <w:t>邓坊烟站位于南雄市邓坊镇新墟，负责邓坊镇的</w:t>
      </w:r>
      <w:r>
        <w:rPr>
          <w:rFonts w:hint="eastAsia"/>
          <w:lang w:val="en-US" w:eastAsia="zh-CN"/>
        </w:rPr>
        <w:t>烟</w:t>
      </w:r>
      <w:r>
        <w:rPr>
          <w:rFonts w:hint="eastAsia"/>
        </w:rPr>
        <w:t>叶生产和收购等业务，签订烟叶种植收购合同面积</w:t>
      </w:r>
      <w:r>
        <w:t>351.13公顷，收购烟叶729.84吨。</w:t>
      </w:r>
    </w:p>
    <w:p w14:paraId="4391D13F">
      <w:r>
        <w:rPr>
          <w:rFonts w:hint="eastAsia"/>
        </w:rPr>
        <w:t>新龙烟站位于南雄市新龙镇老龙墟，负责坪田镇的烟叶生产和收购等业务，签订烟叶种植收购合同面积</w:t>
      </w:r>
      <w:r>
        <w:t>345.87公顷，收购烟叶734.55吨。</w:t>
      </w:r>
    </w:p>
    <w:p w14:paraId="18E49442">
      <w:pPr>
        <w:pStyle w:val="4"/>
        <w:bidi w:val="0"/>
        <w:rPr>
          <w:rFonts w:hint="eastAsia"/>
        </w:rPr>
      </w:pPr>
      <w:r>
        <w:rPr>
          <w:rFonts w:hint="eastAsia"/>
        </w:rPr>
        <w:t>【企业内部管理】</w:t>
      </w:r>
    </w:p>
    <w:p w14:paraId="0545DBF5">
      <w:r>
        <w:rPr>
          <w:rFonts w:hint="eastAsia"/>
        </w:rPr>
        <w:t>深入贯彻中央八项规定，严格执行广东省烟草专卖局（公司）关于公务接待、“两金”管理、公务用车、办公用房等各项部署规定，加强薪酬管理规范，严格食堂、车辆管理。开展</w:t>
      </w:r>
      <w:r>
        <w:t>ISO9</w:t>
      </w:r>
      <w:r>
        <w:rPr>
          <w:rFonts w:hint="eastAsia"/>
          <w:lang w:val="en-US" w:eastAsia="zh-CN"/>
        </w:rPr>
        <w:t>000</w:t>
      </w:r>
      <w:r>
        <w:rPr>
          <w:rFonts w:hint="eastAsia"/>
        </w:rPr>
        <w:t>质量管理体系建设，梳理完善各项制度，加强规范管理。开展普法、依法治理工作。加强安全监管，强化安全意识，进一步推进安全生产标准化，实现安全管理“</w:t>
      </w:r>
      <w:r>
        <w:t>4个为零”目标。</w:t>
      </w:r>
    </w:p>
    <w:p w14:paraId="221D0440">
      <w:pPr>
        <w:pStyle w:val="4"/>
        <w:bidi w:val="0"/>
        <w:rPr>
          <w:rFonts w:hint="eastAsia"/>
        </w:rPr>
      </w:pPr>
      <w:r>
        <w:rPr>
          <w:rFonts w:hint="eastAsia"/>
        </w:rPr>
        <w:t>【企业改革】</w:t>
      </w:r>
    </w:p>
    <w:p w14:paraId="70C54ABF">
      <w:pPr>
        <w:rPr>
          <w:rFonts w:hint="eastAsia"/>
        </w:rPr>
      </w:pPr>
      <w:r>
        <w:t>2013年底，体制改革，成立“广东烟</w:t>
      </w:r>
      <w:r>
        <w:rPr>
          <w:rFonts w:hint="eastAsia"/>
        </w:rPr>
        <w:t>草韶关市有限公司南雄市分公司”。创新烟叶生产组</w:t>
      </w:r>
      <w:r>
        <w:rPr>
          <w:rFonts w:hint="eastAsia"/>
          <w:lang w:val="en-US" w:eastAsia="zh-CN"/>
        </w:rPr>
        <w:t>织</w:t>
      </w:r>
      <w:r>
        <w:rPr>
          <w:rFonts w:hint="eastAsia"/>
        </w:rPr>
        <w:t>与专业化服务体系，坚持依法、自愿、有偿的原则，引导扶持发展种植专业户、家庭农场、种植专业合作社等烟叶生产组织体系。</w:t>
      </w:r>
    </w:p>
    <w:p w14:paraId="148C8C27">
      <w:pPr>
        <w:pStyle w:val="4"/>
        <w:bidi w:val="0"/>
        <w:rPr>
          <w:rFonts w:hint="eastAsia"/>
        </w:rPr>
      </w:pPr>
      <w:r>
        <w:rPr>
          <w:rFonts w:hint="eastAsia"/>
        </w:rPr>
        <w:t>【社会公益】</w:t>
      </w:r>
    </w:p>
    <w:p w14:paraId="2FDCB2CF">
      <w:pPr>
        <w:rPr>
          <w:rFonts w:hint="eastAsia"/>
          <w:lang w:eastAsia="zh-CN"/>
        </w:rPr>
      </w:pPr>
      <w:r>
        <w:t>2013年，捐款6</w:t>
      </w:r>
      <w:r>
        <w:rPr>
          <w:rFonts w:hint="eastAsia"/>
          <w:lang w:val="en-US" w:eastAsia="zh-CN"/>
        </w:rPr>
        <w:t>9</w:t>
      </w:r>
      <w:r>
        <w:t>.7万元用于各项社会</w:t>
      </w:r>
      <w:r>
        <w:rPr>
          <w:rFonts w:hint="eastAsia"/>
        </w:rPr>
        <w:t>公益活动。其中，向南雄市黄坑镇园岭村捐款扶贫济困金</w:t>
      </w:r>
      <w:r>
        <w:t>16.12万元；资助地方教育事业22.1万元；资助</w:t>
      </w:r>
      <w:r>
        <w:rPr>
          <w:rFonts w:hint="eastAsia"/>
        </w:rPr>
        <w:t>地方文化事业</w:t>
      </w:r>
      <w:r>
        <w:t>2</w:t>
      </w:r>
      <w:r>
        <w:rPr>
          <w:rFonts w:hint="eastAsia"/>
          <w:lang w:val="en-US" w:eastAsia="zh-CN"/>
        </w:rPr>
        <w:t>2.</w:t>
      </w:r>
      <w:r>
        <w:t>98万元；慰问地方部队3万元；资</w:t>
      </w:r>
      <w:r>
        <w:rPr>
          <w:rFonts w:hint="eastAsia"/>
        </w:rPr>
        <w:t>助乡村建设</w:t>
      </w:r>
      <w:r>
        <w:t>5.5万元</w:t>
      </w:r>
      <w:r>
        <w:rPr>
          <w:rFonts w:hint="eastAsia"/>
          <w:lang w:eastAsia="zh-CN"/>
        </w:rPr>
        <w:t>。</w:t>
      </w:r>
    </w:p>
    <w:p w14:paraId="7EB608DE">
      <w:pPr>
        <w:jc w:val="right"/>
        <w:rPr>
          <w:rFonts w:hint="eastAsia"/>
          <w:b/>
          <w:bCs/>
        </w:rPr>
      </w:pPr>
      <w:r>
        <w:rPr>
          <w:rFonts w:hint="eastAsia"/>
          <w:b/>
          <w:bCs/>
        </w:rPr>
        <w:t>（胡</w:t>
      </w:r>
      <w:r>
        <w:rPr>
          <w:rFonts w:hint="eastAsia"/>
          <w:b/>
          <w:bCs/>
          <w:lang w:val="en-US" w:eastAsia="zh-CN"/>
        </w:rPr>
        <w:t xml:space="preserve">  </w:t>
      </w:r>
      <w:r>
        <w:rPr>
          <w:rFonts w:hint="eastAsia"/>
          <w:b/>
          <w:bCs/>
        </w:rPr>
        <w:t>燕）</w:t>
      </w:r>
    </w:p>
    <w:p w14:paraId="3B590834">
      <w:pPr>
        <w:pStyle w:val="10"/>
        <w:bidi w:val="0"/>
        <w:rPr>
          <w:b/>
          <w:bCs/>
        </w:rPr>
      </w:pPr>
      <w:r>
        <w:rPr>
          <w:rFonts w:hint="eastAsia"/>
          <w:b/>
          <w:bCs/>
        </w:rPr>
        <w:t>附：</w:t>
      </w:r>
      <w:r>
        <w:rPr>
          <w:b/>
          <w:bCs/>
        </w:rPr>
        <w:t>2012年市烟草专卖局（公司）领导班子成员名单</w:t>
      </w:r>
    </w:p>
    <w:p w14:paraId="2AB9478B">
      <w:pPr>
        <w:pStyle w:val="10"/>
        <w:bidi w:val="0"/>
      </w:pPr>
      <w:r>
        <w:rPr>
          <w:rFonts w:hint="eastAsia"/>
          <w:b/>
          <w:bCs/>
        </w:rPr>
        <w:t>专卖局长、总经理、党委书记：</w:t>
      </w:r>
      <w:r>
        <w:rPr>
          <w:rFonts w:hint="eastAsia"/>
        </w:rPr>
        <w:t>尹本良（任至</w:t>
      </w:r>
      <w:r>
        <w:t>2月）</w:t>
      </w:r>
    </w:p>
    <w:p w14:paraId="22A70CD9">
      <w:pPr>
        <w:pStyle w:val="10"/>
        <w:bidi w:val="0"/>
        <w:ind w:leftChars="1400"/>
      </w:pPr>
      <w:r>
        <w:rPr>
          <w:rFonts w:hint="eastAsia"/>
        </w:rPr>
        <w:t>肖少明（</w:t>
      </w:r>
      <w:r>
        <w:t>3月任）</w:t>
      </w:r>
    </w:p>
    <w:p w14:paraId="040058E4">
      <w:pPr>
        <w:pStyle w:val="10"/>
        <w:bidi w:val="0"/>
      </w:pPr>
      <w:r>
        <w:rPr>
          <w:rFonts w:hint="eastAsia"/>
          <w:b/>
          <w:bCs/>
        </w:rPr>
        <w:t>专卖副局长、党委副书记、纪检书记：</w:t>
      </w:r>
      <w:r>
        <w:rPr>
          <w:rFonts w:hint="eastAsia"/>
        </w:rPr>
        <w:t>彭志忠（任至</w:t>
      </w:r>
      <w:r>
        <w:t>2月）</w:t>
      </w:r>
    </w:p>
    <w:p w14:paraId="545CC418">
      <w:pPr>
        <w:pStyle w:val="10"/>
        <w:bidi w:val="0"/>
        <w:rPr>
          <w:rFonts w:hint="eastAsia"/>
        </w:rPr>
      </w:pPr>
      <w:r>
        <w:rPr>
          <w:rFonts w:hint="eastAsia"/>
          <w:b/>
          <w:bCs/>
        </w:rPr>
        <w:t>副总经理、工会主席：</w:t>
      </w:r>
      <w:r>
        <w:rPr>
          <w:rFonts w:hint="eastAsia"/>
        </w:rPr>
        <w:t>柯油松</w:t>
      </w:r>
    </w:p>
    <w:p w14:paraId="0E799498">
      <w:pPr>
        <w:pStyle w:val="10"/>
        <w:bidi w:val="0"/>
        <w:rPr>
          <w:rFonts w:hint="eastAsia"/>
        </w:rPr>
      </w:pPr>
      <w:r>
        <w:rPr>
          <w:rFonts w:hint="eastAsia"/>
          <w:b/>
          <w:bCs/>
        </w:rPr>
        <w:t>副总经理、纪检书记：</w:t>
      </w:r>
      <w:r>
        <w:rPr>
          <w:rFonts w:hint="eastAsia"/>
        </w:rPr>
        <w:t>肖国军</w:t>
      </w:r>
    </w:p>
    <w:p w14:paraId="2BA42817">
      <w:pPr>
        <w:pStyle w:val="3"/>
        <w:bidi w:val="0"/>
        <w:rPr>
          <w:rFonts w:hint="default"/>
          <w:lang w:val="en-US" w:eastAsia="zh-CN"/>
        </w:rPr>
      </w:pPr>
      <w:r>
        <w:rPr>
          <w:rFonts w:hint="eastAsia"/>
          <w:lang w:val="en-US" w:eastAsia="zh-CN"/>
        </w:rPr>
        <w:t>烟草研究</w:t>
      </w:r>
    </w:p>
    <w:p w14:paraId="2BBB2C55">
      <w:pPr>
        <w:pStyle w:val="4"/>
        <w:bidi w:val="0"/>
        <w:rPr>
          <w:rFonts w:hint="eastAsia"/>
        </w:rPr>
      </w:pPr>
      <w:r>
        <w:rPr>
          <w:rFonts w:hint="eastAsia"/>
        </w:rPr>
        <w:t>【概况】</w:t>
      </w:r>
    </w:p>
    <w:p w14:paraId="0DB62BAE">
      <w:r>
        <w:rPr>
          <w:rFonts w:hint="eastAsia"/>
        </w:rPr>
        <w:t>广东省烟草南雄科学研究所（广东烟草</w:t>
      </w:r>
      <w:r>
        <w:rPr>
          <w:rFonts w:hint="eastAsia"/>
          <w:lang w:eastAsia="zh-CN"/>
        </w:rPr>
        <w:t>粤</w:t>
      </w:r>
      <w:r>
        <w:rPr>
          <w:rFonts w:hint="eastAsia"/>
        </w:rPr>
        <w:t>北烟叶生产技术中心）是广东省烟草商业系统唯一的科研机构，前身是成立</w:t>
      </w:r>
      <w:r>
        <w:t>1963年的“广东南雄烟草试验</w:t>
      </w:r>
      <w:r>
        <w:rPr>
          <w:rFonts w:hint="eastAsia"/>
        </w:rPr>
        <w:t>站”，</w:t>
      </w:r>
      <w:r>
        <w:t>1987年改为“广东省南雄烟草研究所”，2002年</w:t>
      </w:r>
      <w:r>
        <w:rPr>
          <w:rFonts w:hint="eastAsia"/>
        </w:rPr>
        <w:t>更名为“广东省烟草南雄科学研究所”。</w:t>
      </w:r>
      <w:r>
        <w:t>2012年12</w:t>
      </w:r>
      <w:r>
        <w:rPr>
          <w:rFonts w:hint="eastAsia"/>
        </w:rPr>
        <w:t>月，广东省烟草专卖局成立广东烟草</w:t>
      </w:r>
      <w:r>
        <w:rPr>
          <w:rFonts w:hint="eastAsia"/>
          <w:lang w:eastAsia="zh-CN"/>
        </w:rPr>
        <w:t>粤</w:t>
      </w:r>
      <w:r>
        <w:rPr>
          <w:rFonts w:hint="eastAsia"/>
        </w:rPr>
        <w:t>北烟叶生产技术中心，广东烟草</w:t>
      </w:r>
      <w:r>
        <w:rPr>
          <w:rFonts w:hint="eastAsia"/>
          <w:lang w:eastAsia="zh-CN"/>
        </w:rPr>
        <w:t>粤</w:t>
      </w:r>
      <w:r>
        <w:rPr>
          <w:rFonts w:hint="eastAsia"/>
        </w:rPr>
        <w:t>北烟叶生产技术中心（以下简称粤北技术中心）与广东省烟草南雄科学研究所（以下简称南雄烟科所）合署办公，实行两块牌子、一套人马，行政关系隶属于韶关市烟草专卖局（公司），业务上受省局（公司）相关职能部门管理。南雄烟科所（粤北技术中心）的主要工作职责是：围绕烟叶生产发展需求，开展烟草品种选育、栽培、调制、植保</w:t>
      </w:r>
      <w:r>
        <w:rPr>
          <w:rFonts w:hint="eastAsia"/>
          <w:lang w:eastAsia="zh-CN"/>
        </w:rPr>
        <w:t>、</w:t>
      </w:r>
      <w:r>
        <w:rPr>
          <w:rFonts w:hint="eastAsia"/>
        </w:rPr>
        <w:t>现代烟草农业建设等科技项目的研究和成果转化工作；结合烟叶生产实际，组织开展烟叶生产先进适用技术的引进、吸收、消化和推广应用工作；负责全省烟草良种繁育与病虫害预测预报工作；负责全省烟叶产区烟叶质量评价、烟叶产品安全性指标的内控标准制定和检验工作；开展烟叶生产技术服务和相关技术培训工作；承担国家局下属科研单位及省局（公司）安排布置的科研、试验示范项目，参与区域性科技项目研究，做好相关横向项目的协同攻关工作；完成上级单位和领导交办的其他工作。</w:t>
      </w:r>
      <w:r>
        <w:t>2013年，南雄烟科所（粤</w:t>
      </w:r>
      <w:r>
        <w:rPr>
          <w:rFonts w:hint="eastAsia"/>
        </w:rPr>
        <w:t>北技术中心）有在编人员</w:t>
      </w:r>
      <w:r>
        <w:t>33人，其中专业技术人员21</w:t>
      </w:r>
      <w:r>
        <w:rPr>
          <w:rFonts w:hint="eastAsia"/>
        </w:rPr>
        <w:t>人，高级农艺师</w:t>
      </w:r>
      <w:r>
        <w:t>4人，博士1人，在读博士1人，硕</w:t>
      </w:r>
      <w:r>
        <w:rPr>
          <w:rFonts w:hint="eastAsia"/>
        </w:rPr>
        <w:t>士</w:t>
      </w:r>
      <w:r>
        <w:t>4人，在读硕士3人。</w:t>
      </w:r>
    </w:p>
    <w:p w14:paraId="52912AE9">
      <w:pPr>
        <w:pStyle w:val="4"/>
        <w:bidi w:val="0"/>
        <w:rPr>
          <w:rFonts w:hint="eastAsia"/>
        </w:rPr>
      </w:pPr>
      <w:r>
        <w:rPr>
          <w:rFonts w:hint="eastAsia"/>
        </w:rPr>
        <w:t>【机构设置】</w:t>
      </w:r>
    </w:p>
    <w:p w14:paraId="650F664D">
      <w:r>
        <w:rPr>
          <w:rFonts w:hint="eastAsia"/>
        </w:rPr>
        <w:t>南雄烟科所（</w:t>
      </w:r>
      <w:r>
        <w:rPr>
          <w:rFonts w:hint="eastAsia"/>
          <w:lang w:eastAsia="zh-CN"/>
        </w:rPr>
        <w:t>粤</w:t>
      </w:r>
      <w:r>
        <w:rPr>
          <w:rFonts w:hint="eastAsia"/>
        </w:rPr>
        <w:t>北技术中心）下设科技管理与技术协作办公室、烟草育种研究室、烟草栽培与调制研究室、烟草植物保护研究室和检测检验室</w:t>
      </w:r>
      <w:r>
        <w:t>5个部门。</w:t>
      </w:r>
    </w:p>
    <w:p w14:paraId="397FD150">
      <w:pPr>
        <w:pStyle w:val="4"/>
        <w:bidi w:val="0"/>
        <w:rPr>
          <w:rFonts w:hint="eastAsia"/>
        </w:rPr>
      </w:pPr>
      <w:r>
        <w:rPr>
          <w:rFonts w:hint="eastAsia"/>
        </w:rPr>
        <w:t>【科技创新】</w:t>
      </w:r>
    </w:p>
    <w:p w14:paraId="14DD6134">
      <w:pPr>
        <w:rPr>
          <w:rFonts w:hint="eastAsia"/>
          <w:lang w:eastAsia="zh-CN"/>
        </w:rPr>
      </w:pPr>
      <w:r>
        <w:rPr>
          <w:rFonts w:hint="eastAsia"/>
        </w:rPr>
        <w:t>加大科技创新力度，围绕制约广东省烟叶生产可持续发展的关键性技术问题，开展相关科技项目研究。</w:t>
      </w:r>
      <w:r>
        <w:t>2013年，南雄烟科所（粤北技术中心）</w:t>
      </w:r>
      <w:r>
        <w:rPr>
          <w:rFonts w:hint="eastAsia"/>
        </w:rPr>
        <w:t>独立或与有关单位合作承担国家烟草专卖局科技项目</w:t>
      </w:r>
      <w:r>
        <w:t>5项，广东省烟草专卖局（公司）科技项目17项，相</w:t>
      </w:r>
      <w:r>
        <w:rPr>
          <w:rFonts w:hint="eastAsia"/>
        </w:rPr>
        <w:t>关中烟工业公司科技项目</w:t>
      </w:r>
      <w:r>
        <w:t>4项。按照各科技项目2013</w:t>
      </w:r>
      <w:r>
        <w:rPr>
          <w:rFonts w:hint="eastAsia"/>
        </w:rPr>
        <w:t>年度实施方案的要求，部署落实各科技项目试验示范研究工作，完成各科技项目年度试验研究任务，各</w:t>
      </w:r>
      <w:r>
        <w:rPr>
          <w:rFonts w:hint="eastAsia"/>
          <w:lang w:val="en-US" w:eastAsia="zh-CN"/>
        </w:rPr>
        <w:t>科</w:t>
      </w:r>
      <w:r>
        <w:rPr>
          <w:rFonts w:hint="eastAsia"/>
        </w:rPr>
        <w:t>技项目研究进展顺利，在浓香型特色优质烟叶开发</w:t>
      </w:r>
      <w:r>
        <w:rPr>
          <w:rFonts w:hint="eastAsia"/>
          <w:lang w:eastAsia="zh-CN"/>
        </w:rPr>
        <w:t>、</w:t>
      </w:r>
      <w:r>
        <w:rPr>
          <w:rFonts w:hint="eastAsia"/>
        </w:rPr>
        <w:t>烤烟新品种选育、测土配方施肥、病虫害防</w:t>
      </w:r>
      <w:r>
        <w:rPr>
          <w:rFonts w:hint="eastAsia"/>
          <w:lang w:val="en-US" w:eastAsia="zh-CN"/>
        </w:rPr>
        <w:t>治</w:t>
      </w:r>
      <w:r>
        <w:rPr>
          <w:rFonts w:hint="eastAsia"/>
        </w:rPr>
        <w:t>、现代烟草农业建设等方面取得一定的成果，为广东省烟叶生产可持续发展提供技术支撑</w:t>
      </w:r>
      <w:r>
        <w:rPr>
          <w:rFonts w:hint="eastAsia"/>
          <w:lang w:eastAsia="zh-CN"/>
        </w:rPr>
        <w:t>。</w:t>
      </w:r>
    </w:p>
    <w:p w14:paraId="2263210E">
      <w:pPr>
        <w:pStyle w:val="4"/>
        <w:bidi w:val="0"/>
        <w:rPr>
          <w:rFonts w:hint="eastAsia"/>
        </w:rPr>
      </w:pPr>
      <w:r>
        <w:rPr>
          <w:rFonts w:hint="eastAsia"/>
        </w:rPr>
        <w:t>【科技服务】</w:t>
      </w:r>
    </w:p>
    <w:p w14:paraId="2FB37E67">
      <w:pPr>
        <w:rPr>
          <w:rFonts w:hint="eastAsia"/>
        </w:rPr>
      </w:pPr>
      <w:r>
        <w:rPr>
          <w:rFonts w:hint="eastAsia"/>
        </w:rPr>
        <w:t>加强对广东省烟叶产区的技术指导与服务。一是参与全省现代烟草农业建设工作，全面推进广东省现代烟草农业建设；二是作为技术依托单位，参与广东省特色优质烟叶开发工作；三是在烟叶生产期间，派出专业技术人员到产区进行技术培训与指导，派出</w:t>
      </w:r>
      <w:r>
        <w:t>2名专职技术人员长驻梅州烟区和连州新区开展</w:t>
      </w:r>
      <w:r>
        <w:rPr>
          <w:rFonts w:hint="eastAsia"/>
        </w:rPr>
        <w:t>技术指导与服务工作；四是做好广东省烟草病虫害预测预报和全省烟叶生产安全性监测工作；五是协助省局（公司）烟叶管理处，做好广东省烟叶质量评价和烟叶生产水平评价工作；六是做好广东省烤烟育苗配套物资服务工作，完成</w:t>
      </w:r>
      <w:r>
        <w:t>2014年烤烟良种繁育及包衣加</w:t>
      </w:r>
      <w:r>
        <w:rPr>
          <w:rFonts w:hint="eastAsia"/>
        </w:rPr>
        <w:t>工工作，完成</w:t>
      </w:r>
      <w:r>
        <w:t>2014年烤烟育苗基质、肥料配制及供应</w:t>
      </w:r>
      <w:r>
        <w:rPr>
          <w:rFonts w:hint="eastAsia"/>
        </w:rPr>
        <w:t>工作。</w:t>
      </w:r>
    </w:p>
    <w:p w14:paraId="4BDAC8B5">
      <w:pPr>
        <w:pStyle w:val="4"/>
        <w:bidi w:val="0"/>
        <w:rPr>
          <w:rFonts w:hint="eastAsia"/>
        </w:rPr>
      </w:pPr>
      <w:r>
        <w:rPr>
          <w:rFonts w:hint="eastAsia"/>
        </w:rPr>
        <w:t>【科研成果与知识产权】</w:t>
      </w:r>
    </w:p>
    <w:p w14:paraId="67C8D3BD">
      <w:r>
        <w:t>2013年，南雄烟科所（</w:t>
      </w:r>
      <w:r>
        <w:rPr>
          <w:rFonts w:hint="eastAsia"/>
          <w:lang w:eastAsia="zh-CN"/>
        </w:rPr>
        <w:t>粤</w:t>
      </w:r>
      <w:r>
        <w:rPr>
          <w:rFonts w:hint="eastAsia"/>
        </w:rPr>
        <w:t>北技术中心）取得科研成果</w:t>
      </w:r>
      <w:r>
        <w:t>6项，获得中烟实业发展</w:t>
      </w:r>
      <w:r>
        <w:rPr>
          <w:rFonts w:hint="eastAsia"/>
        </w:rPr>
        <w:t>中心科技进步一等奖</w:t>
      </w:r>
      <w:r>
        <w:t>1项，获得广东省烟草专卖局</w:t>
      </w:r>
      <w:r>
        <w:rPr>
          <w:rFonts w:hint="eastAsia"/>
        </w:rPr>
        <w:t>（公司）科技进步一等奖</w:t>
      </w:r>
      <w:r>
        <w:t>1项、二等奖1项、三等奖1</w:t>
      </w:r>
      <w:r>
        <w:rPr>
          <w:rFonts w:hint="eastAsia"/>
        </w:rPr>
        <w:t>项，获得韶关市科技进步一等奖</w:t>
      </w:r>
      <w:r>
        <w:t>1项、三等奖1项，</w:t>
      </w:r>
      <w:r>
        <w:rPr>
          <w:rFonts w:hint="eastAsia"/>
        </w:rPr>
        <w:t>获得实用新型专利授权</w:t>
      </w:r>
      <w:r>
        <w:t>1项，在国内外学术刊物上发</w:t>
      </w:r>
      <w:r>
        <w:rPr>
          <w:rFonts w:hint="eastAsia"/>
        </w:rPr>
        <w:t>表论文</w:t>
      </w:r>
      <w:r>
        <w:t>7篇。</w:t>
      </w:r>
    </w:p>
    <w:p w14:paraId="78C5A3D5">
      <w:pPr>
        <w:pStyle w:val="4"/>
        <w:bidi w:val="0"/>
        <w:rPr>
          <w:rFonts w:hint="eastAsia"/>
        </w:rPr>
      </w:pPr>
      <w:r>
        <w:rPr>
          <w:rFonts w:hint="eastAsia"/>
        </w:rPr>
        <w:t>【成果转化】</w:t>
      </w:r>
    </w:p>
    <w:p w14:paraId="7F79376B">
      <w:pPr>
        <w:rPr>
          <w:rFonts w:hint="eastAsia"/>
          <w:lang w:eastAsia="zh-CN"/>
        </w:rPr>
      </w:pPr>
      <w:r>
        <w:rPr>
          <w:rFonts w:hint="eastAsia"/>
        </w:rPr>
        <w:t>进一步加快科技成果转化应用，使科技成果转化为现实生产力。收集、整理近年来取得的最新科技成果，筛选出切合广东省实际的烟叶生产实用新技术，加大烟叶生产新技术推广力度。</w:t>
      </w:r>
      <w:r>
        <w:t>2013年主</w:t>
      </w:r>
      <w:r>
        <w:rPr>
          <w:rFonts w:hint="eastAsia"/>
        </w:rPr>
        <w:t>要开展“烤烟新品种</w:t>
      </w:r>
      <w:r>
        <w:rPr>
          <w:rFonts w:hint="eastAsia"/>
          <w:lang w:eastAsia="zh-CN"/>
        </w:rPr>
        <w:t>粤</w:t>
      </w:r>
      <w:r>
        <w:rPr>
          <w:rFonts w:hint="eastAsia"/>
        </w:rPr>
        <w:t>烟</w:t>
      </w:r>
      <w:r>
        <w:t>98”、“掺红沙客土改良土壤</w:t>
      </w:r>
      <w:r>
        <w:rPr>
          <w:rFonts w:hint="eastAsia"/>
        </w:rPr>
        <w:t>技术”、“‘前膜后草’覆盖技术”、“烟夹烘烤技术”和“烟叶生产农机化新技术”等烟叶生产新技术示范推广工作，推动烟叶生产技术进步</w:t>
      </w:r>
      <w:r>
        <w:rPr>
          <w:rFonts w:hint="eastAsia"/>
          <w:lang w:eastAsia="zh-CN"/>
        </w:rPr>
        <w:t>。</w:t>
      </w:r>
    </w:p>
    <w:p w14:paraId="16A44B37">
      <w:pPr>
        <w:pStyle w:val="4"/>
        <w:bidi w:val="0"/>
        <w:rPr>
          <w:rFonts w:hint="eastAsia"/>
        </w:rPr>
      </w:pPr>
      <w:r>
        <w:rPr>
          <w:rFonts w:hint="eastAsia"/>
        </w:rPr>
        <w:t>【交流合作】</w:t>
      </w:r>
    </w:p>
    <w:p w14:paraId="0D76DF17">
      <w:pPr>
        <w:rPr>
          <w:rFonts w:hint="eastAsia"/>
        </w:rPr>
      </w:pPr>
      <w:r>
        <w:rPr>
          <w:rFonts w:hint="eastAsia"/>
        </w:rPr>
        <w:t>加强科技合作与交流，与华南农业大学、广东省农科院、广东省生态环境与土壤研究所等高等院校、科研院所建立良好的科研协作关系，同时联合全省各烟叶产区公司、相关中烟工业公司，以科技项目为载体，共同开展技术攻关研究与开发，产学研合作开展烟草科技创新工作。</w:t>
      </w:r>
    </w:p>
    <w:p w14:paraId="67BDA029">
      <w:pPr>
        <w:jc w:val="right"/>
        <w:rPr>
          <w:rFonts w:hint="eastAsia"/>
          <w:b/>
          <w:bCs/>
        </w:rPr>
      </w:pPr>
      <w:r>
        <w:rPr>
          <w:rFonts w:hint="eastAsia"/>
          <w:b/>
          <w:bCs/>
        </w:rPr>
        <w:t>（陈永明）</w:t>
      </w:r>
    </w:p>
    <w:p w14:paraId="3C8B5E1E">
      <w:pPr>
        <w:pStyle w:val="10"/>
        <w:bidi w:val="0"/>
        <w:rPr>
          <w:rFonts w:hint="eastAsia"/>
          <w:b/>
          <w:bCs/>
        </w:rPr>
      </w:pPr>
      <w:r>
        <w:rPr>
          <w:rFonts w:hint="eastAsia"/>
          <w:b/>
          <w:bCs/>
        </w:rPr>
        <w:t>附：</w:t>
      </w:r>
      <w:r>
        <w:rPr>
          <w:b/>
          <w:bCs/>
        </w:rPr>
        <w:t>2013年广东省烟草南雄科学研究所领导班子成员</w:t>
      </w:r>
      <w:r>
        <w:rPr>
          <w:rFonts w:hint="eastAsia"/>
          <w:b/>
          <w:bCs/>
        </w:rPr>
        <w:t>名单</w:t>
      </w:r>
    </w:p>
    <w:p w14:paraId="6F146032">
      <w:pPr>
        <w:pStyle w:val="10"/>
        <w:bidi w:val="0"/>
        <w:rPr>
          <w:rFonts w:hint="eastAsia"/>
        </w:rPr>
      </w:pPr>
      <w:r>
        <w:rPr>
          <w:rFonts w:hint="eastAsia"/>
          <w:b/>
          <w:bCs/>
        </w:rPr>
        <w:t>所</w:t>
      </w:r>
      <w:r>
        <w:rPr>
          <w:rFonts w:hint="eastAsia"/>
          <w:b/>
          <w:bCs/>
          <w:lang w:val="en-US" w:eastAsia="zh-CN"/>
        </w:rPr>
        <w:t xml:space="preserve">  </w:t>
      </w:r>
      <w:r>
        <w:rPr>
          <w:rFonts w:hint="eastAsia"/>
          <w:b/>
          <w:bCs/>
        </w:rPr>
        <w:t>长：</w:t>
      </w:r>
      <w:r>
        <w:rPr>
          <w:rFonts w:hint="eastAsia"/>
        </w:rPr>
        <w:t>邱妙文</w:t>
      </w:r>
    </w:p>
    <w:p w14:paraId="11FB7443">
      <w:pPr>
        <w:pStyle w:val="10"/>
        <w:bidi w:val="0"/>
        <w:rPr>
          <w:rFonts w:hint="eastAsia"/>
        </w:rPr>
      </w:pPr>
      <w:r>
        <w:rPr>
          <w:rFonts w:hint="eastAsia"/>
          <w:b/>
          <w:bCs/>
        </w:rPr>
        <w:t>副所长：</w:t>
      </w:r>
      <w:r>
        <w:rPr>
          <w:rFonts w:hint="eastAsia"/>
        </w:rPr>
        <w:t>陈永明</w:t>
      </w:r>
      <w:r>
        <w:rPr>
          <w:rFonts w:hint="eastAsia"/>
          <w:lang w:val="en-US" w:eastAsia="zh-CN"/>
        </w:rPr>
        <w:t xml:space="preserve">   </w:t>
      </w:r>
      <w:r>
        <w:rPr>
          <w:rFonts w:hint="eastAsia"/>
        </w:rPr>
        <w:t>王</w:t>
      </w:r>
      <w:r>
        <w:rPr>
          <w:rFonts w:hint="eastAsia"/>
          <w:lang w:val="en-US" w:eastAsia="zh-CN"/>
        </w:rPr>
        <w:t xml:space="preserve">  </w:t>
      </w:r>
      <w:r>
        <w:rPr>
          <w:rFonts w:hint="eastAsia"/>
        </w:rPr>
        <w:t>军</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B5CC7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C56BA77">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1090" cy="3863340"/>
                  <wp:effectExtent l="0" t="0" r="10160" b="3810"/>
                  <wp:docPr id="54" name="图片 54" descr="南雄年鉴2014-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南雄年鉴2014-054"/>
                          <pic:cNvPicPr>
                            <a:picLocks noChangeAspect="1"/>
                          </pic:cNvPicPr>
                        </pic:nvPicPr>
                        <pic:blipFill>
                          <a:blip r:embed="rId124"/>
                          <a:stretch>
                            <a:fillRect/>
                          </a:stretch>
                        </pic:blipFill>
                        <pic:spPr>
                          <a:xfrm>
                            <a:off x="0" y="0"/>
                            <a:ext cx="6181090" cy="3863340"/>
                          </a:xfrm>
                          <a:prstGeom prst="rect">
                            <a:avLst/>
                          </a:prstGeom>
                        </pic:spPr>
                      </pic:pic>
                    </a:graphicData>
                  </a:graphic>
                </wp:inline>
              </w:drawing>
            </w:r>
          </w:p>
        </w:tc>
      </w:tr>
    </w:tbl>
    <w:p w14:paraId="116D77E7">
      <w:pPr>
        <w:pStyle w:val="2"/>
        <w:bidi w:val="0"/>
        <w:rPr>
          <w:rFonts w:hint="eastAsia"/>
        </w:rPr>
      </w:pPr>
      <w:r>
        <w:rPr>
          <w:rFonts w:hint="eastAsia"/>
        </w:rPr>
        <w:t>交通·通信</w:t>
      </w:r>
    </w:p>
    <w:p w14:paraId="13F59826">
      <w:pPr>
        <w:pStyle w:val="3"/>
        <w:bidi w:val="0"/>
        <w:rPr>
          <w:rFonts w:hint="eastAsia"/>
          <w:lang w:val="en-US" w:eastAsia="zh-CN"/>
        </w:rPr>
      </w:pPr>
      <w:r>
        <w:rPr>
          <w:rFonts w:hint="eastAsia"/>
          <w:lang w:val="en-US" w:eastAsia="zh-CN"/>
        </w:rPr>
        <w:t>交通运输</w:t>
      </w:r>
    </w:p>
    <w:p w14:paraId="689BB011">
      <w:pPr>
        <w:pStyle w:val="4"/>
        <w:bidi w:val="0"/>
        <w:rPr>
          <w:rFonts w:hint="eastAsia"/>
        </w:rPr>
      </w:pPr>
      <w:r>
        <w:rPr>
          <w:rFonts w:hint="eastAsia"/>
        </w:rPr>
        <w:t>【概况】</w:t>
      </w:r>
    </w:p>
    <w:p w14:paraId="453B85E2">
      <w:r>
        <w:rPr>
          <w:rFonts w:hint="eastAsia"/>
        </w:rPr>
        <w:t>南雄市交通运输局是负责南雄公路、水路和城市公共交通运输等交通运输行业工作的政府组成部门。内设</w:t>
      </w:r>
      <w:r>
        <w:t>5个科（股）室，分别是办公室、人事法</w:t>
      </w:r>
      <w:r>
        <w:rPr>
          <w:rFonts w:hint="eastAsia"/>
        </w:rPr>
        <w:t>制股、业务安全股、计财</w:t>
      </w:r>
      <w:r>
        <w:rPr>
          <w:rFonts w:hint="eastAsia"/>
          <w:lang w:val="en-US" w:eastAsia="zh-CN"/>
        </w:rPr>
        <w:t>股</w:t>
      </w:r>
      <w:r>
        <w:rPr>
          <w:rFonts w:hint="eastAsia"/>
        </w:rPr>
        <w:t>、综合行政执法局（副科）。下属事业单位</w:t>
      </w:r>
      <w:r>
        <w:t>2家，分别是地方公路管理站、交</w:t>
      </w:r>
      <w:r>
        <w:rPr>
          <w:rFonts w:hint="eastAsia"/>
        </w:rPr>
        <w:t>通管理总站；企业单位</w:t>
      </w:r>
      <w:r>
        <w:t>3家，分别是水运公司、搬运</w:t>
      </w:r>
      <w:r>
        <w:rPr>
          <w:rFonts w:hint="eastAsia"/>
        </w:rPr>
        <w:t>公司、运通汽车检测站。在</w:t>
      </w:r>
      <w:r>
        <w:t>2013年以开展“面向基</w:t>
      </w:r>
      <w:r>
        <w:rPr>
          <w:rFonts w:hint="eastAsia"/>
        </w:rPr>
        <w:t>层、整顿作风、服务群众”活动为推手，夯实“建</w:t>
      </w:r>
      <w:r>
        <w:rPr>
          <w:rFonts w:hint="eastAsia"/>
          <w:lang w:eastAsia="zh-CN"/>
        </w:rPr>
        <w:t>、</w:t>
      </w:r>
      <w:r>
        <w:rPr>
          <w:rFonts w:hint="eastAsia"/>
        </w:rPr>
        <w:t>管、养”工作，完成了市为民办的“九件实事”中的两件交通实事；实现了农村客运服务均等化的</w:t>
      </w:r>
      <w:r>
        <w:t>3个100%，高标准完成2013年的各项工作任务，为南雄</w:t>
      </w:r>
      <w:r>
        <w:rPr>
          <w:rFonts w:hint="eastAsia"/>
        </w:rPr>
        <w:t>经济建设的发展做出应有的贡献。市交通运输局被评为“人口与计划生育工作先进单位”、“争取竞争性项目资金先进单位”、“工会工作先进单位”、“社会治安</w:t>
      </w:r>
      <w:r>
        <w:rPr>
          <w:rFonts w:hint="eastAsia"/>
          <w:lang w:val="en-US" w:eastAsia="zh-CN"/>
        </w:rPr>
        <w:t>综</w:t>
      </w:r>
      <w:r>
        <w:rPr>
          <w:rFonts w:hint="eastAsia"/>
        </w:rPr>
        <w:t>合治理先进单位”等；</w:t>
      </w:r>
      <w:r>
        <w:t>2012年度获得“南雄市‘履</w:t>
      </w:r>
      <w:r>
        <w:rPr>
          <w:rFonts w:hint="eastAsia"/>
        </w:rPr>
        <w:t>职发展杯’篮球赛第一名”、“韶关市农村公路质量监督工作先进集体”、“</w:t>
      </w:r>
      <w:r>
        <w:t>2011-2012年度文明单位”等称</w:t>
      </w:r>
      <w:r>
        <w:rPr>
          <w:rFonts w:hint="eastAsia"/>
        </w:rPr>
        <w:t>号；</w:t>
      </w:r>
      <w:r>
        <w:t>2013年获得“2011-2012年度党风廉政建设先进</w:t>
      </w:r>
      <w:r>
        <w:rPr>
          <w:rFonts w:hint="eastAsia"/>
        </w:rPr>
        <w:t>单位”、“南雄市扶贫开发‘规划到户、责任到人’工作优秀单位”、“</w:t>
      </w:r>
      <w:r>
        <w:t>2011-2012年度全市人大代表建议办</w:t>
      </w:r>
      <w:r>
        <w:rPr>
          <w:rFonts w:hint="eastAsia"/>
        </w:rPr>
        <w:t>理工作先进单位”、“</w:t>
      </w:r>
      <w:r>
        <w:t>2012年经济社会突出贡献奖”</w:t>
      </w:r>
      <w:r>
        <w:rPr>
          <w:rFonts w:hint="eastAsia"/>
          <w:lang w:eastAsia="zh-CN"/>
        </w:rPr>
        <w:t>、“</w:t>
      </w:r>
      <w:r>
        <w:t>2012年度人口与计划生育工作先进单位”等称号。</w:t>
      </w:r>
      <w:r>
        <w:rPr>
          <w:rFonts w:hint="eastAsia"/>
        </w:rPr>
        <w:t>至</w:t>
      </w:r>
      <w:r>
        <w:t>2013年底，全市公路通车里程2062.424公里，其中</w:t>
      </w:r>
      <w:r>
        <w:rPr>
          <w:rFonts w:hint="eastAsia"/>
        </w:rPr>
        <w:t>国道</w:t>
      </w:r>
      <w:r>
        <w:t>42.4公里、省道130.1公里、县道272.073公里、</w:t>
      </w:r>
      <w:r>
        <w:rPr>
          <w:rFonts w:hint="eastAsia"/>
        </w:rPr>
        <w:t>乡道</w:t>
      </w:r>
      <w:r>
        <w:t>77</w:t>
      </w:r>
      <w:r>
        <w:rPr>
          <w:rFonts w:hint="eastAsia"/>
          <w:lang w:val="en-US" w:eastAsia="zh-CN"/>
        </w:rPr>
        <w:t>7</w:t>
      </w:r>
      <w:r>
        <w:t>.397公里、村道840.454公里，每平方公里通</w:t>
      </w:r>
      <w:r>
        <w:rPr>
          <w:rFonts w:hint="eastAsia"/>
        </w:rPr>
        <w:t>车里程达</w:t>
      </w:r>
      <w:r>
        <w:t>0.887公里。</w:t>
      </w:r>
    </w:p>
    <w:p w14:paraId="0B0C3B6E">
      <w:pPr>
        <w:pStyle w:val="4"/>
        <w:bidi w:val="0"/>
        <w:rPr>
          <w:rFonts w:hint="eastAsia"/>
        </w:rPr>
      </w:pPr>
      <w:r>
        <w:rPr>
          <w:rFonts w:hint="eastAsia"/>
        </w:rPr>
        <w:t>【交通规划】</w:t>
      </w:r>
    </w:p>
    <w:p w14:paraId="09148AA4">
      <w:r>
        <w:t>200</w:t>
      </w:r>
      <w:r>
        <w:rPr>
          <w:rFonts w:hint="eastAsia"/>
          <w:lang w:val="en-US" w:eastAsia="zh-CN"/>
        </w:rPr>
        <w:t>1</w:t>
      </w:r>
      <w:r>
        <w:t>年由南雄市交通局编制、市政府</w:t>
      </w:r>
      <w:r>
        <w:rPr>
          <w:rFonts w:hint="eastAsia"/>
        </w:rPr>
        <w:t>审批《</w:t>
      </w:r>
      <w:r>
        <w:t>200</w:t>
      </w:r>
      <w:r>
        <w:rPr>
          <w:rFonts w:hint="eastAsia"/>
          <w:lang w:val="en-US" w:eastAsia="zh-CN"/>
        </w:rPr>
        <w:t>1</w:t>
      </w:r>
      <w:r>
        <w:t>年—2020年南雄市农村公路发展规划》，</w:t>
      </w:r>
      <w:r>
        <w:rPr>
          <w:rFonts w:hint="eastAsia"/>
        </w:rPr>
        <w:t>规划以在市辖境内联结打通断头路，达到对内联网，对外省外县沟通三级以上公路为中心目标，实现“四纵、三横、二环”（四纵：梅关至古市、大兰至江头</w:t>
      </w:r>
      <w:r>
        <w:rPr>
          <w:rFonts w:hint="eastAsia"/>
          <w:lang w:eastAsia="zh-CN"/>
        </w:rPr>
        <w:t>、</w:t>
      </w:r>
      <w:r>
        <w:rPr>
          <w:rFonts w:hint="eastAsia"/>
        </w:rPr>
        <w:t>大塘至中岭、油山至坪田；三横：油山至帽子峰，分水坳至塘面、分水坳至百顺；二环：县城环市路、市辖区内周边乡镇联网水泥路）的路网格局。</w:t>
      </w:r>
      <w:r>
        <w:t>2004年编</w:t>
      </w:r>
      <w:r>
        <w:rPr>
          <w:rFonts w:hint="eastAsia"/>
        </w:rPr>
        <w:t>制《南雄市公路建设十一五规划》，其中重点实施经济干线和连通镇与镇的通道和出市通道，形成以“四纵、三横、二环”为骨架、干支相连、纵贯全市、通达四邻、安全便捷的公路网络。</w:t>
      </w:r>
      <w:r>
        <w:t>2005年编制《南雄市</w:t>
      </w:r>
      <w:r>
        <w:rPr>
          <w:rFonts w:hint="eastAsia"/>
        </w:rPr>
        <w:t>交通志》地方公路部分（</w:t>
      </w:r>
      <w:r>
        <w:t>1989年-2004年），主要概</w:t>
      </w:r>
      <w:r>
        <w:rPr>
          <w:rFonts w:hint="eastAsia"/>
        </w:rPr>
        <w:t>述了</w:t>
      </w:r>
      <w:r>
        <w:t>1989年至2004年南雄市地方公路建设历程。2008</w:t>
      </w:r>
      <w:r>
        <w:rPr>
          <w:rFonts w:hint="eastAsia"/>
        </w:rPr>
        <w:t>年编制《南雄市交通公路及用地总体规划》，概述交通用地现状和交通设施用地总规模。</w:t>
      </w:r>
      <w:r>
        <w:t>2010年编制《南</w:t>
      </w:r>
      <w:r>
        <w:rPr>
          <w:rFonts w:hint="eastAsia"/>
        </w:rPr>
        <w:t>雄市南岭生态、度</w:t>
      </w:r>
      <w:r>
        <w:rPr>
          <w:rFonts w:hint="eastAsia"/>
          <w:lang w:val="en-US" w:eastAsia="zh-CN"/>
        </w:rPr>
        <w:t>假</w:t>
      </w:r>
      <w:r>
        <w:rPr>
          <w:rFonts w:hint="eastAsia"/>
        </w:rPr>
        <w:t>旅游道路》规划项目，规划</w:t>
      </w:r>
      <w:r>
        <w:t>19个</w:t>
      </w:r>
      <w:r>
        <w:rPr>
          <w:rFonts w:hint="eastAsia"/>
        </w:rPr>
        <w:t>项目，总投资</w:t>
      </w:r>
      <w:r>
        <w:t>25773万元。同年6月参与编制《南雄</w:t>
      </w:r>
      <w:r>
        <w:rPr>
          <w:rFonts w:hint="eastAsia"/>
        </w:rPr>
        <w:t>市国民经济和社会发展第十二个五年重点专项规划》公路建设部分，有</w:t>
      </w:r>
      <w:r>
        <w:t>15个项目，总投资69470万元。2010年10月编制《2009-2013年通自然村公路硬底</w:t>
      </w:r>
      <w:r>
        <w:rPr>
          <w:rFonts w:hint="eastAsia"/>
        </w:rPr>
        <w:t>化》五年规划，建设规模</w:t>
      </w:r>
      <w:r>
        <w:t>807.98公里，总投资为33849</w:t>
      </w:r>
      <w:r>
        <w:rPr>
          <w:rFonts w:hint="eastAsia"/>
          <w:lang w:val="en-US" w:eastAsia="zh-CN"/>
        </w:rPr>
        <w:t>.</w:t>
      </w:r>
      <w:r>
        <w:t>08万元。</w:t>
      </w:r>
    </w:p>
    <w:p w14:paraId="009DD516">
      <w:pPr>
        <w:pStyle w:val="4"/>
        <w:bidi w:val="0"/>
        <w:rPr>
          <w:rFonts w:hint="eastAsia"/>
        </w:rPr>
      </w:pPr>
      <w:r>
        <w:rPr>
          <w:rFonts w:hint="eastAsia"/>
        </w:rPr>
        <w:t>【地方公路（桥梁）建设】</w:t>
      </w:r>
    </w:p>
    <w:p w14:paraId="2A49B00C">
      <w:r>
        <w:t>1.全力以赴，投入人力、</w:t>
      </w:r>
      <w:r>
        <w:rPr>
          <w:rFonts w:hint="eastAsia"/>
        </w:rPr>
        <w:t>物力、财力，做好</w:t>
      </w:r>
      <w:r>
        <w:t>2013年为民办的11件实事中的2</w:t>
      </w:r>
      <w:r>
        <w:rPr>
          <w:rFonts w:hint="eastAsia"/>
        </w:rPr>
        <w:t>件交通项目。一是</w:t>
      </w:r>
      <w:r>
        <w:t>X342线湖口至南亩段路面改造工</w:t>
      </w:r>
      <w:r>
        <w:rPr>
          <w:rFonts w:hint="eastAsia"/>
        </w:rPr>
        <w:t>程，全长</w:t>
      </w:r>
      <w:r>
        <w:t>20.6公里，总投资1800万元，预计至2014</w:t>
      </w:r>
      <w:r>
        <w:rPr>
          <w:rFonts w:hint="eastAsia"/>
        </w:rPr>
        <w:t>年春节前完成项目的主路面工程，</w:t>
      </w:r>
      <w:r>
        <w:t>2014年5月全面竣</w:t>
      </w:r>
      <w:r>
        <w:rPr>
          <w:rFonts w:hint="eastAsia"/>
        </w:rPr>
        <w:t>工。二是</w:t>
      </w:r>
      <w:r>
        <w:t>60公里农村公路水泥硬底化建设项目，实际</w:t>
      </w:r>
      <w:r>
        <w:rPr>
          <w:rFonts w:hint="eastAsia"/>
        </w:rPr>
        <w:t>完成</w:t>
      </w:r>
      <w:r>
        <w:t>85公里，投资2075万元，超额完成任务的42%。</w:t>
      </w:r>
    </w:p>
    <w:p w14:paraId="43C2BE81">
      <w:pPr>
        <w:rPr>
          <w:rFonts w:hint="eastAsia"/>
        </w:rPr>
      </w:pPr>
      <w:r>
        <w:t>2.完成九头园桥、上矽桥、勋口桥新（改）造工</w:t>
      </w:r>
      <w:r>
        <w:rPr>
          <w:rFonts w:hint="eastAsia"/>
        </w:rPr>
        <w:t>程，完成芦陂大桥新建工程。</w:t>
      </w:r>
    </w:p>
    <w:p w14:paraId="79D83ABD">
      <w:pPr>
        <w:rPr>
          <w:rFonts w:hint="eastAsia"/>
        </w:rPr>
      </w:pPr>
      <w:r>
        <w:t>3.完成X343线孔江至黄泥井段2公里路面挖补</w:t>
      </w:r>
      <w:r>
        <w:rPr>
          <w:rFonts w:hint="eastAsia"/>
        </w:rPr>
        <w:t>工程。</w:t>
      </w:r>
    </w:p>
    <w:p w14:paraId="472D15A0">
      <w:pPr>
        <w:rPr>
          <w:rFonts w:hint="eastAsia"/>
        </w:rPr>
      </w:pPr>
      <w:r>
        <w:t>4.完成Y524线坪田至迳洞公路改造工程与其养</w:t>
      </w:r>
      <w:r>
        <w:rPr>
          <w:rFonts w:hint="eastAsia"/>
        </w:rPr>
        <w:t>护服务设计（养护中心）招投标工作及</w:t>
      </w:r>
      <w:r>
        <w:t>X338线江头</w:t>
      </w:r>
      <w:r>
        <w:rPr>
          <w:rFonts w:hint="eastAsia"/>
        </w:rPr>
        <w:t>至青嶂山公路路面大修工程施工图设计工作。</w:t>
      </w:r>
    </w:p>
    <w:p w14:paraId="2D769305">
      <w:pPr>
        <w:rPr>
          <w:rFonts w:hint="eastAsia"/>
        </w:rPr>
      </w:pPr>
      <w:r>
        <w:t>5.完成柴岭大桥等10个项目的竣工决算和审计</w:t>
      </w:r>
      <w:r>
        <w:rPr>
          <w:rFonts w:hint="eastAsia"/>
          <w:lang w:eastAsia="zh-CN"/>
        </w:rPr>
        <w:t>、</w:t>
      </w:r>
      <w:r>
        <w:rPr>
          <w:rFonts w:hint="eastAsia"/>
        </w:rPr>
        <w:t>档案编制工作。</w:t>
      </w:r>
    </w:p>
    <w:p w14:paraId="3319B683">
      <w:r>
        <w:t>6.完成柴岭大桥桥墩维修、局部基础抛石防护工</w:t>
      </w:r>
      <w:r>
        <w:rPr>
          <w:rFonts w:hint="eastAsia"/>
        </w:rPr>
        <w:t>程和白龙桥临时维修加固工程，以及莲塘桥、新田桥等</w:t>
      </w:r>
      <w:r>
        <w:t>12座桥梁预防性养护维修工作。</w:t>
      </w:r>
    </w:p>
    <w:p w14:paraId="035E011C">
      <w:r>
        <w:t>7.完成全安大道班建设工程和江头、黎口、湖口</w:t>
      </w:r>
      <w:r>
        <w:rPr>
          <w:rFonts w:hint="eastAsia"/>
        </w:rPr>
        <w:t>等</w:t>
      </w:r>
      <w:r>
        <w:t>3个道班房维修工程。</w:t>
      </w:r>
    </w:p>
    <w:p w14:paraId="16A6D8A7">
      <w:pPr>
        <w:rPr>
          <w:rFonts w:hint="eastAsia"/>
        </w:rPr>
      </w:pPr>
      <w:r>
        <w:t>8.组织设计单位完成白云墟桥、荔迳桥维修加固</w:t>
      </w:r>
      <w:r>
        <w:rPr>
          <w:rFonts w:hint="eastAsia"/>
        </w:rPr>
        <w:t>方案设计。目前，社官前桥正在施工中。</w:t>
      </w:r>
    </w:p>
    <w:p w14:paraId="1D996C88">
      <w:pPr>
        <w:rPr>
          <w:rFonts w:hint="eastAsia"/>
        </w:rPr>
      </w:pPr>
      <w:r>
        <w:t>9.做好富俚至中里洞战备公路的用地预审、环</w:t>
      </w:r>
      <w:r>
        <w:rPr>
          <w:rFonts w:hint="eastAsia"/>
        </w:rPr>
        <w:t>评、资源消耗调</w:t>
      </w:r>
      <w:r>
        <w:rPr>
          <w:rFonts w:hint="eastAsia"/>
          <w:lang w:eastAsia="zh-CN"/>
        </w:rPr>
        <w:t>查</w:t>
      </w:r>
      <w:r>
        <w:rPr>
          <w:rFonts w:hint="eastAsia"/>
        </w:rPr>
        <w:t>补报资料工作。</w:t>
      </w:r>
    </w:p>
    <w:p w14:paraId="5FBBA5B0">
      <w:pPr>
        <w:pStyle w:val="4"/>
        <w:bidi w:val="0"/>
        <w:rPr>
          <w:rFonts w:hint="eastAsia"/>
        </w:rPr>
      </w:pPr>
      <w:r>
        <w:rPr>
          <w:rFonts w:hint="eastAsia"/>
          <w:lang w:eastAsia="zh-CN"/>
        </w:rPr>
        <w:t>【</w:t>
      </w:r>
      <w:r>
        <w:rPr>
          <w:rFonts w:hint="eastAsia"/>
        </w:rPr>
        <w:t>地方公路管理养护】</w:t>
      </w:r>
    </w:p>
    <w:p w14:paraId="13F8C80F">
      <w:pPr>
        <w:rPr>
          <w:rFonts w:hint="eastAsia"/>
        </w:rPr>
      </w:pPr>
      <w:r>
        <w:t>2013年，公路管养里程为1889.338公里，其中：县道272</w:t>
      </w:r>
      <w:r>
        <w:rPr>
          <w:rFonts w:hint="eastAsia"/>
          <w:lang w:val="en-US" w:eastAsia="zh-CN"/>
        </w:rPr>
        <w:t>.</w:t>
      </w:r>
      <w:r>
        <w:t>780公里，乡道里程776.081公里，村道里程840.454公里，养护率达到100%。2013年落实公路小修保养检</w:t>
      </w:r>
      <w:r>
        <w:rPr>
          <w:rFonts w:hint="eastAsia"/>
          <w:lang w:eastAsia="zh-CN"/>
        </w:rPr>
        <w:t>查</w:t>
      </w:r>
      <w:r>
        <w:t>评比制度，同时</w:t>
      </w:r>
      <w:r>
        <w:rPr>
          <w:rFonts w:hint="eastAsia"/>
        </w:rPr>
        <w:t>建立公路养护巡</w:t>
      </w:r>
      <w:r>
        <w:rPr>
          <w:rFonts w:hint="eastAsia"/>
          <w:lang w:eastAsia="zh-CN"/>
        </w:rPr>
        <w:t>查</w:t>
      </w:r>
      <w:r>
        <w:rPr>
          <w:rFonts w:hint="eastAsia"/>
        </w:rPr>
        <w:t>制度，各道班坚持上路进行养护作业和路政的巡</w:t>
      </w:r>
      <w:r>
        <w:rPr>
          <w:rFonts w:hint="eastAsia"/>
          <w:lang w:eastAsia="zh-CN"/>
        </w:rPr>
        <w:t>查</w:t>
      </w:r>
      <w:r>
        <w:rPr>
          <w:rFonts w:hint="eastAsia"/>
        </w:rPr>
        <w:t>工作。</w:t>
      </w:r>
    </w:p>
    <w:p w14:paraId="31C980B2">
      <w:pPr>
        <w:rPr>
          <w:rFonts w:hint="eastAsia"/>
        </w:rPr>
      </w:pPr>
      <w:r>
        <w:t>1.推进农村公路养护年活动工作。为了落实管养</w:t>
      </w:r>
      <w:r>
        <w:rPr>
          <w:rFonts w:hint="eastAsia"/>
        </w:rPr>
        <w:t>责任，建立健全农村公路养护管理机制，确保道路安全运营，促进农村经济发展的需要，在全市</w:t>
      </w:r>
      <w:r>
        <w:t>18个乡镇</w:t>
      </w:r>
      <w:r>
        <w:rPr>
          <w:rFonts w:hint="eastAsia"/>
        </w:rPr>
        <w:t>成立了农村公路管理办公室，明确人员，完善上墙内业资料、镇养护线路图和宣传横幅、养护年活动宣传栏等。此外，还邀请各镇农村公路管理办公室的工作人员参与检</w:t>
      </w:r>
      <w:r>
        <w:rPr>
          <w:rFonts w:hint="eastAsia"/>
          <w:lang w:eastAsia="zh-CN"/>
        </w:rPr>
        <w:t>查</w:t>
      </w:r>
      <w:r>
        <w:rPr>
          <w:rFonts w:hint="eastAsia"/>
        </w:rPr>
        <w:t>。</w:t>
      </w:r>
    </w:p>
    <w:p w14:paraId="13FF9271">
      <w:r>
        <w:t>2.加强桥梁的日常检</w:t>
      </w:r>
      <w:r>
        <w:rPr>
          <w:rFonts w:hint="eastAsia"/>
          <w:lang w:eastAsia="zh-CN"/>
        </w:rPr>
        <w:t>查</w:t>
      </w:r>
      <w:r>
        <w:t>、养护管理及养护技术培</w:t>
      </w:r>
      <w:r>
        <w:rPr>
          <w:rFonts w:hint="eastAsia"/>
        </w:rPr>
        <w:t>训。每季度都对县、乡道的所</w:t>
      </w:r>
      <w:r>
        <w:rPr>
          <w:rFonts w:hint="eastAsia"/>
          <w:lang w:val="en-US" w:eastAsia="zh-CN"/>
        </w:rPr>
        <w:t>有</w:t>
      </w:r>
      <w:r>
        <w:rPr>
          <w:rFonts w:hint="eastAsia"/>
        </w:rPr>
        <w:t>桥梁和县道部分大涵洞进行全面检</w:t>
      </w:r>
      <w:r>
        <w:rPr>
          <w:rFonts w:hint="eastAsia"/>
          <w:lang w:eastAsia="zh-CN"/>
        </w:rPr>
        <w:t>查</w:t>
      </w:r>
      <w:r>
        <w:rPr>
          <w:rFonts w:hint="eastAsia"/>
        </w:rPr>
        <w:t>；对每座桥进行详细填写《桥梁经常检</w:t>
      </w:r>
      <w:r>
        <w:rPr>
          <w:rFonts w:hint="eastAsia"/>
          <w:lang w:eastAsia="zh-CN"/>
        </w:rPr>
        <w:t>查</w:t>
      </w:r>
      <w:r>
        <w:rPr>
          <w:rFonts w:hint="eastAsia"/>
        </w:rPr>
        <w:t>记录表》，及时更新《桥梁管理系统》数据。对检</w:t>
      </w:r>
      <w:r>
        <w:rPr>
          <w:rFonts w:hint="eastAsia"/>
          <w:lang w:eastAsia="zh-CN"/>
        </w:rPr>
        <w:t>查</w:t>
      </w:r>
      <w:r>
        <w:rPr>
          <w:rFonts w:hint="eastAsia"/>
        </w:rPr>
        <w:t>发现问题的洋西桥等</w:t>
      </w:r>
      <w:r>
        <w:t>3座小桥采取了维修措施。</w:t>
      </w:r>
    </w:p>
    <w:p w14:paraId="37339520">
      <w:r>
        <w:t>3.做好公路自然与人为灾害的抢险、抢修工作2013年1月初的雨雪冰冻灾害致使交通中断、连续几</w:t>
      </w:r>
      <w:r>
        <w:rPr>
          <w:rFonts w:hint="eastAsia"/>
        </w:rPr>
        <w:t>次的大雨造成我市的部分地方公路水毁（公路路基外侧垮塌、坍塌）等，及时组织安排施工队和道班养护工人清除公路路面抢修损毁的公路，及时恢复交通；</w:t>
      </w:r>
      <w:r>
        <w:t>2013年1月30日晚X338黎大线K6+350处勋口桥面</w:t>
      </w:r>
      <w:r>
        <w:rPr>
          <w:rFonts w:hint="eastAsia"/>
        </w:rPr>
        <w:t>被超载重车重压致桥面断裂，</w:t>
      </w:r>
      <w:r>
        <w:t>7月15日建成通车。</w:t>
      </w:r>
    </w:p>
    <w:p w14:paraId="6CB2DF1A">
      <w:r>
        <w:t>4.完成路面清缝、灌缝及县道公路绿化种植补种</w:t>
      </w:r>
      <w:r>
        <w:rPr>
          <w:rFonts w:hint="eastAsia"/>
        </w:rPr>
        <w:t>工作。县道路段采用用养护机械进行清缝再用沥青实施灌缝，</w:t>
      </w:r>
      <w:r>
        <w:t>2013年完成X338线黎口~江头（涌溪）段10.0公里，X340线全安~苍石段5</w:t>
      </w:r>
      <w:r>
        <w:rPr>
          <w:rFonts w:hint="eastAsia"/>
          <w:lang w:val="en-US" w:eastAsia="zh-CN"/>
        </w:rPr>
        <w:t>.</w:t>
      </w:r>
      <w:r>
        <w:t>0公里的沥青灌</w:t>
      </w:r>
      <w:r>
        <w:rPr>
          <w:rFonts w:hint="eastAsia"/>
        </w:rPr>
        <w:t>缝。同时，对县道公路绿化种植，缺失补种</w:t>
      </w:r>
      <w:r>
        <w:rPr>
          <w:rFonts w:hint="eastAsia"/>
          <w:lang w:val="en-US" w:eastAsia="zh-CN"/>
        </w:rPr>
        <w:t>X</w:t>
      </w:r>
      <w:r>
        <w:t>337长马</w:t>
      </w:r>
      <w:r>
        <w:rPr>
          <w:rFonts w:hint="eastAsia"/>
        </w:rPr>
        <w:t>线、</w:t>
      </w:r>
      <w:r>
        <w:t>X338黎大线、X340全百线、</w:t>
      </w:r>
      <w:r>
        <w:rPr>
          <w:rFonts w:hint="eastAsia"/>
          <w:lang w:val="en-US" w:eastAsia="zh-CN"/>
        </w:rPr>
        <w:t>X</w:t>
      </w:r>
      <w:r>
        <w:t>342珠坳线等4条</w:t>
      </w:r>
      <w:r>
        <w:rPr>
          <w:rFonts w:hint="eastAsia"/>
        </w:rPr>
        <w:t>线路的夹竹桃，共种植</w:t>
      </w:r>
      <w:r>
        <w:t>4000多株。</w:t>
      </w:r>
    </w:p>
    <w:p w14:paraId="370FF1E9">
      <w:pPr>
        <w:rPr>
          <w:rFonts w:hint="eastAsia"/>
        </w:rPr>
      </w:pPr>
      <w:r>
        <w:t>5.做好</w:t>
      </w:r>
      <w:r>
        <w:rPr>
          <w:rFonts w:hint="eastAsia" w:ascii="宋体" w:hAnsi="宋体" w:cs="宋体"/>
        </w:rPr>
        <w:t>“</w:t>
      </w:r>
      <w:r>
        <w:t>示范镇</w:t>
      </w:r>
      <w:r>
        <w:rPr>
          <w:rFonts w:hint="eastAsia" w:ascii="宋体" w:hAnsi="宋体" w:cs="宋体"/>
        </w:rPr>
        <w:t>”</w:t>
      </w:r>
      <w:r>
        <w:t>公路养护示范路评比工作。为</w:t>
      </w:r>
      <w:r>
        <w:rPr>
          <w:rFonts w:hint="eastAsia"/>
        </w:rPr>
        <w:t>贯彻上级文件精神，更好地完成“示范镇”的各项工作任务，</w:t>
      </w:r>
      <w:r>
        <w:t>3月12日局组织6家养护公司和2个养护队</w:t>
      </w:r>
      <w:r>
        <w:rPr>
          <w:rFonts w:hint="eastAsia"/>
        </w:rPr>
        <w:t>负责人分别在水口、主田镇（</w:t>
      </w:r>
      <w:r>
        <w:t>Y582线、Y478线）举</w:t>
      </w:r>
      <w:r>
        <w:rPr>
          <w:rFonts w:hint="eastAsia"/>
        </w:rPr>
        <w:t>办农村公路“示范路”活动，交流养护技术，并邀请到乡镇农村公路管理办公室领导、工作人员参加，要求各家养护公司以“示范路”为榜样，相互学习，相互竞争，按照养护技术规范来实施，做到农村公路的路肩基本平整，无杂高草，路面干净，排水畅通。</w:t>
      </w:r>
    </w:p>
    <w:p w14:paraId="069F9725">
      <w:pPr>
        <w:rPr>
          <w:rFonts w:hint="eastAsia" w:eastAsia="宋体"/>
          <w:lang w:eastAsia="zh-CN"/>
        </w:rPr>
      </w:pPr>
      <w:r>
        <w:t>6.完成交通量比重工作。为了掌握公路交通流量</w:t>
      </w:r>
      <w:r>
        <w:rPr>
          <w:rFonts w:hint="eastAsia"/>
        </w:rPr>
        <w:t>的分布情况，更好地为公路管理和公众出行等提供真实准确的基础数据。于</w:t>
      </w:r>
      <w:r>
        <w:t>2013年10月15日7：00至16</w:t>
      </w:r>
      <w:r>
        <w:rPr>
          <w:rFonts w:hint="eastAsia"/>
        </w:rPr>
        <w:t>日</w:t>
      </w:r>
      <w:r>
        <w:t>7：00，统一进行县乡道四类公路比重调</w:t>
      </w:r>
      <w:r>
        <w:rPr>
          <w:rFonts w:hint="eastAsia"/>
          <w:lang w:eastAsia="zh-CN"/>
        </w:rPr>
        <w:t>查</w:t>
      </w:r>
      <w:r>
        <w:t>。本次调</w:t>
      </w:r>
      <w:r>
        <w:rPr>
          <w:rFonts w:hint="eastAsia"/>
          <w:lang w:eastAsia="zh-CN"/>
        </w:rPr>
        <w:t>查</w:t>
      </w:r>
      <w:r>
        <w:rPr>
          <w:rFonts w:hint="eastAsia"/>
        </w:rPr>
        <w:t>涉及全市</w:t>
      </w:r>
      <w:r>
        <w:t>18个镇（街道），其中包括县道9条线路</w:t>
      </w:r>
      <w:r>
        <w:rPr>
          <w:rFonts w:hint="eastAsia"/>
          <w:lang w:eastAsia="zh-CN"/>
        </w:rPr>
        <w:t>、</w:t>
      </w:r>
      <w:r>
        <w:rPr>
          <w:rFonts w:hint="eastAsia"/>
        </w:rPr>
        <w:t>乡道</w:t>
      </w:r>
      <w:r>
        <w:t>5条线路，共布置了20个调</w:t>
      </w:r>
      <w:r>
        <w:rPr>
          <w:rFonts w:hint="eastAsia"/>
          <w:lang w:eastAsia="zh-CN"/>
        </w:rPr>
        <w:t>查</w:t>
      </w:r>
      <w:r>
        <w:t>观测点，其中县道15个观测点，乡道5个观测点。采取人工24小时连续</w:t>
      </w:r>
      <w:r>
        <w:rPr>
          <w:rFonts w:hint="eastAsia"/>
        </w:rPr>
        <w:t>观测的方式进行，</w:t>
      </w:r>
      <w:r>
        <w:t>7个车流量多的观测点采用了人工计</w:t>
      </w:r>
      <w:r>
        <w:rPr>
          <w:rFonts w:hint="eastAsia"/>
        </w:rPr>
        <w:t>数器的统计方式，投入相关统计人员</w:t>
      </w:r>
      <w:r>
        <w:t>40余人。圆满完</w:t>
      </w:r>
      <w:r>
        <w:rPr>
          <w:rFonts w:hint="eastAsia"/>
        </w:rPr>
        <w:t>成交通量比重调</w:t>
      </w:r>
      <w:r>
        <w:rPr>
          <w:rFonts w:hint="eastAsia"/>
          <w:lang w:eastAsia="zh-CN"/>
        </w:rPr>
        <w:t>查。</w:t>
      </w:r>
    </w:p>
    <w:p w14:paraId="61B99429">
      <w:r>
        <w:t>7.完成交通指路牌工作。为落实“为民办实事，</w:t>
      </w:r>
      <w:r>
        <w:rPr>
          <w:rFonts w:hint="eastAsia"/>
        </w:rPr>
        <w:t>方便服务群众”的理念。按照韶关市局和公路管理总站的工作部署，截至</w:t>
      </w:r>
      <w:r>
        <w:t>11月底完成乡村道线路主要路口</w:t>
      </w:r>
      <w:r>
        <w:rPr>
          <w:rFonts w:hint="eastAsia"/>
        </w:rPr>
        <w:t>设置交通指路牌，现已完成</w:t>
      </w:r>
      <w:r>
        <w:t>10个镇210多块村庄指路</w:t>
      </w:r>
      <w:r>
        <w:rPr>
          <w:rFonts w:hint="eastAsia"/>
        </w:rPr>
        <w:t>牌安装埋种等</w:t>
      </w:r>
      <w:r>
        <w:rPr>
          <w:rFonts w:hint="eastAsia"/>
          <w:lang w:eastAsia="zh-CN"/>
        </w:rPr>
        <w:t>工作</w:t>
      </w:r>
      <w:r>
        <w:t>，方便过往行人、车辆的出行。</w:t>
      </w:r>
    </w:p>
    <w:p w14:paraId="274B063E">
      <w:pPr>
        <w:pStyle w:val="4"/>
        <w:bidi w:val="0"/>
        <w:rPr>
          <w:rFonts w:hint="eastAsia"/>
        </w:rPr>
      </w:pPr>
      <w:r>
        <w:rPr>
          <w:rFonts w:hint="eastAsia"/>
        </w:rPr>
        <w:t>【依法行政】</w:t>
      </w:r>
    </w:p>
    <w:p w14:paraId="419CB08D">
      <w:r>
        <w:rPr>
          <w:rFonts w:hint="eastAsia"/>
        </w:rPr>
        <w:t>执法局加大非法营运打击力度，开展流动治超稽</w:t>
      </w:r>
      <w:r>
        <w:rPr>
          <w:rFonts w:hint="eastAsia"/>
          <w:lang w:eastAsia="zh-CN"/>
        </w:rPr>
        <w:t>查</w:t>
      </w:r>
      <w:r>
        <w:rPr>
          <w:rFonts w:hint="eastAsia"/>
        </w:rPr>
        <w:t>工作、全力开展“打非治违”工作。据不完全统计，</w:t>
      </w:r>
      <w:r>
        <w:t>2013年出动执法车辆476辆次，出动执</w:t>
      </w:r>
      <w:r>
        <w:rPr>
          <w:rFonts w:hint="eastAsia"/>
        </w:rPr>
        <w:t>法人员</w:t>
      </w:r>
      <w:r>
        <w:t>2139人次，检</w:t>
      </w:r>
      <w:r>
        <w:rPr>
          <w:rFonts w:hint="eastAsia"/>
          <w:lang w:eastAsia="zh-CN"/>
        </w:rPr>
        <w:t>查</w:t>
      </w:r>
      <w:r>
        <w:t>车辆2309台次，</w:t>
      </w:r>
      <w:r>
        <w:rPr>
          <w:rFonts w:hint="eastAsia"/>
          <w:lang w:eastAsia="zh-CN"/>
        </w:rPr>
        <w:t>查</w:t>
      </w:r>
      <w:r>
        <w:t>处违章车辆255台，</w:t>
      </w:r>
      <w:r>
        <w:rPr>
          <w:rFonts w:hint="eastAsia"/>
          <w:lang w:eastAsia="zh-CN"/>
        </w:rPr>
        <w:t>查</w:t>
      </w:r>
      <w:r>
        <w:t>处案件255宗。其中非法营运41宗，客运</w:t>
      </w:r>
      <w:r>
        <w:rPr>
          <w:rFonts w:hint="eastAsia"/>
        </w:rPr>
        <w:t>班车站外揽客</w:t>
      </w:r>
      <w:r>
        <w:t>11宗，维修1宗，改装车辆11宗、货</w:t>
      </w:r>
      <w:r>
        <w:rPr>
          <w:rFonts w:hint="eastAsia"/>
        </w:rPr>
        <w:t>车超限超载</w:t>
      </w:r>
      <w:r>
        <w:t>150宗，公路违章案件4宗，其他违章行</w:t>
      </w:r>
      <w:r>
        <w:rPr>
          <w:rFonts w:hint="eastAsia"/>
        </w:rPr>
        <w:t>为</w:t>
      </w:r>
      <w:r>
        <w:t>37宗。</w:t>
      </w:r>
    </w:p>
    <w:p w14:paraId="08EFB8BA">
      <w:pPr>
        <w:rPr>
          <w:rFonts w:hint="eastAsia"/>
        </w:rPr>
      </w:pPr>
      <w:r>
        <w:t>1.打击非法营运工作。加强韶关线和各乡镇区间</w:t>
      </w:r>
      <w:r>
        <w:rPr>
          <w:rFonts w:hint="eastAsia"/>
        </w:rPr>
        <w:t>班线、市区常出现非营车的地点及路段的巡</w:t>
      </w:r>
      <w:r>
        <w:rPr>
          <w:rFonts w:hint="eastAsia"/>
          <w:lang w:eastAsia="zh-CN"/>
        </w:rPr>
        <w:t>查</w:t>
      </w:r>
      <w:r>
        <w:rPr>
          <w:rFonts w:hint="eastAsia"/>
        </w:rPr>
        <w:t>，采取不定时、不定点的方式突击巡</w:t>
      </w:r>
      <w:r>
        <w:rPr>
          <w:rFonts w:hint="eastAsia"/>
          <w:lang w:eastAsia="zh-CN"/>
        </w:rPr>
        <w:t>查</w:t>
      </w:r>
      <w:r>
        <w:rPr>
          <w:rFonts w:hint="eastAsia"/>
        </w:rPr>
        <w:t>，加大打击力度，取得良好的效果。</w:t>
      </w:r>
      <w:r>
        <w:t>2013年</w:t>
      </w:r>
      <w:r>
        <w:rPr>
          <w:rFonts w:hint="eastAsia"/>
          <w:lang w:eastAsia="zh-CN"/>
        </w:rPr>
        <w:t>查</w:t>
      </w:r>
      <w:r>
        <w:t>处非法营运车辆41辆，非营</w:t>
      </w:r>
      <w:r>
        <w:rPr>
          <w:rFonts w:hint="eastAsia"/>
        </w:rPr>
        <w:t>车辆在逐渐减少，运输市场秩序良好，维护合法经营者权益，确保乘客生命财产安全，得到上级交通主管部门和运输企业的好评。</w:t>
      </w:r>
    </w:p>
    <w:p w14:paraId="60527085">
      <w:r>
        <w:t>2.流动治超工作。流动治超是执法的工作重点，</w:t>
      </w:r>
      <w:r>
        <w:rPr>
          <w:rFonts w:hint="eastAsia"/>
        </w:rPr>
        <w:t>该项工作已形成制度化、规范化、合法化的管理模式。</w:t>
      </w:r>
      <w:r>
        <w:rPr>
          <w:rFonts w:hint="eastAsia"/>
          <w:lang w:val="en-US" w:eastAsia="zh-CN"/>
        </w:rPr>
        <w:t>严</w:t>
      </w:r>
      <w:r>
        <w:rPr>
          <w:rFonts w:hint="eastAsia"/>
        </w:rPr>
        <w:t>把治超卸货转运关，对所有超限的车辆一律进行强制卸货转运，切实做到以处罚为辅，教育为主。据统计，</w:t>
      </w:r>
      <w:r>
        <w:t>2013年开展流动治超工作出动执法车辆378辆次，</w:t>
      </w:r>
      <w:r>
        <w:rPr>
          <w:rFonts w:hint="eastAsia"/>
        </w:rPr>
        <w:t>执法人员</w:t>
      </w:r>
      <w:r>
        <w:t>1032人次，检</w:t>
      </w:r>
      <w:r>
        <w:rPr>
          <w:rFonts w:hint="eastAsia"/>
          <w:lang w:eastAsia="zh-CN"/>
        </w:rPr>
        <w:t>查</w:t>
      </w:r>
      <w:r>
        <w:t>车辆1289辆，</w:t>
      </w:r>
      <w:r>
        <w:rPr>
          <w:rFonts w:hint="eastAsia"/>
          <w:lang w:eastAsia="zh-CN"/>
        </w:rPr>
        <w:t>查</w:t>
      </w:r>
      <w:r>
        <w:t>处超限超载</w:t>
      </w:r>
      <w:r>
        <w:rPr>
          <w:rFonts w:hint="eastAsia"/>
        </w:rPr>
        <w:t>车辆</w:t>
      </w:r>
      <w:r>
        <w:t>150辆，超限违章率11%，卸货转运货物3600.665吨。</w:t>
      </w:r>
    </w:p>
    <w:p w14:paraId="7FBF7A4A">
      <w:pPr>
        <w:rPr>
          <w:rFonts w:hint="eastAsia"/>
        </w:rPr>
      </w:pPr>
      <w:r>
        <w:t>3.客货运市场监管工作。一是加强客运市场的源</w:t>
      </w:r>
      <w:r>
        <w:rPr>
          <w:rFonts w:hint="eastAsia"/>
        </w:rPr>
        <w:t>头监管。执法局采取不定时巡</w:t>
      </w:r>
      <w:r>
        <w:rPr>
          <w:rFonts w:hint="eastAsia"/>
          <w:lang w:eastAsia="zh-CN"/>
        </w:rPr>
        <w:t>查</w:t>
      </w:r>
      <w:r>
        <w:rPr>
          <w:rFonts w:hint="eastAsia"/>
        </w:rPr>
        <w:t>方式，</w:t>
      </w:r>
      <w:r>
        <w:rPr>
          <w:rFonts w:hint="eastAsia"/>
          <w:lang w:eastAsia="zh-CN"/>
        </w:rPr>
        <w:t>查</w:t>
      </w:r>
      <w:r>
        <w:rPr>
          <w:rFonts w:hint="eastAsia"/>
        </w:rPr>
        <w:t>处不按规定站点上落旅客的客运车辆</w:t>
      </w:r>
      <w:r>
        <w:t>11辆，擅自延长客运线行驶</w:t>
      </w:r>
      <w:r>
        <w:rPr>
          <w:rFonts w:hint="eastAsia"/>
        </w:rPr>
        <w:t>客运车辆</w:t>
      </w:r>
      <w:r>
        <w:t>3辆。二是加强货运市场监管。局执法人员</w:t>
      </w:r>
      <w:r>
        <w:rPr>
          <w:rFonts w:hint="eastAsia"/>
        </w:rPr>
        <w:t>多次深入到乐华陶瓷厂、江头萤矿厂、深广雄水泥搅拌厂进行宣传货车超载、扬撒法规政策。</w:t>
      </w:r>
    </w:p>
    <w:p w14:paraId="75BA5EC7">
      <w:pPr>
        <w:pStyle w:val="4"/>
        <w:bidi w:val="0"/>
        <w:rPr>
          <w:rFonts w:hint="eastAsia"/>
        </w:rPr>
      </w:pPr>
      <w:r>
        <w:rPr>
          <w:rFonts w:hint="eastAsia"/>
        </w:rPr>
        <w:t>【安全生产管理】</w:t>
      </w:r>
    </w:p>
    <w:p w14:paraId="6D65BE02">
      <w:pPr>
        <w:rPr>
          <w:rFonts w:hint="eastAsia"/>
        </w:rPr>
      </w:pPr>
      <w:r>
        <w:rPr>
          <w:rFonts w:hint="eastAsia"/>
        </w:rPr>
        <w:t>落实安全生产责任制和党政领导干部安全生产“一岗双责”制，坚持“安全第一，预防为主，综合治理”的工作方针，开展安全生产年</w:t>
      </w:r>
      <w:r>
        <w:rPr>
          <w:rFonts w:hint="eastAsia"/>
          <w:lang w:eastAsia="zh-CN"/>
        </w:rPr>
        <w:t>、</w:t>
      </w:r>
      <w:r>
        <w:rPr>
          <w:rFonts w:hint="eastAsia"/>
        </w:rPr>
        <w:t>安全生产月活动等专项行动工作，确保</w:t>
      </w:r>
      <w:r>
        <w:t>2013年未发生</w:t>
      </w:r>
      <w:r>
        <w:rPr>
          <w:rFonts w:hint="eastAsia"/>
        </w:rPr>
        <w:t>任何安全责任事故。</w:t>
      </w:r>
    </w:p>
    <w:p w14:paraId="50737D33">
      <w:pPr>
        <w:rPr>
          <w:rFonts w:hint="eastAsia"/>
        </w:rPr>
      </w:pPr>
      <w:r>
        <w:t>1.加强公路、桥梁、道路养护工作。南雄市县乡</w:t>
      </w:r>
      <w:r>
        <w:rPr>
          <w:rFonts w:hint="eastAsia"/>
        </w:rPr>
        <w:t>道路有</w:t>
      </w:r>
      <w:r>
        <w:t>1000多公里，为保障安全畅通，经常组织人员</w:t>
      </w:r>
      <w:r>
        <w:rPr>
          <w:rFonts w:hint="eastAsia"/>
        </w:rPr>
        <w:t>到县乡道路、公路、桥梁进行安全检</w:t>
      </w:r>
      <w:r>
        <w:rPr>
          <w:rFonts w:hint="eastAsia"/>
          <w:lang w:eastAsia="zh-CN"/>
        </w:rPr>
        <w:t>查</w:t>
      </w:r>
      <w:r>
        <w:rPr>
          <w:rFonts w:hint="eastAsia"/>
        </w:rPr>
        <w:t>，重点</w:t>
      </w:r>
      <w:r>
        <w:rPr>
          <w:rFonts w:hint="eastAsia"/>
          <w:lang w:eastAsia="zh-CN"/>
        </w:rPr>
        <w:t>查</w:t>
      </w:r>
      <w:r>
        <w:rPr>
          <w:rFonts w:hint="eastAsia"/>
        </w:rPr>
        <w:t>看高边坡、桥梁、可能出现滑坡等危险路段。尤其今年雨水特别多，容易出现滑坡和路面冲毁，加强监控力度，督促养护单位抓好日常养护，安全隐患做到及时发现，及时处理，不留后患，保障县乡道路长期安全畅通。</w:t>
      </w:r>
    </w:p>
    <w:p w14:paraId="0C042EE3">
      <w:r>
        <w:t>2.开展“安全生产月”活动。在活动中，结合工</w:t>
      </w:r>
      <w:r>
        <w:rPr>
          <w:rFonts w:hint="eastAsia"/>
        </w:rPr>
        <w:t>作实际，</w:t>
      </w:r>
      <w:r>
        <w:t>6月5日开展安全事故警示周揭幕活动、6月6日在市汽车站门口开展“安全生产月”宣传咨询日</w:t>
      </w:r>
      <w:r>
        <w:rPr>
          <w:rFonts w:hint="eastAsia"/>
        </w:rPr>
        <w:t>活动、</w:t>
      </w:r>
      <w:r>
        <w:t>6月7日在江头大道班管养的X338线举行公路</w:t>
      </w:r>
      <w:r>
        <w:rPr>
          <w:rFonts w:hint="eastAsia"/>
        </w:rPr>
        <w:t>塌方抢险的演练活动。同时通过开展事故隐患自</w:t>
      </w:r>
      <w:r>
        <w:rPr>
          <w:rFonts w:hint="eastAsia"/>
          <w:lang w:eastAsia="zh-CN"/>
        </w:rPr>
        <w:t>查</w:t>
      </w:r>
      <w:r>
        <w:rPr>
          <w:rFonts w:hint="eastAsia"/>
        </w:rPr>
        <w:t>自纠、安全生产标准化达标等活动，不断夯实企业安全生产基础。通过全体干部职工的努力，安全生产月取得了较好成绩。据统计，安全生产月期间，悬挂横额、张贴宣传标语</w:t>
      </w:r>
      <w:r>
        <w:t>100多条，出动执法人员118人次，执</w:t>
      </w:r>
      <w:r>
        <w:rPr>
          <w:rFonts w:hint="eastAsia"/>
        </w:rPr>
        <w:t>法车辆</w:t>
      </w:r>
      <w:r>
        <w:t>24辆次，检</w:t>
      </w:r>
      <w:r>
        <w:rPr>
          <w:rFonts w:hint="eastAsia"/>
          <w:lang w:eastAsia="zh-CN"/>
        </w:rPr>
        <w:t>查</w:t>
      </w:r>
      <w:r>
        <w:t>车辆260辆次，</w:t>
      </w:r>
      <w:r>
        <w:rPr>
          <w:rFonts w:hint="eastAsia"/>
          <w:lang w:eastAsia="zh-CN"/>
        </w:rPr>
        <w:t>查</w:t>
      </w:r>
      <w:r>
        <w:t>处违章案件17</w:t>
      </w:r>
      <w:r>
        <w:rPr>
          <w:rFonts w:hint="eastAsia"/>
        </w:rPr>
        <w:t>宗，其中非法营运车辆</w:t>
      </w:r>
      <w:r>
        <w:t>4台，超限超载车辆5台、卸</w:t>
      </w:r>
      <w:r>
        <w:rPr>
          <w:rFonts w:hint="eastAsia"/>
        </w:rPr>
        <w:t>货转运</w:t>
      </w:r>
      <w:r>
        <w:t>110.68吨，货车扬撒8宗。</w:t>
      </w:r>
    </w:p>
    <w:p w14:paraId="5F082E47">
      <w:pPr>
        <w:pStyle w:val="4"/>
        <w:bidi w:val="0"/>
        <w:rPr>
          <w:rFonts w:hint="eastAsia"/>
        </w:rPr>
      </w:pPr>
      <w:r>
        <w:rPr>
          <w:rFonts w:hint="eastAsia"/>
        </w:rPr>
        <w:t>【交通运输】</w:t>
      </w:r>
    </w:p>
    <w:p w14:paraId="0D14C3CB">
      <w:r>
        <w:rPr>
          <w:rFonts w:hint="eastAsia"/>
        </w:rPr>
        <w:t>至</w:t>
      </w:r>
      <w:r>
        <w:t>2013年底，拥有二级客运站1个，</w:t>
      </w:r>
      <w:r>
        <w:rPr>
          <w:rFonts w:hint="eastAsia"/>
        </w:rPr>
        <w:t>南雄汽车站，四级客运站</w:t>
      </w:r>
      <w:r>
        <w:t>2个，其中珠玑客运站，</w:t>
      </w:r>
      <w:r>
        <w:rPr>
          <w:rFonts w:hint="eastAsia"/>
          <w:lang w:val="en-US" w:eastAsia="zh-CN"/>
        </w:rPr>
        <w:t>占</w:t>
      </w:r>
      <w:r>
        <w:rPr>
          <w:rFonts w:hint="eastAsia"/>
        </w:rPr>
        <w:t>地面积</w:t>
      </w:r>
      <w:r>
        <w:t>5000平方米；水口客运站，占地面积1500平方</w:t>
      </w:r>
      <w:r>
        <w:rPr>
          <w:rFonts w:hint="eastAsia"/>
        </w:rPr>
        <w:t>米，简易站</w:t>
      </w:r>
      <w:r>
        <w:t>5个分别是：油山、湖口、帽子峰、南亩、</w:t>
      </w:r>
      <w:r>
        <w:rPr>
          <w:rFonts w:hint="eastAsia"/>
        </w:rPr>
        <w:t>全安；招呼站</w:t>
      </w:r>
      <w:r>
        <w:t>6个分别是：坪田、邓坊、百顺、澜河</w:t>
      </w:r>
      <w:r>
        <w:rPr>
          <w:rFonts w:hint="eastAsia"/>
          <w:lang w:eastAsia="zh-CN"/>
        </w:rPr>
        <w:t>、</w:t>
      </w:r>
      <w:r>
        <w:rPr>
          <w:rFonts w:hint="eastAsia"/>
        </w:rPr>
        <w:t>古市；完成候车亭建设</w:t>
      </w:r>
      <w:r>
        <w:t>141个，具备通车条件的行政</w:t>
      </w:r>
      <w:r>
        <w:rPr>
          <w:rFonts w:hint="eastAsia"/>
        </w:rPr>
        <w:t>村全部通行班车，实现了</w:t>
      </w:r>
      <w:r>
        <w:t>3个100%。</w:t>
      </w:r>
    </w:p>
    <w:p w14:paraId="30F34895">
      <w:pPr>
        <w:pStyle w:val="4"/>
        <w:bidi w:val="0"/>
        <w:rPr>
          <w:rFonts w:hint="eastAsia"/>
        </w:rPr>
      </w:pPr>
      <w:r>
        <w:rPr>
          <w:rFonts w:hint="eastAsia"/>
          <w:lang w:eastAsia="zh-CN"/>
        </w:rPr>
        <w:t>【</w:t>
      </w:r>
      <w:r>
        <w:rPr>
          <w:rFonts w:hint="eastAsia"/>
        </w:rPr>
        <w:t>旅客运输】</w:t>
      </w:r>
    </w:p>
    <w:p w14:paraId="5A607A20">
      <w:r>
        <w:rPr>
          <w:rFonts w:hint="eastAsia"/>
        </w:rPr>
        <w:t>至</w:t>
      </w:r>
      <w:r>
        <w:t>2012年底，有客运企业2家，省际</w:t>
      </w:r>
      <w:r>
        <w:rPr>
          <w:rFonts w:hint="eastAsia"/>
        </w:rPr>
        <w:t>客运班线</w:t>
      </w:r>
      <w:r>
        <w:t>2条，市际客运班线7条，县际客运班线1</w:t>
      </w:r>
      <w:r>
        <w:rPr>
          <w:rFonts w:hint="eastAsia"/>
        </w:rPr>
        <w:t>条，公交线农村客运班线</w:t>
      </w:r>
      <w:r>
        <w:t>13条，公共汽车8辆，拥有</w:t>
      </w:r>
      <w:r>
        <w:rPr>
          <w:rFonts w:hint="eastAsia"/>
        </w:rPr>
        <w:t>客运车辆</w:t>
      </w:r>
      <w:r>
        <w:t>95辆，2688个座位，珠玑出租有限公司80辆。</w:t>
      </w:r>
    </w:p>
    <w:p w14:paraId="4344574E">
      <w:pPr>
        <w:pStyle w:val="4"/>
        <w:bidi w:val="0"/>
        <w:rPr>
          <w:rFonts w:hint="eastAsia"/>
        </w:rPr>
      </w:pPr>
      <w:r>
        <w:rPr>
          <w:rFonts w:hint="eastAsia"/>
        </w:rPr>
        <w:t>【货物</w:t>
      </w:r>
      <w:r>
        <w:rPr>
          <w:rFonts w:hint="eastAsia"/>
          <w:lang w:val="en-US" w:eastAsia="zh-CN"/>
        </w:rPr>
        <w:t>运输</w:t>
      </w:r>
      <w:r>
        <w:rPr>
          <w:rFonts w:hint="eastAsia"/>
        </w:rPr>
        <w:t>】</w:t>
      </w:r>
    </w:p>
    <w:p w14:paraId="179D117F">
      <w:r>
        <w:rPr>
          <w:rFonts w:hint="eastAsia"/>
        </w:rPr>
        <w:t>至</w:t>
      </w:r>
      <w:r>
        <w:t>2013年底，有货物运输企业4家，</w:t>
      </w:r>
      <w:r>
        <w:rPr>
          <w:rFonts w:hint="eastAsia"/>
        </w:rPr>
        <w:t>其中个体运输户</w:t>
      </w:r>
      <w:r>
        <w:t>365户，有货物运输车辆429辆，总</w:t>
      </w:r>
      <w:r>
        <w:rPr>
          <w:rFonts w:hint="eastAsia"/>
        </w:rPr>
        <w:t>载重吨位</w:t>
      </w:r>
      <w:r>
        <w:t>1317吨。</w:t>
      </w:r>
    </w:p>
    <w:p w14:paraId="2A60E35C">
      <w:pPr>
        <w:pStyle w:val="4"/>
        <w:bidi w:val="0"/>
        <w:rPr>
          <w:rFonts w:hint="eastAsia"/>
        </w:rPr>
      </w:pPr>
      <w:r>
        <w:rPr>
          <w:rFonts w:hint="eastAsia"/>
        </w:rPr>
        <w:t>【农村客运服务】</w:t>
      </w:r>
    </w:p>
    <w:p w14:paraId="38FFC0B2">
      <w:pPr>
        <w:rPr>
          <w:rFonts w:hint="eastAsia"/>
        </w:rPr>
      </w:pPr>
      <w:r>
        <w:rPr>
          <w:rFonts w:hint="eastAsia"/>
        </w:rPr>
        <w:t>农村客运运行线路</w:t>
      </w:r>
      <w:r>
        <w:t>13条，客车36</w:t>
      </w:r>
      <w:r>
        <w:rPr>
          <w:rFonts w:hint="eastAsia"/>
        </w:rPr>
        <w:t>辆，</w:t>
      </w:r>
      <w:r>
        <w:t>7</w:t>
      </w:r>
      <w:r>
        <w:rPr>
          <w:rFonts w:hint="eastAsia"/>
          <w:lang w:val="en-US" w:eastAsia="zh-CN"/>
        </w:rPr>
        <w:t>7</w:t>
      </w:r>
      <w:r>
        <w:t>2个座位，至2013年底，全市18个镇（街道）</w:t>
      </w:r>
      <w:r>
        <w:rPr>
          <w:rFonts w:hint="eastAsia"/>
        </w:rPr>
        <w:t>全部通客车，乡镇客车通达率为</w:t>
      </w:r>
      <w:r>
        <w:t>100%，全市208个行</w:t>
      </w:r>
      <w:r>
        <w:rPr>
          <w:rFonts w:hint="eastAsia"/>
        </w:rPr>
        <w:t>政村已有</w:t>
      </w:r>
      <w:r>
        <w:t>141个行政村建有候车亭。逐步形成以一般</w:t>
      </w:r>
      <w:r>
        <w:rPr>
          <w:rFonts w:hint="eastAsia"/>
        </w:rPr>
        <w:t>干线和乡镇公路为依托，以班车客运为主导，以短途客运为主营方式的三级农村客运服务网络体系。</w:t>
      </w:r>
    </w:p>
    <w:p w14:paraId="2F23B132">
      <w:pPr>
        <w:pStyle w:val="4"/>
        <w:bidi w:val="0"/>
        <w:rPr>
          <w:rFonts w:hint="eastAsia"/>
        </w:rPr>
      </w:pPr>
      <w:r>
        <w:rPr>
          <w:rFonts w:hint="eastAsia"/>
        </w:rPr>
        <w:t>【其它】</w:t>
      </w:r>
    </w:p>
    <w:p w14:paraId="299D3DE1">
      <w:r>
        <w:rPr>
          <w:rFonts w:hint="eastAsia"/>
        </w:rPr>
        <w:t>有普通机动车驾驶员培训机构</w:t>
      </w:r>
      <w:r>
        <w:t>2户，珠玑驾</w:t>
      </w:r>
      <w:r>
        <w:rPr>
          <w:rFonts w:hint="eastAsia"/>
        </w:rPr>
        <w:t>校教学车辆</w:t>
      </w:r>
      <w:r>
        <w:t>47辆，年培训人员约1800人次；百顺驾</w:t>
      </w:r>
      <w:r>
        <w:rPr>
          <w:rFonts w:hint="eastAsia"/>
        </w:rPr>
        <w:t>校，教学车辆</w:t>
      </w:r>
      <w:r>
        <w:t>35辆，年培训人员约1200人次；有机</w:t>
      </w:r>
      <w:r>
        <w:rPr>
          <w:rFonts w:hint="eastAsia"/>
        </w:rPr>
        <w:t>动车维修业户</w:t>
      </w:r>
      <w:r>
        <w:t>39户，其中一类机动车维修业户2户</w:t>
      </w:r>
      <w:r>
        <w:rPr>
          <w:rFonts w:hint="eastAsia"/>
        </w:rPr>
        <w:t>类机动车维修业户</w:t>
      </w:r>
      <w:r>
        <w:t>3户，三类机动车维修业户128</w:t>
      </w:r>
      <w:r>
        <w:rPr>
          <w:rFonts w:hint="eastAsia"/>
        </w:rPr>
        <w:t>户，摩托车维修业户</w:t>
      </w:r>
      <w:r>
        <w:t>18户；综合性能检测站1个，年</w:t>
      </w:r>
      <w:r>
        <w:rPr>
          <w:rFonts w:hint="eastAsia"/>
        </w:rPr>
        <w:t>完成检测量约</w:t>
      </w:r>
      <w:r>
        <w:t>1047辆次。</w:t>
      </w:r>
    </w:p>
    <w:p w14:paraId="2595F4C7">
      <w:pPr>
        <w:pStyle w:val="10"/>
        <w:bidi w:val="0"/>
        <w:rPr>
          <w:b/>
          <w:bCs/>
        </w:rPr>
      </w:pPr>
      <w:r>
        <w:rPr>
          <w:rFonts w:hint="eastAsia"/>
          <w:b/>
          <w:bCs/>
        </w:rPr>
        <w:t>附：</w:t>
      </w:r>
      <w:r>
        <w:rPr>
          <w:b/>
          <w:bCs/>
        </w:rPr>
        <w:t>2013年市交通局领导班子成员名单</w:t>
      </w:r>
    </w:p>
    <w:p w14:paraId="250E8797">
      <w:pPr>
        <w:pStyle w:val="10"/>
        <w:bidi w:val="0"/>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林绍发</w:t>
      </w:r>
    </w:p>
    <w:p w14:paraId="73116B66">
      <w:pPr>
        <w:pStyle w:val="10"/>
        <w:bidi w:val="0"/>
      </w:pPr>
      <w:r>
        <w:rPr>
          <w:rFonts w:hint="eastAsia"/>
          <w:b/>
          <w:bCs/>
        </w:rPr>
        <w:t>党组书记、副局长：</w:t>
      </w:r>
      <w:r>
        <w:rPr>
          <w:rFonts w:hint="eastAsia"/>
        </w:rPr>
        <w:t>李新明（</w:t>
      </w:r>
      <w:r>
        <w:t>9月任）</w:t>
      </w:r>
    </w:p>
    <w:p w14:paraId="472A53D7">
      <w:pPr>
        <w:pStyle w:val="10"/>
        <w:bidi w:val="0"/>
        <w:rPr>
          <w:rFonts w:hint="eastAsia"/>
        </w:rPr>
      </w:pPr>
      <w:r>
        <w:rPr>
          <w:rFonts w:hint="eastAsia"/>
          <w:b/>
          <w:bCs/>
        </w:rPr>
        <w:t>副</w:t>
      </w:r>
      <w:r>
        <w:rPr>
          <w:rFonts w:hint="eastAsia"/>
          <w:b/>
          <w:bCs/>
          <w:lang w:val="en-US" w:eastAsia="zh-CN"/>
        </w:rPr>
        <w:t xml:space="preserve"> </w:t>
      </w:r>
      <w:r>
        <w:rPr>
          <w:rFonts w:hint="eastAsia"/>
          <w:b/>
          <w:bCs/>
        </w:rPr>
        <w:t>局</w:t>
      </w:r>
      <w:r>
        <w:rPr>
          <w:rFonts w:hint="eastAsia"/>
          <w:b/>
          <w:bCs/>
          <w:lang w:val="en-US" w:eastAsia="zh-CN"/>
        </w:rPr>
        <w:t xml:space="preserve"> </w:t>
      </w:r>
      <w:r>
        <w:rPr>
          <w:rFonts w:hint="eastAsia"/>
          <w:b/>
          <w:bCs/>
        </w:rPr>
        <w:t>长：</w:t>
      </w:r>
      <w:r>
        <w:rPr>
          <w:rFonts w:hint="eastAsia"/>
        </w:rPr>
        <w:t>邱万雄</w:t>
      </w:r>
      <w:r>
        <w:rPr>
          <w:rFonts w:hint="eastAsia"/>
          <w:lang w:val="en-US" w:eastAsia="zh-CN"/>
        </w:rPr>
        <w:t xml:space="preserve">   </w:t>
      </w:r>
      <w:r>
        <w:rPr>
          <w:rFonts w:hint="eastAsia"/>
        </w:rPr>
        <w:t>沈</w:t>
      </w:r>
      <w:r>
        <w:rPr>
          <w:rFonts w:hint="eastAsia"/>
          <w:lang w:val="en-US" w:eastAsia="zh-CN"/>
        </w:rPr>
        <w:t xml:space="preserve">  </w:t>
      </w:r>
      <w:r>
        <w:rPr>
          <w:rFonts w:hint="eastAsia"/>
        </w:rPr>
        <w:t>辉</w:t>
      </w:r>
    </w:p>
    <w:p w14:paraId="1353C1A2">
      <w:pPr>
        <w:pStyle w:val="10"/>
        <w:bidi w:val="0"/>
        <w:rPr>
          <w:rFonts w:hint="eastAsia"/>
        </w:rPr>
      </w:pPr>
      <w:r>
        <w:rPr>
          <w:rFonts w:hint="eastAsia"/>
          <w:b/>
          <w:bCs/>
        </w:rPr>
        <w:t>纪检组长：</w:t>
      </w:r>
      <w:r>
        <w:rPr>
          <w:rFonts w:hint="eastAsia"/>
        </w:rPr>
        <w:t>谢加华</w:t>
      </w:r>
    </w:p>
    <w:p w14:paraId="42A1F584">
      <w:pPr>
        <w:pStyle w:val="10"/>
        <w:bidi w:val="0"/>
        <w:rPr>
          <w:rFonts w:hint="eastAsia"/>
        </w:rPr>
      </w:pPr>
      <w:r>
        <w:rPr>
          <w:rFonts w:hint="eastAsia"/>
          <w:b/>
          <w:bCs/>
        </w:rPr>
        <w:t>工会主席：</w:t>
      </w:r>
      <w:r>
        <w:rPr>
          <w:rFonts w:hint="eastAsia"/>
        </w:rPr>
        <w:t>刘发军</w:t>
      </w:r>
    </w:p>
    <w:p w14:paraId="6FB8EF09">
      <w:pPr>
        <w:pStyle w:val="10"/>
        <w:bidi w:val="0"/>
        <w:rPr>
          <w:rFonts w:hint="eastAsia"/>
        </w:rPr>
      </w:pPr>
      <w:r>
        <w:rPr>
          <w:rFonts w:hint="eastAsia"/>
          <w:b/>
          <w:bCs/>
        </w:rPr>
        <w:t>执法局局长：</w:t>
      </w:r>
      <w:r>
        <w:rPr>
          <w:rFonts w:hint="eastAsia"/>
        </w:rPr>
        <w:t>陈</w:t>
      </w:r>
      <w:r>
        <w:rPr>
          <w:rFonts w:hint="eastAsia"/>
          <w:lang w:val="en-US" w:eastAsia="zh-CN"/>
        </w:rPr>
        <w:t xml:space="preserve">  </w:t>
      </w:r>
      <w:r>
        <w:rPr>
          <w:rFonts w:hint="eastAsia"/>
        </w:rPr>
        <w:t>洁</w:t>
      </w:r>
    </w:p>
    <w:p w14:paraId="3B9A6304">
      <w:pPr>
        <w:pStyle w:val="3"/>
        <w:bidi w:val="0"/>
        <w:rPr>
          <w:rFonts w:hint="default"/>
          <w:lang w:val="en-US" w:eastAsia="zh-CN"/>
        </w:rPr>
      </w:pPr>
      <w:r>
        <w:rPr>
          <w:rFonts w:hint="eastAsia"/>
          <w:lang w:val="en-US" w:eastAsia="zh-CN"/>
        </w:rPr>
        <w:t>国省道路建设与管理</w:t>
      </w:r>
    </w:p>
    <w:p w14:paraId="2C23EF8C">
      <w:pPr>
        <w:pStyle w:val="4"/>
        <w:bidi w:val="0"/>
        <w:rPr>
          <w:rFonts w:hint="eastAsia"/>
        </w:rPr>
      </w:pPr>
      <w:r>
        <w:rPr>
          <w:rFonts w:hint="eastAsia"/>
        </w:rPr>
        <w:t>【概况】</w:t>
      </w:r>
    </w:p>
    <w:p w14:paraId="606E0674">
      <w:pPr>
        <w:rPr>
          <w:rFonts w:hint="eastAsia"/>
        </w:rPr>
      </w:pPr>
      <w:r>
        <w:rPr>
          <w:rFonts w:hint="eastAsia"/>
        </w:rPr>
        <w:t>根据韶关市公路局《转发韶关市编委〈关于县级公路局更名的批复</w:t>
      </w:r>
      <w:r>
        <w:rPr>
          <w:rFonts w:hint="eastAsia" w:ascii="宋体" w:hAnsi="宋体" w:eastAsia="宋体" w:cs="宋体"/>
          <w:lang w:val="en-US" w:eastAsia="zh-CN"/>
        </w:rPr>
        <w:t>〉</w:t>
      </w:r>
      <w:r>
        <w:rPr>
          <w:rFonts w:hint="eastAsia"/>
        </w:rPr>
        <w:t>》（韶市人字〔</w:t>
      </w:r>
      <w:r>
        <w:t>2009</w:t>
      </w:r>
      <w:r>
        <w:rPr>
          <w:rFonts w:hint="eastAsia" w:ascii="宋体" w:hAnsi="宋体" w:eastAsia="宋体" w:cs="宋体"/>
        </w:rPr>
        <w:t>〕</w:t>
      </w:r>
      <w:r>
        <w:t>29</w:t>
      </w:r>
      <w:r>
        <w:rPr>
          <w:rFonts w:hint="eastAsia"/>
        </w:rPr>
        <w:t>号）文件精神，南雄市公路局更名为韶关市南雄公路局。韶关市南雄公路局为韶关市公路局垂直管理的正科级事业单位，机关内设</w:t>
      </w:r>
      <w:r>
        <w:t>7个正股级机构，分别为办</w:t>
      </w:r>
      <w:r>
        <w:rPr>
          <w:rFonts w:hint="eastAsia"/>
        </w:rPr>
        <w:t>公室、生产技术股、人事监察股、路政管理所、收费管理所、财务股、安全生产股。下辖：珠玑养护中心</w:t>
      </w:r>
      <w:r>
        <w:rPr>
          <w:rFonts w:hint="eastAsia"/>
          <w:lang w:eastAsia="zh-CN"/>
        </w:rPr>
        <w:t>、</w:t>
      </w:r>
      <w:r>
        <w:rPr>
          <w:rFonts w:hint="eastAsia"/>
        </w:rPr>
        <w:t>湖口养护中心、澜河养护中心。韶关市南雄公路局依据《中华人民共和国公路法》、《广东省公路条例》负责南雄市境内国省道共</w:t>
      </w:r>
      <w:r>
        <w:t>172.63公里、36座桥梁的管</w:t>
      </w:r>
      <w:r>
        <w:rPr>
          <w:rFonts w:hint="eastAsia"/>
        </w:rPr>
        <w:t>理、养护。</w:t>
      </w:r>
    </w:p>
    <w:p w14:paraId="5E3BAA54">
      <w:pPr>
        <w:pStyle w:val="4"/>
        <w:bidi w:val="0"/>
        <w:rPr>
          <w:rFonts w:hint="eastAsia"/>
        </w:rPr>
      </w:pPr>
      <w:r>
        <w:rPr>
          <w:rFonts w:hint="eastAsia"/>
        </w:rPr>
        <w:t>【养护管理】</w:t>
      </w:r>
    </w:p>
    <w:p w14:paraId="6851FEFF">
      <w:pPr>
        <w:rPr>
          <w:rFonts w:hint="eastAsia"/>
        </w:rPr>
      </w:pPr>
      <w:r>
        <w:t>2013年，倡导</w:t>
      </w:r>
      <w:r>
        <w:rPr>
          <w:rFonts w:hint="eastAsia" w:ascii="宋体" w:hAnsi="宋体" w:cs="宋体"/>
        </w:rPr>
        <w:t>“</w:t>
      </w:r>
      <w:r>
        <w:t>把路放在心上，把心</w:t>
      </w:r>
      <w:r>
        <w:rPr>
          <w:rFonts w:hint="eastAsia"/>
        </w:rPr>
        <w:t>放在路上”的爱路、护路理念，不断探索和创新公路养护管理思路，提升国省道干线公路的服务和保障水平，为广大人民群众出行提供舒适的交通环境，营造了“车在路中行，人在画中游”的意境。</w:t>
      </w:r>
    </w:p>
    <w:p w14:paraId="2A5A5235">
      <w:pPr>
        <w:rPr>
          <w:rFonts w:hint="eastAsia"/>
        </w:rPr>
      </w:pPr>
      <w:r>
        <w:rPr>
          <w:rFonts w:hint="eastAsia"/>
        </w:rPr>
        <w:t>在小修保养方面，对照韶关市局小修保养考核实施细则，继续完善和巩固</w:t>
      </w:r>
      <w:r>
        <w:t>S342线K</w:t>
      </w:r>
      <w:r>
        <w:rPr>
          <w:rFonts w:hint="eastAsia"/>
          <w:lang w:val="en-US" w:eastAsia="zh-CN"/>
        </w:rPr>
        <w:t>0</w:t>
      </w:r>
      <w:r>
        <w:t>+000~K45+200</w:t>
      </w:r>
      <w:r>
        <w:rPr>
          <w:rFonts w:hint="eastAsia"/>
        </w:rPr>
        <w:t>段</w:t>
      </w:r>
      <w:r>
        <w:t>GBM工程建设；对S342线K0+000~K91+551水</w:t>
      </w:r>
      <w:r>
        <w:rPr>
          <w:rFonts w:hint="eastAsia"/>
        </w:rPr>
        <w:t>泥砼路面破碎板、断板、沉陷、裂缝等严重病害进行挖补约</w:t>
      </w:r>
      <w:r>
        <w:t>2</w:t>
      </w:r>
      <w:r>
        <w:rPr>
          <w:rFonts w:hint="eastAsia"/>
          <w:lang w:val="en-US" w:eastAsia="zh-CN"/>
        </w:rPr>
        <w:t>3</w:t>
      </w:r>
      <w:r>
        <w:t>000平方米；浆砌453m</w:t>
      </w:r>
      <w:r>
        <w:rPr>
          <w:vertAlign w:val="superscript"/>
        </w:rPr>
        <w:t>3</w:t>
      </w:r>
      <w:r>
        <w:t>/8处</w:t>
      </w:r>
      <w:r>
        <w:rPr>
          <w:rFonts w:hint="eastAsia"/>
          <w:lang w:val="en-US" w:eastAsia="zh-CN"/>
        </w:rPr>
        <w:t>S</w:t>
      </w:r>
      <w:r>
        <w:t>342线山区路</w:t>
      </w:r>
      <w:r>
        <w:rPr>
          <w:rFonts w:hint="eastAsia"/>
        </w:rPr>
        <w:t>段刷严重的土水沟冲，加宽</w:t>
      </w:r>
      <w:r>
        <w:t>11处弯道、修补35公里</w:t>
      </w:r>
      <w:r>
        <w:rPr>
          <w:rFonts w:hint="eastAsia"/>
        </w:rPr>
        <w:t>硬边线。</w:t>
      </w:r>
    </w:p>
    <w:p w14:paraId="75900D48">
      <w:pPr>
        <w:rPr>
          <w:rFonts w:hint="eastAsia" w:eastAsia="宋体"/>
          <w:lang w:eastAsia="zh-CN"/>
        </w:rPr>
      </w:pPr>
      <w:r>
        <w:rPr>
          <w:rFonts w:hint="eastAsia"/>
        </w:rPr>
        <w:t>做好水毁预防及抢修复工作，清理塌方</w:t>
      </w:r>
      <w:r>
        <w:t>3750m</w:t>
      </w:r>
      <w:r>
        <w:rPr>
          <w:vertAlign w:val="superscript"/>
        </w:rPr>
        <w:t>3</w:t>
      </w:r>
      <w:r>
        <w:t>/43处、修复防撞栏杆37米/3处、浆砌挡土墙632m</w:t>
      </w:r>
      <w:r>
        <w:rPr>
          <w:vertAlign w:val="superscript"/>
        </w:rPr>
        <w:t>3</w:t>
      </w:r>
      <w:r>
        <w:t>/6</w:t>
      </w:r>
      <w:r>
        <w:rPr>
          <w:rFonts w:hint="eastAsia"/>
        </w:rPr>
        <w:t>处、修复破损水泥砼路面</w:t>
      </w:r>
      <w:r>
        <w:t>195平方米/2处；局部挖</w:t>
      </w:r>
      <w:r>
        <w:rPr>
          <w:rFonts w:hint="eastAsia"/>
        </w:rPr>
        <w:t>补沥青砼路面</w:t>
      </w:r>
      <w:r>
        <w:t>3578平方米；处治沥青砼路面12500平</w:t>
      </w:r>
      <w:r>
        <w:rPr>
          <w:rFonts w:hint="eastAsia"/>
        </w:rPr>
        <w:t>方米</w:t>
      </w:r>
      <w:r>
        <w:rPr>
          <w:rFonts w:hint="eastAsia"/>
          <w:lang w:eastAsia="zh-CN"/>
        </w:rPr>
        <w:t>。</w:t>
      </w:r>
    </w:p>
    <w:p w14:paraId="26BAE96F">
      <w:pPr>
        <w:rPr>
          <w:rFonts w:hint="eastAsia"/>
        </w:rPr>
      </w:pPr>
      <w:r>
        <w:rPr>
          <w:rFonts w:hint="eastAsia"/>
        </w:rPr>
        <w:t>做好桥梁外业检</w:t>
      </w:r>
      <w:r>
        <w:rPr>
          <w:rFonts w:hint="eastAsia"/>
          <w:lang w:eastAsia="zh-CN"/>
        </w:rPr>
        <w:t>查</w:t>
      </w:r>
      <w:r>
        <w:rPr>
          <w:rFonts w:hint="eastAsia"/>
        </w:rPr>
        <w:t>、内业资料规范填报等工作。对</w:t>
      </w:r>
      <w:r>
        <w:t>S342教场桥的基础进行针对性加固，并完成三枫小</w:t>
      </w:r>
      <w:r>
        <w:rPr>
          <w:rFonts w:hint="eastAsia"/>
        </w:rPr>
        <w:t>桥、富竹桥的加固工程。</w:t>
      </w:r>
    </w:p>
    <w:p w14:paraId="1B151891">
      <w:r>
        <w:t>2013年机械完好率96.2%、利用率82%。</w:t>
      </w:r>
    </w:p>
    <w:p w14:paraId="71AE8D95">
      <w:pPr>
        <w:pStyle w:val="4"/>
        <w:bidi w:val="0"/>
        <w:rPr>
          <w:rFonts w:hint="eastAsia"/>
        </w:rPr>
      </w:pPr>
      <w:r>
        <w:rPr>
          <w:rFonts w:hint="eastAsia"/>
        </w:rPr>
        <w:t>【路政管理】</w:t>
      </w:r>
    </w:p>
    <w:p w14:paraId="57B5D701">
      <w:pPr>
        <w:rPr>
          <w:rFonts w:hint="eastAsia"/>
        </w:rPr>
      </w:pPr>
      <w:r>
        <w:rPr>
          <w:rFonts w:hint="eastAsia"/>
        </w:rPr>
        <w:t>坚持依法行政、文明执法，热情服务</w:t>
      </w:r>
      <w:r>
        <w:rPr>
          <w:rFonts w:hint="eastAsia"/>
          <w:lang w:eastAsia="zh-CN"/>
        </w:rPr>
        <w:t>、</w:t>
      </w:r>
      <w:r>
        <w:rPr>
          <w:rFonts w:hint="eastAsia"/>
          <w:lang w:val="en-US" w:eastAsia="zh-CN"/>
        </w:rPr>
        <w:t>严</w:t>
      </w:r>
      <w:r>
        <w:rPr>
          <w:rFonts w:hint="eastAsia"/>
        </w:rPr>
        <w:t>格管理，着重抓好《公路安全保护条例》及整治道路交通安全专项行动的宣传；加强路政巡</w:t>
      </w:r>
      <w:r>
        <w:rPr>
          <w:rFonts w:hint="eastAsia"/>
          <w:lang w:eastAsia="zh-CN"/>
        </w:rPr>
        <w:t>查</w:t>
      </w:r>
      <w:r>
        <w:rPr>
          <w:rFonts w:hint="eastAsia"/>
        </w:rPr>
        <w:t>力度，</w:t>
      </w:r>
      <w:r>
        <w:rPr>
          <w:rFonts w:hint="eastAsia"/>
          <w:lang w:eastAsia="zh-CN"/>
        </w:rPr>
        <w:t>严</w:t>
      </w:r>
      <w:r>
        <w:rPr>
          <w:rFonts w:hint="eastAsia"/>
        </w:rPr>
        <w:t>格执行《损坏公路路产赔偿标准》，</w:t>
      </w:r>
      <w:r>
        <w:rPr>
          <w:rFonts w:hint="eastAsia"/>
          <w:lang w:eastAsia="zh-CN"/>
        </w:rPr>
        <w:t>全</w:t>
      </w:r>
      <w:r>
        <w:rPr>
          <w:rFonts w:hint="eastAsia"/>
        </w:rPr>
        <w:t>年累计收取路</w:t>
      </w:r>
      <w:r>
        <w:rPr>
          <w:rFonts w:hint="eastAsia"/>
          <w:lang w:val="en-US" w:eastAsia="zh-CN"/>
        </w:rPr>
        <w:t>产</w:t>
      </w:r>
      <w:r>
        <w:rPr>
          <w:rFonts w:hint="eastAsia"/>
        </w:rPr>
        <w:t>赔偿费</w:t>
      </w:r>
      <w:r>
        <w:t>308206.3元；规范路政许可，许可办理卷宗1宗，收取赔偿费1576.5元；贯彻落实《广东省交通</w:t>
      </w:r>
      <w:r>
        <w:rPr>
          <w:rFonts w:hint="eastAsia"/>
        </w:rPr>
        <w:t>综合执法机构与公路管理机构业务协作办法》文件精神，加强与交通综合执法机构的业务协作，积极与交警等政府职能部门沟通协调，建立联动工作办法；加强涉路施工管理，监督指导施工单位做好涉路施工路段的养护、交通引导工作。</w:t>
      </w:r>
    </w:p>
    <w:p w14:paraId="1C0813E3">
      <w:pPr>
        <w:pStyle w:val="4"/>
        <w:bidi w:val="0"/>
        <w:rPr>
          <w:rFonts w:hint="eastAsia"/>
        </w:rPr>
      </w:pPr>
      <w:r>
        <w:rPr>
          <w:rFonts w:hint="eastAsia"/>
        </w:rPr>
        <w:t>【安全生产】</w:t>
      </w:r>
    </w:p>
    <w:p w14:paraId="25175467">
      <w:pPr>
        <w:rPr>
          <w:rFonts w:hint="eastAsia"/>
        </w:rPr>
      </w:pPr>
      <w:r>
        <w:rPr>
          <w:rFonts w:hint="eastAsia"/>
        </w:rPr>
        <w:t>安全工作是全局工作重中之重，始终贯彻“安全第一，预防为主，综合治理”的方针，认真落实“一岗双责”制度和安全生产监管责任，层层签订《安全责任书》；开展“安全生产月”、“安全生产百日检</w:t>
      </w:r>
      <w:r>
        <w:rPr>
          <w:rFonts w:hint="eastAsia"/>
          <w:lang w:eastAsia="zh-CN"/>
        </w:rPr>
        <w:t>查</w:t>
      </w:r>
      <w:r>
        <w:rPr>
          <w:rFonts w:hint="eastAsia"/>
        </w:rPr>
        <w:t>督</w:t>
      </w:r>
      <w:r>
        <w:rPr>
          <w:rFonts w:hint="eastAsia"/>
          <w:lang w:eastAsia="zh-CN"/>
        </w:rPr>
        <w:t>查</w:t>
      </w:r>
      <w:r>
        <w:rPr>
          <w:rFonts w:hint="eastAsia"/>
        </w:rPr>
        <w:t>”等活动，投入</w:t>
      </w:r>
      <w:r>
        <w:t>3.2万元购买了一批</w:t>
      </w:r>
      <w:r>
        <w:rPr>
          <w:rFonts w:hint="eastAsia"/>
        </w:rPr>
        <w:t>安全服、梅花警示灯等安全用品和安全标志，张贴宣传标语、悬挂横幅，发放安全生产法律法规、安全知识宣传册，举办安全知识讲座，举办安全知识答题竞赛，开展山体滑坡应急预案演练活动；注重公路巡</w:t>
      </w:r>
      <w:r>
        <w:rPr>
          <w:rFonts w:hint="eastAsia"/>
          <w:lang w:eastAsia="zh-CN"/>
        </w:rPr>
        <w:t>查</w:t>
      </w:r>
      <w:r>
        <w:rPr>
          <w:rFonts w:hint="eastAsia"/>
        </w:rPr>
        <w:t>督</w:t>
      </w:r>
      <w:r>
        <w:rPr>
          <w:rFonts w:hint="eastAsia"/>
          <w:lang w:eastAsia="zh-CN"/>
        </w:rPr>
        <w:t>查</w:t>
      </w:r>
      <w:r>
        <w:rPr>
          <w:rFonts w:hint="eastAsia"/>
        </w:rPr>
        <w:t>和隐患排</w:t>
      </w:r>
      <w:r>
        <w:rPr>
          <w:rFonts w:hint="eastAsia"/>
          <w:lang w:eastAsia="zh-CN"/>
        </w:rPr>
        <w:t>查</w:t>
      </w:r>
      <w:r>
        <w:rPr>
          <w:rFonts w:hint="eastAsia"/>
          <w:lang w:val="en-US" w:eastAsia="zh-CN"/>
        </w:rPr>
        <w:t>治</w:t>
      </w:r>
      <w:r>
        <w:rPr>
          <w:rFonts w:hint="eastAsia"/>
        </w:rPr>
        <w:t>理，自筹资金</w:t>
      </w:r>
      <w:r>
        <w:t>14.97万元，对G323</w:t>
      </w:r>
      <w:r>
        <w:rPr>
          <w:rFonts w:hint="eastAsia"/>
        </w:rPr>
        <w:t>线</w:t>
      </w:r>
      <w:r>
        <w:t>K239+7000、G323线K270+250、G323线K272+800、S342线</w:t>
      </w:r>
      <w:r>
        <w:rPr>
          <w:rFonts w:hint="eastAsia"/>
          <w:lang w:val="en-US" w:eastAsia="zh-CN"/>
        </w:rPr>
        <w:t>K</w:t>
      </w:r>
      <w:r>
        <w:t>2+900、S342线K11+500等危险路段</w:t>
      </w:r>
      <w:r>
        <w:rPr>
          <w:rFonts w:hint="eastAsia"/>
        </w:rPr>
        <w:t>或事故多发路段进行整治。</w:t>
      </w:r>
    </w:p>
    <w:p w14:paraId="25C44BF2">
      <w:pPr>
        <w:rPr>
          <w:rFonts w:hint="eastAsia"/>
        </w:rPr>
      </w:pPr>
      <w:r>
        <w:t>2013年，切实把安全意识、安全管理、安全措施</w:t>
      </w:r>
      <w:r>
        <w:rPr>
          <w:rFonts w:hint="eastAsia"/>
        </w:rPr>
        <w:t>融入到每</w:t>
      </w:r>
      <w:r>
        <w:rPr>
          <w:rFonts w:hint="eastAsia"/>
          <w:lang w:val="en-US" w:eastAsia="zh-CN"/>
        </w:rPr>
        <w:t>一</w:t>
      </w:r>
      <w:r>
        <w:rPr>
          <w:rFonts w:hint="eastAsia"/>
        </w:rPr>
        <w:t>项生产工作中，未发生一起安全生产责任事故，确保安全生产形势稳定。</w:t>
      </w:r>
    </w:p>
    <w:p w14:paraId="2433042B">
      <w:pPr>
        <w:pStyle w:val="4"/>
        <w:bidi w:val="0"/>
        <w:rPr>
          <w:rFonts w:hint="eastAsia"/>
        </w:rPr>
      </w:pPr>
      <w:r>
        <w:rPr>
          <w:rFonts w:hint="eastAsia"/>
        </w:rPr>
        <w:t>【行业文明创建】</w:t>
      </w:r>
    </w:p>
    <w:p w14:paraId="2AC0E605">
      <w:pPr>
        <w:rPr>
          <w:rFonts w:hint="eastAsia"/>
        </w:rPr>
      </w:pPr>
      <w:r>
        <w:rPr>
          <w:rFonts w:hint="eastAsia"/>
        </w:rPr>
        <w:t>抓干部职工队伍的思想素质和工作能力，开展“面向基层、整顿作风、服务群众”</w:t>
      </w:r>
      <w:r>
        <w:rPr>
          <w:rFonts w:hint="eastAsia"/>
          <w:lang w:eastAsia="zh-CN"/>
        </w:rPr>
        <w:t>、</w:t>
      </w:r>
      <w:r>
        <w:rPr>
          <w:rFonts w:hint="eastAsia"/>
        </w:rPr>
        <w:t>“纪律教育学习月”、“整治慵懒散奢不良风气、切实改进工作作风”、“创建廉洁公路”专项行动等活动，切实转变机关管理人员及养护人员的工作作风。</w:t>
      </w:r>
    </w:p>
    <w:p w14:paraId="57962C42">
      <w:pPr>
        <w:rPr>
          <w:rFonts w:hint="eastAsia"/>
        </w:rPr>
      </w:pPr>
      <w:r>
        <w:rPr>
          <w:rFonts w:hint="eastAsia"/>
        </w:rPr>
        <w:t>贯彻落实党风廉政</w:t>
      </w:r>
      <w:r>
        <w:rPr>
          <w:rFonts w:hint="eastAsia"/>
          <w:lang w:val="en-US" w:eastAsia="zh-CN"/>
        </w:rPr>
        <w:t>建设</w:t>
      </w:r>
      <w:r>
        <w:rPr>
          <w:rFonts w:hint="eastAsia"/>
        </w:rPr>
        <w:t>责任制，制订《党风廉政建设和反腐败工作任务分解表》、《南雄公路局岗位职权览表》，继续深入开展工程建设领域突出问题的专项</w:t>
      </w:r>
      <w:r>
        <w:rPr>
          <w:rFonts w:hint="eastAsia"/>
          <w:lang w:val="en-US" w:eastAsia="zh-CN"/>
        </w:rPr>
        <w:t>治</w:t>
      </w:r>
      <w:r>
        <w:rPr>
          <w:rFonts w:hint="eastAsia"/>
        </w:rPr>
        <w:t>理。</w:t>
      </w:r>
    </w:p>
    <w:p w14:paraId="533ABDE8">
      <w:pPr>
        <w:rPr>
          <w:rFonts w:hint="eastAsia"/>
        </w:rPr>
      </w:pPr>
      <w:r>
        <w:rPr>
          <w:rFonts w:hint="eastAsia"/>
        </w:rPr>
        <w:t>大力推进公路文化建设，加大文明养护中心创建力度，扎实做好社会治安综合治理工作，积极做好乌迳镇庙前村的“扶贫双到”工作，提升了行业文明建设水平。</w:t>
      </w:r>
    </w:p>
    <w:p w14:paraId="79D30496">
      <w:pPr>
        <w:rPr>
          <w:rFonts w:hint="eastAsia"/>
        </w:rPr>
      </w:pPr>
      <w:r>
        <w:rPr>
          <w:rFonts w:hint="eastAsia"/>
        </w:rPr>
        <w:t>财务管理工作运转良好。贯彻执行上级下达的有关财务管理规定，积极开展整治“小金库”及违规使用专项资金的行动，做好了权属土地、房屋类资产进行摸底清</w:t>
      </w:r>
      <w:r>
        <w:rPr>
          <w:rFonts w:hint="eastAsia"/>
          <w:lang w:eastAsia="zh-CN"/>
        </w:rPr>
        <w:t>查</w:t>
      </w:r>
      <w:r>
        <w:rPr>
          <w:rFonts w:hint="eastAsia"/>
        </w:rPr>
        <w:t>并向韶关市财政局移交。</w:t>
      </w:r>
    </w:p>
    <w:p w14:paraId="04B5537F">
      <w:pPr>
        <w:rPr>
          <w:rFonts w:hint="eastAsia"/>
        </w:rPr>
      </w:pPr>
      <w:r>
        <w:rPr>
          <w:rFonts w:hint="eastAsia"/>
        </w:rPr>
        <w:t>有效保障职工的合法权益，按照《劳动法》和《劳动合同法》赋予职工的合法权益，在公路工作会议上通过集体合同条款，签订集体合同，并到劳动部门办理合同签订备案手续。逢节日期间慰问退休人员</w:t>
      </w:r>
      <w:r>
        <w:rPr>
          <w:rFonts w:hint="eastAsia"/>
          <w:lang w:eastAsia="zh-CN"/>
        </w:rPr>
        <w:t>、</w:t>
      </w:r>
      <w:r>
        <w:rPr>
          <w:rFonts w:hint="eastAsia"/>
        </w:rPr>
        <w:t>女职工、退伍军人、特困家庭等，扎实推进金秋送学</w:t>
      </w:r>
      <w:r>
        <w:rPr>
          <w:rFonts w:hint="eastAsia"/>
          <w:lang w:eastAsia="zh-CN"/>
        </w:rPr>
        <w:t>、</w:t>
      </w:r>
      <w:r>
        <w:rPr>
          <w:rFonts w:hint="eastAsia"/>
        </w:rPr>
        <w:t>送温暖工程、“固本强基”工作。</w:t>
      </w:r>
    </w:p>
    <w:p w14:paraId="55673F66">
      <w:pPr>
        <w:jc w:val="right"/>
        <w:rPr>
          <w:rFonts w:hint="eastAsia"/>
          <w:b/>
          <w:bCs/>
        </w:rPr>
      </w:pPr>
      <w:r>
        <w:rPr>
          <w:rFonts w:hint="eastAsia"/>
          <w:b/>
          <w:bCs/>
          <w:lang w:eastAsia="zh-CN"/>
        </w:rPr>
        <w:t>（</w:t>
      </w:r>
      <w:r>
        <w:rPr>
          <w:rFonts w:hint="eastAsia"/>
          <w:b/>
          <w:bCs/>
        </w:rPr>
        <w:t>卢隆平）</w:t>
      </w:r>
    </w:p>
    <w:p w14:paraId="581E007A">
      <w:pPr>
        <w:pStyle w:val="10"/>
        <w:bidi w:val="0"/>
        <w:rPr>
          <w:b/>
          <w:bCs/>
        </w:rPr>
      </w:pPr>
      <w:r>
        <w:rPr>
          <w:rFonts w:hint="eastAsia"/>
          <w:b/>
          <w:bCs/>
        </w:rPr>
        <w:t>附：</w:t>
      </w:r>
      <w:r>
        <w:rPr>
          <w:b/>
          <w:bCs/>
        </w:rPr>
        <w:t>2013年韶关市南雄公路局领导班子成员名单</w:t>
      </w:r>
    </w:p>
    <w:p w14:paraId="21DB867B">
      <w:pPr>
        <w:pStyle w:val="10"/>
        <w:bidi w:val="0"/>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张福明</w:t>
      </w:r>
    </w:p>
    <w:p w14:paraId="2D1DC17F">
      <w:pPr>
        <w:pStyle w:val="10"/>
        <w:bidi w:val="0"/>
        <w:rPr>
          <w:rFonts w:hint="eastAsia"/>
        </w:rPr>
      </w:pPr>
      <w:r>
        <w:rPr>
          <w:rFonts w:hint="eastAsia"/>
          <w:b/>
          <w:bCs/>
        </w:rPr>
        <w:t>副局长：</w:t>
      </w:r>
      <w:r>
        <w:rPr>
          <w:rFonts w:hint="eastAsia"/>
        </w:rPr>
        <w:t>邹国山</w:t>
      </w:r>
      <w:r>
        <w:rPr>
          <w:rFonts w:hint="eastAsia"/>
          <w:lang w:val="en-US" w:eastAsia="zh-CN"/>
        </w:rPr>
        <w:t xml:space="preserve">   </w:t>
      </w:r>
      <w:r>
        <w:rPr>
          <w:rFonts w:hint="eastAsia"/>
        </w:rPr>
        <w:t>徐先昌</w:t>
      </w:r>
    </w:p>
    <w:p w14:paraId="17D6DE89">
      <w:pPr>
        <w:pStyle w:val="3"/>
        <w:bidi w:val="0"/>
        <w:rPr>
          <w:rFonts w:hint="default"/>
          <w:lang w:val="en-US" w:eastAsia="zh-CN"/>
        </w:rPr>
      </w:pPr>
      <w:r>
        <w:rPr>
          <w:rFonts w:hint="eastAsia"/>
          <w:lang w:val="en-US" w:eastAsia="zh-CN"/>
        </w:rPr>
        <w:t>南雄汽车站</w:t>
      </w:r>
    </w:p>
    <w:p w14:paraId="7C629B79">
      <w:pPr>
        <w:pStyle w:val="4"/>
        <w:bidi w:val="0"/>
        <w:rPr>
          <w:rFonts w:hint="eastAsia"/>
        </w:rPr>
      </w:pPr>
      <w:r>
        <w:rPr>
          <w:rFonts w:hint="eastAsia"/>
        </w:rPr>
        <w:t>【完成业绩】</w:t>
      </w:r>
    </w:p>
    <w:p w14:paraId="1AB4D181">
      <w:r>
        <w:t>2013年，南雄汽车站完成客运量246万</w:t>
      </w:r>
      <w:r>
        <w:rPr>
          <w:rFonts w:hint="eastAsia"/>
        </w:rPr>
        <w:t>人次，与上年同期对比增</w:t>
      </w:r>
      <w:r>
        <w:t>4.36%；完成客运周转量19252万人公里，与上年同期对比增加0.59%，营收总</w:t>
      </w:r>
      <w:r>
        <w:rPr>
          <w:rFonts w:hint="eastAsia"/>
        </w:rPr>
        <w:t>额</w:t>
      </w:r>
      <w:r>
        <w:t>440</w:t>
      </w:r>
      <w:r>
        <w:rPr>
          <w:rFonts w:hint="eastAsia"/>
          <w:lang w:val="en-US" w:eastAsia="zh-CN"/>
        </w:rPr>
        <w:t>0</w:t>
      </w:r>
      <w:r>
        <w:t>万元，与上年同期对比增加280万元，营收总</w:t>
      </w:r>
      <w:r>
        <w:rPr>
          <w:rFonts w:hint="eastAsia"/>
        </w:rPr>
        <w:t>成本</w:t>
      </w:r>
      <w:r>
        <w:t>3492万元，与上年同期对比增加589万元。上交</w:t>
      </w:r>
      <w:r>
        <w:rPr>
          <w:rFonts w:hint="eastAsia"/>
        </w:rPr>
        <w:t>各科税金</w:t>
      </w:r>
      <w:r>
        <w:t>279万元，与上年同期对比增加8万元。</w:t>
      </w:r>
    </w:p>
    <w:p w14:paraId="2218CFA4">
      <w:pPr>
        <w:pStyle w:val="4"/>
        <w:bidi w:val="0"/>
        <w:rPr>
          <w:rFonts w:hint="eastAsia"/>
        </w:rPr>
      </w:pPr>
      <w:r>
        <w:rPr>
          <w:rFonts w:hint="eastAsia"/>
        </w:rPr>
        <w:t>【班次、线路】</w:t>
      </w:r>
    </w:p>
    <w:p w14:paraId="24BABCDF">
      <w:r>
        <w:rPr>
          <w:rFonts w:hint="eastAsia"/>
        </w:rPr>
        <w:t>主要运输线路：深圳每天</w:t>
      </w:r>
      <w:r>
        <w:t>4班，广州</w:t>
      </w:r>
      <w:r>
        <w:rPr>
          <w:rFonts w:hint="eastAsia"/>
        </w:rPr>
        <w:t>表</w:t>
      </w:r>
      <w:r>
        <w:t>13南雄车站发送至</w:t>
      </w:r>
      <w:r>
        <w:rPr>
          <w:rFonts w:hint="eastAsia"/>
        </w:rPr>
        <w:t>每天</w:t>
      </w:r>
      <w:r>
        <w:t>9班，东莞每天3班，番禺每天2班，佛山每天3</w:t>
      </w:r>
      <w:r>
        <w:rPr>
          <w:rFonts w:hint="eastAsia"/>
        </w:rPr>
        <w:t>班，珠海每天</w:t>
      </w:r>
      <w:r>
        <w:t>2班，小榄每天1班，顺德每天1班，</w:t>
      </w:r>
      <w:r>
        <w:rPr>
          <w:rFonts w:hint="eastAsia"/>
        </w:rPr>
        <w:t>花都每天</w:t>
      </w:r>
      <w:r>
        <w:t>1班，翁源每天1班。</w:t>
      </w:r>
    </w:p>
    <w:p w14:paraId="36CC44F3">
      <w:pPr>
        <w:rPr>
          <w:rFonts w:hint="eastAsia"/>
        </w:rPr>
      </w:pPr>
      <w:r>
        <w:rPr>
          <w:rFonts w:hint="eastAsia"/>
        </w:rPr>
        <w:t>南雄至韶关线：早上</w:t>
      </w:r>
      <w:r>
        <w:t>6：30时至晚上20：00时</w:t>
      </w:r>
      <w:r>
        <w:rPr>
          <w:rFonts w:hint="eastAsia"/>
        </w:rPr>
        <w:t>（每隔</w:t>
      </w:r>
      <w:r>
        <w:t>20分钟一趟），另有7个高速公路班次，节假日</w:t>
      </w:r>
      <w:r>
        <w:rPr>
          <w:rFonts w:hint="eastAsia"/>
        </w:rPr>
        <w:t>临时增加班次。</w:t>
      </w:r>
    </w:p>
    <w:p w14:paraId="211E6A58">
      <w:r>
        <w:rPr>
          <w:rFonts w:hint="eastAsia"/>
        </w:rPr>
        <w:t>乡镇线：古市镇、全安镇、主田镇开通公交车，票价一律</w:t>
      </w:r>
      <w:r>
        <w:t>2元，刷卡可打九折优惠。发班时间：早上7：00时至晚上7：40时。其它乡镇均通农村客运公交</w:t>
      </w:r>
      <w:r>
        <w:rPr>
          <w:rFonts w:hint="eastAsia"/>
        </w:rPr>
        <w:t>车。乌迳、黄坑、南亩、水口、江头、湖口、邓坊</w:t>
      </w:r>
      <w:r>
        <w:rPr>
          <w:rFonts w:hint="eastAsia"/>
          <w:lang w:eastAsia="zh-CN"/>
        </w:rPr>
        <w:t>、</w:t>
      </w:r>
      <w:r>
        <w:rPr>
          <w:rFonts w:hint="eastAsia"/>
        </w:rPr>
        <w:t>大塘、珠玑、梅岭均隔</w:t>
      </w:r>
      <w:r>
        <w:t>10</w:t>
      </w:r>
      <w:r>
        <w:rPr>
          <w:rFonts w:hint="eastAsia"/>
          <w:lang w:eastAsia="zh-CN"/>
        </w:rPr>
        <w:t>—</w:t>
      </w:r>
      <w:r>
        <w:t>20分钟一趟。百顺每天4</w:t>
      </w:r>
      <w:r>
        <w:rPr>
          <w:rFonts w:hint="eastAsia"/>
        </w:rPr>
        <w:t>班；界址每天</w:t>
      </w:r>
      <w:r>
        <w:t>5班；分水坳每天2班；孔江每天3班；</w:t>
      </w:r>
      <w:r>
        <w:rPr>
          <w:rFonts w:hint="eastAsia"/>
        </w:rPr>
        <w:t>坪田坳每天</w:t>
      </w:r>
      <w:r>
        <w:t>7班；上龙每天3班；苍石每天2班；澜</w:t>
      </w:r>
      <w:r>
        <w:rPr>
          <w:rFonts w:hint="eastAsia"/>
        </w:rPr>
        <w:t>河每天</w:t>
      </w:r>
      <w:r>
        <w:t>2班。</w:t>
      </w:r>
    </w:p>
    <w:p w14:paraId="604FC81F">
      <w:r>
        <w:rPr>
          <w:rFonts w:hint="eastAsia"/>
        </w:rPr>
        <w:t>跨省班次：韶关至信丰每天</w:t>
      </w:r>
      <w:r>
        <w:t>2班（过路车）；清</w:t>
      </w:r>
      <w:r>
        <w:rPr>
          <w:rFonts w:hint="eastAsia"/>
        </w:rPr>
        <w:t>远至赣州每天</w:t>
      </w:r>
      <w:r>
        <w:t>1班（过路车）；韶关至赣州每天早上7</w:t>
      </w:r>
      <w:r>
        <w:rPr>
          <w:rFonts w:hint="eastAsia"/>
        </w:rPr>
        <w:t>时至下午</w:t>
      </w:r>
      <w:r>
        <w:t>6时每隔1小时发一班车，不进站，走新323</w:t>
      </w:r>
      <w:r>
        <w:rPr>
          <w:rFonts w:hint="eastAsia"/>
        </w:rPr>
        <w:t>线路过南雄；南雄至大余每隔</w:t>
      </w:r>
      <w:r>
        <w:t>30分钟一州，南雄至陂</w:t>
      </w:r>
      <w:r>
        <w:rPr>
          <w:rFonts w:hint="eastAsia"/>
        </w:rPr>
        <w:t>头每天</w:t>
      </w:r>
      <w:r>
        <w:t>2班。</w:t>
      </w:r>
    </w:p>
    <w:p w14:paraId="141352AB">
      <w:pPr>
        <w:pStyle w:val="4"/>
        <w:bidi w:val="0"/>
        <w:rPr>
          <w:rFonts w:hint="eastAsia"/>
        </w:rPr>
      </w:pPr>
      <w:r>
        <w:rPr>
          <w:rFonts w:hint="eastAsia"/>
        </w:rPr>
        <w:t>【领导编制】</w:t>
      </w:r>
    </w:p>
    <w:p w14:paraId="09EA4CB5">
      <w:pPr>
        <w:rPr>
          <w:rFonts w:hint="eastAsia"/>
        </w:rPr>
      </w:pPr>
      <w:r>
        <w:rPr>
          <w:rFonts w:hint="eastAsia"/>
        </w:rPr>
        <w:t>一正一副，站长李应海，副站长叶平。下设</w:t>
      </w:r>
      <w:r>
        <w:t>5大部门：办公室、财务管理处、车队、车间</w:t>
      </w:r>
      <w:r>
        <w:rPr>
          <w:rFonts w:hint="eastAsia"/>
          <w:lang w:eastAsia="zh-CN"/>
        </w:rPr>
        <w:t>、</w:t>
      </w:r>
      <w:r>
        <w:rPr>
          <w:rFonts w:hint="eastAsia"/>
        </w:rPr>
        <w:t>客运管理处。代管</w:t>
      </w:r>
      <w:r>
        <w:t>2个公司：南雄市公共汽车有限公</w:t>
      </w:r>
      <w:r>
        <w:rPr>
          <w:rFonts w:hint="eastAsia"/>
        </w:rPr>
        <w:t>司和南雄市陆通汽车客运有限公司。</w:t>
      </w:r>
    </w:p>
    <w:p w14:paraId="66A9ADEB">
      <w:pPr>
        <w:jc w:val="right"/>
        <w:rPr>
          <w:rFonts w:hint="eastAsia"/>
          <w:b/>
          <w:bCs/>
        </w:rPr>
      </w:pPr>
      <w:r>
        <w:rPr>
          <w:rFonts w:hint="eastAsia"/>
          <w:b/>
          <w:bCs/>
        </w:rPr>
        <w:t>（南雄汽车站）</w:t>
      </w:r>
    </w:p>
    <w:p w14:paraId="72C1B271">
      <w:pPr>
        <w:pStyle w:val="10"/>
        <w:bidi w:val="0"/>
        <w:jc w:val="center"/>
        <w:rPr>
          <w:rFonts w:hint="eastAsia"/>
          <w:b/>
          <w:bCs/>
        </w:rPr>
      </w:pPr>
      <w:r>
        <w:rPr>
          <w:rFonts w:hint="eastAsia"/>
          <w:b/>
          <w:bCs/>
        </w:rPr>
        <w:t>南雄车站发送至各地班线时间表</w:t>
      </w:r>
    </w:p>
    <w:p w14:paraId="6C43A2A5">
      <w:pPr>
        <w:bidi w:val="0"/>
        <w:rPr>
          <w:rFonts w:hint="eastAsia"/>
        </w:rPr>
      </w:pPr>
      <w:r>
        <w:rPr>
          <w:rFonts w:hint="eastAsia"/>
        </w:rPr>
        <w:t>表13</w:t>
      </w:r>
    </w:p>
    <w:tbl>
      <w:tblPr>
        <w:tblStyle w:val="7"/>
        <w:tblW w:w="4987" w:type="pct"/>
        <w:jc w:val="center"/>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108" w:type="dxa"/>
          <w:bottom w:w="0" w:type="dxa"/>
          <w:right w:w="108" w:type="dxa"/>
        </w:tblCellMar>
      </w:tblPr>
      <w:tblGrid>
        <w:gridCol w:w="755"/>
        <w:gridCol w:w="1484"/>
        <w:gridCol w:w="4765"/>
        <w:gridCol w:w="1085"/>
        <w:gridCol w:w="1847"/>
      </w:tblGrid>
      <w:tr w14:paraId="69865AD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380" w:type="pct"/>
            <w:tcBorders>
              <w:top w:val="single" w:color="000000" w:sz="8" w:space="0"/>
              <w:bottom w:val="single" w:color="000000" w:sz="8" w:space="0"/>
              <w:right w:val="single" w:color="000000" w:sz="8" w:space="0"/>
            </w:tcBorders>
            <w:shd w:val="clear" w:color="auto" w:fill="FFFFFF"/>
            <w:noWrap w:val="0"/>
            <w:vAlign w:val="center"/>
          </w:tcPr>
          <w:p w14:paraId="0EBE5F39">
            <w:pPr>
              <w:pStyle w:val="10"/>
              <w:bidi w:val="0"/>
              <w:jc w:val="center"/>
              <w:rPr>
                <w:b/>
                <w:bCs/>
                <w:color w:val="000000"/>
              </w:rPr>
            </w:pPr>
            <w:r>
              <w:rPr>
                <w:b/>
                <w:bCs/>
                <w:color w:val="000000"/>
              </w:rPr>
              <w:t>序号</w:t>
            </w:r>
          </w:p>
        </w:tc>
        <w:tc>
          <w:tcPr>
            <w:tcW w:w="74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61D40E1">
            <w:pPr>
              <w:pStyle w:val="10"/>
              <w:bidi w:val="0"/>
              <w:jc w:val="center"/>
              <w:rPr>
                <w:b/>
                <w:bCs/>
                <w:color w:val="000000"/>
              </w:rPr>
            </w:pPr>
            <w:r>
              <w:rPr>
                <w:b/>
                <w:bCs/>
                <w:color w:val="000000"/>
              </w:rPr>
              <w:t>线路名称</w:t>
            </w:r>
          </w:p>
        </w:tc>
        <w:tc>
          <w:tcPr>
            <w:tcW w:w="23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A4F68DB">
            <w:pPr>
              <w:pStyle w:val="10"/>
              <w:bidi w:val="0"/>
              <w:jc w:val="center"/>
              <w:rPr>
                <w:b/>
                <w:bCs/>
                <w:color w:val="000000"/>
              </w:rPr>
            </w:pPr>
            <w:r>
              <w:rPr>
                <w:b/>
                <w:bCs/>
                <w:color w:val="000000"/>
              </w:rPr>
              <w:t>南雄汽车站发车时间</w:t>
            </w:r>
          </w:p>
        </w:tc>
        <w:tc>
          <w:tcPr>
            <w:tcW w:w="5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0E291D9">
            <w:pPr>
              <w:pStyle w:val="10"/>
              <w:bidi w:val="0"/>
              <w:jc w:val="center"/>
              <w:rPr>
                <w:b/>
                <w:bCs/>
                <w:color w:val="000000"/>
              </w:rPr>
            </w:pPr>
            <w:r>
              <w:rPr>
                <w:b/>
                <w:bCs/>
                <w:color w:val="000000"/>
              </w:rPr>
              <w:t>日发班次（趟）</w:t>
            </w:r>
          </w:p>
        </w:tc>
        <w:tc>
          <w:tcPr>
            <w:tcW w:w="926" w:type="pct"/>
            <w:tcBorders>
              <w:top w:val="single" w:color="000000" w:sz="8" w:space="0"/>
              <w:left w:val="single" w:color="000000" w:sz="8" w:space="0"/>
              <w:bottom w:val="single" w:color="000000" w:sz="8" w:space="0"/>
            </w:tcBorders>
            <w:shd w:val="clear" w:color="auto" w:fill="FFFFFF"/>
            <w:noWrap w:val="0"/>
            <w:vAlign w:val="center"/>
          </w:tcPr>
          <w:p w14:paraId="4CB35156">
            <w:pPr>
              <w:pStyle w:val="10"/>
              <w:bidi w:val="0"/>
              <w:jc w:val="center"/>
              <w:rPr>
                <w:b/>
                <w:bCs/>
                <w:color w:val="000000"/>
              </w:rPr>
            </w:pPr>
            <w:r>
              <w:rPr>
                <w:b/>
                <w:bCs/>
                <w:color w:val="000000"/>
              </w:rPr>
              <w:t>终点站</w:t>
            </w:r>
          </w:p>
        </w:tc>
      </w:tr>
      <w:tr w14:paraId="30D74DF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380" w:type="pct"/>
            <w:vMerge w:val="restart"/>
            <w:tcBorders>
              <w:top w:val="single" w:color="000000" w:sz="8" w:space="0"/>
              <w:bottom w:val="single" w:color="000000" w:sz="8" w:space="0"/>
              <w:right w:val="single" w:color="000000" w:sz="8" w:space="0"/>
            </w:tcBorders>
            <w:shd w:val="clear" w:color="auto" w:fill="FFFFFF"/>
            <w:noWrap w:val="0"/>
            <w:vAlign w:val="center"/>
          </w:tcPr>
          <w:p w14:paraId="46157944">
            <w:pPr>
              <w:pStyle w:val="10"/>
              <w:bidi w:val="0"/>
              <w:jc w:val="center"/>
              <w:rPr>
                <w:color w:val="000000"/>
              </w:rPr>
            </w:pPr>
            <w:r>
              <w:rPr>
                <w:color w:val="000000"/>
              </w:rPr>
              <w:t>1</w:t>
            </w:r>
          </w:p>
        </w:tc>
        <w:tc>
          <w:tcPr>
            <w:tcW w:w="74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85F4821">
            <w:pPr>
              <w:pStyle w:val="10"/>
              <w:bidi w:val="0"/>
              <w:jc w:val="center"/>
              <w:rPr>
                <w:color w:val="000000"/>
              </w:rPr>
            </w:pPr>
            <w:r>
              <w:rPr>
                <w:color w:val="000000"/>
              </w:rPr>
              <w:t>韶关国道班</w:t>
            </w:r>
          </w:p>
        </w:tc>
        <w:tc>
          <w:tcPr>
            <w:tcW w:w="23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C4C802F">
            <w:pPr>
              <w:pStyle w:val="10"/>
              <w:bidi w:val="0"/>
              <w:jc w:val="center"/>
              <w:rPr>
                <w:color w:val="000000"/>
              </w:rPr>
            </w:pPr>
            <w:r>
              <w:rPr>
                <w:color w:val="000000"/>
              </w:rPr>
              <w:t>早上6:30--下午18:40（每20分一趟）</w:t>
            </w:r>
          </w:p>
        </w:tc>
        <w:tc>
          <w:tcPr>
            <w:tcW w:w="5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BBE955D">
            <w:pPr>
              <w:pStyle w:val="10"/>
              <w:bidi w:val="0"/>
              <w:jc w:val="center"/>
              <w:rPr>
                <w:color w:val="000000"/>
              </w:rPr>
            </w:pPr>
            <w:r>
              <w:rPr>
                <w:color w:val="000000"/>
              </w:rPr>
              <w:t>35</w:t>
            </w:r>
          </w:p>
        </w:tc>
        <w:tc>
          <w:tcPr>
            <w:tcW w:w="926" w:type="pct"/>
            <w:vMerge w:val="restart"/>
            <w:tcBorders>
              <w:top w:val="single" w:color="000000" w:sz="8" w:space="0"/>
              <w:left w:val="single" w:color="000000" w:sz="8" w:space="0"/>
              <w:bottom w:val="single" w:color="000000" w:sz="8" w:space="0"/>
            </w:tcBorders>
            <w:shd w:val="clear" w:color="auto" w:fill="FFFFFF"/>
            <w:noWrap w:val="0"/>
            <w:vAlign w:val="center"/>
          </w:tcPr>
          <w:p w14:paraId="23B7D24C">
            <w:pPr>
              <w:pStyle w:val="10"/>
              <w:bidi w:val="0"/>
              <w:jc w:val="center"/>
              <w:rPr>
                <w:color w:val="000000"/>
              </w:rPr>
            </w:pPr>
            <w:r>
              <w:rPr>
                <w:color w:val="000000"/>
              </w:rPr>
              <w:t>韶关客运东站</w:t>
            </w:r>
          </w:p>
        </w:tc>
      </w:tr>
      <w:tr w14:paraId="1CFA0A1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380" w:type="pct"/>
            <w:vMerge w:val="continue"/>
            <w:tcBorders>
              <w:top w:val="single" w:color="000000" w:sz="8" w:space="0"/>
              <w:bottom w:val="single" w:color="000000" w:sz="8" w:space="0"/>
              <w:right w:val="single" w:color="000000" w:sz="8" w:space="0"/>
            </w:tcBorders>
            <w:shd w:val="clear" w:color="auto" w:fill="FFFFFF"/>
            <w:noWrap w:val="0"/>
            <w:vAlign w:val="center"/>
          </w:tcPr>
          <w:p w14:paraId="38D96EDA">
            <w:pPr>
              <w:pStyle w:val="10"/>
              <w:bidi w:val="0"/>
              <w:jc w:val="center"/>
              <w:rPr>
                <w:color w:val="000000"/>
              </w:rPr>
            </w:pPr>
          </w:p>
        </w:tc>
        <w:tc>
          <w:tcPr>
            <w:tcW w:w="74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C2EA6E7">
            <w:pPr>
              <w:pStyle w:val="10"/>
              <w:bidi w:val="0"/>
              <w:jc w:val="center"/>
              <w:rPr>
                <w:color w:val="000000"/>
              </w:rPr>
            </w:pPr>
            <w:r>
              <w:rPr>
                <w:color w:val="000000"/>
              </w:rPr>
              <w:t>韶关高速班</w:t>
            </w:r>
          </w:p>
        </w:tc>
        <w:tc>
          <w:tcPr>
            <w:tcW w:w="23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29F652E">
            <w:pPr>
              <w:pStyle w:val="10"/>
              <w:bidi w:val="0"/>
              <w:jc w:val="center"/>
              <w:rPr>
                <w:color w:val="000000"/>
              </w:rPr>
            </w:pPr>
            <w:r>
              <w:rPr>
                <w:color w:val="000000"/>
              </w:rPr>
              <w:t>6:20时；8时；9时；10时；11时；13时；15时</w:t>
            </w:r>
          </w:p>
        </w:tc>
        <w:tc>
          <w:tcPr>
            <w:tcW w:w="5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DE82469">
            <w:pPr>
              <w:pStyle w:val="10"/>
              <w:bidi w:val="0"/>
              <w:jc w:val="center"/>
              <w:rPr>
                <w:color w:val="000000"/>
              </w:rPr>
            </w:pPr>
            <w:r>
              <w:rPr>
                <w:color w:val="000000"/>
              </w:rPr>
              <w:t>7</w:t>
            </w:r>
          </w:p>
        </w:tc>
        <w:tc>
          <w:tcPr>
            <w:tcW w:w="926" w:type="pct"/>
            <w:vMerge w:val="continue"/>
            <w:tcBorders>
              <w:top w:val="single" w:color="000000" w:sz="8" w:space="0"/>
              <w:left w:val="single" w:color="000000" w:sz="8" w:space="0"/>
              <w:bottom w:val="single" w:color="000000" w:sz="8" w:space="0"/>
            </w:tcBorders>
            <w:shd w:val="clear" w:color="auto" w:fill="FFFFFF"/>
            <w:noWrap w:val="0"/>
            <w:vAlign w:val="center"/>
          </w:tcPr>
          <w:p w14:paraId="38BC6A1B">
            <w:pPr>
              <w:pStyle w:val="10"/>
              <w:bidi w:val="0"/>
              <w:jc w:val="center"/>
              <w:rPr>
                <w:color w:val="000000"/>
              </w:rPr>
            </w:pPr>
          </w:p>
        </w:tc>
      </w:tr>
      <w:tr w14:paraId="43C1492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380" w:type="pct"/>
            <w:tcBorders>
              <w:top w:val="single" w:color="000000" w:sz="8" w:space="0"/>
              <w:bottom w:val="single" w:color="000000" w:sz="8" w:space="0"/>
              <w:right w:val="single" w:color="000000" w:sz="8" w:space="0"/>
            </w:tcBorders>
            <w:shd w:val="clear" w:color="auto" w:fill="FFFFFF"/>
            <w:noWrap w:val="0"/>
            <w:vAlign w:val="center"/>
          </w:tcPr>
          <w:p w14:paraId="5BA1206B">
            <w:pPr>
              <w:pStyle w:val="10"/>
              <w:bidi w:val="0"/>
              <w:jc w:val="center"/>
              <w:rPr>
                <w:color w:val="000000"/>
              </w:rPr>
            </w:pPr>
            <w:r>
              <w:rPr>
                <w:color w:val="000000"/>
              </w:rPr>
              <w:t>2</w:t>
            </w:r>
          </w:p>
        </w:tc>
        <w:tc>
          <w:tcPr>
            <w:tcW w:w="74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F1CB277">
            <w:pPr>
              <w:pStyle w:val="10"/>
              <w:bidi w:val="0"/>
              <w:jc w:val="center"/>
              <w:rPr>
                <w:color w:val="000000"/>
              </w:rPr>
            </w:pPr>
            <w:r>
              <w:rPr>
                <w:color w:val="000000"/>
              </w:rPr>
              <w:t>佛山</w:t>
            </w:r>
          </w:p>
        </w:tc>
        <w:tc>
          <w:tcPr>
            <w:tcW w:w="23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30B83A5">
            <w:pPr>
              <w:pStyle w:val="10"/>
              <w:bidi w:val="0"/>
              <w:jc w:val="center"/>
              <w:rPr>
                <w:color w:val="000000"/>
              </w:rPr>
            </w:pPr>
            <w:r>
              <w:rPr>
                <w:color w:val="000000"/>
              </w:rPr>
              <w:t>08:10   14:00:00   16:00:00</w:t>
            </w:r>
          </w:p>
        </w:tc>
        <w:tc>
          <w:tcPr>
            <w:tcW w:w="5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604566A">
            <w:pPr>
              <w:pStyle w:val="10"/>
              <w:bidi w:val="0"/>
              <w:jc w:val="center"/>
              <w:rPr>
                <w:color w:val="000000"/>
              </w:rPr>
            </w:pPr>
            <w:r>
              <w:rPr>
                <w:color w:val="000000"/>
              </w:rPr>
              <w:t>3</w:t>
            </w:r>
          </w:p>
        </w:tc>
        <w:tc>
          <w:tcPr>
            <w:tcW w:w="926" w:type="pct"/>
            <w:tcBorders>
              <w:top w:val="single" w:color="000000" w:sz="8" w:space="0"/>
              <w:left w:val="single" w:color="000000" w:sz="8" w:space="0"/>
              <w:bottom w:val="single" w:color="000000" w:sz="8" w:space="0"/>
            </w:tcBorders>
            <w:shd w:val="clear" w:color="auto" w:fill="FFFFFF"/>
            <w:noWrap w:val="0"/>
            <w:vAlign w:val="center"/>
          </w:tcPr>
          <w:p w14:paraId="756DD682">
            <w:pPr>
              <w:pStyle w:val="10"/>
              <w:bidi w:val="0"/>
              <w:jc w:val="center"/>
              <w:rPr>
                <w:color w:val="000000"/>
              </w:rPr>
            </w:pPr>
            <w:r>
              <w:rPr>
                <w:color w:val="000000"/>
              </w:rPr>
              <w:t>鸿运汽车站</w:t>
            </w:r>
          </w:p>
        </w:tc>
      </w:tr>
      <w:tr w14:paraId="4172B69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380" w:type="pct"/>
            <w:vMerge w:val="restart"/>
            <w:tcBorders>
              <w:top w:val="single" w:color="000000" w:sz="8" w:space="0"/>
              <w:bottom w:val="single" w:color="000000" w:sz="8" w:space="0"/>
              <w:right w:val="single" w:color="000000" w:sz="8" w:space="0"/>
            </w:tcBorders>
            <w:shd w:val="clear" w:color="auto" w:fill="FFFFFF"/>
            <w:noWrap w:val="0"/>
            <w:vAlign w:val="center"/>
          </w:tcPr>
          <w:p w14:paraId="2732D4B1">
            <w:pPr>
              <w:pStyle w:val="10"/>
              <w:bidi w:val="0"/>
              <w:jc w:val="center"/>
              <w:rPr>
                <w:color w:val="000000"/>
              </w:rPr>
            </w:pPr>
            <w:r>
              <w:rPr>
                <w:color w:val="000000"/>
              </w:rPr>
              <w:t>3</w:t>
            </w:r>
          </w:p>
        </w:tc>
        <w:tc>
          <w:tcPr>
            <w:tcW w:w="747"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44CD3EE">
            <w:pPr>
              <w:pStyle w:val="10"/>
              <w:bidi w:val="0"/>
              <w:jc w:val="center"/>
              <w:rPr>
                <w:color w:val="000000"/>
              </w:rPr>
            </w:pPr>
            <w:r>
              <w:rPr>
                <w:color w:val="000000"/>
              </w:rPr>
              <w:t>珠海</w:t>
            </w:r>
          </w:p>
        </w:tc>
        <w:tc>
          <w:tcPr>
            <w:tcW w:w="23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EC525CF">
            <w:pPr>
              <w:pStyle w:val="10"/>
              <w:bidi w:val="0"/>
              <w:jc w:val="center"/>
              <w:rPr>
                <w:color w:val="000000"/>
              </w:rPr>
            </w:pPr>
            <w:r>
              <w:rPr>
                <w:color w:val="000000"/>
              </w:rPr>
              <w:t>8:20</w:t>
            </w:r>
          </w:p>
        </w:tc>
        <w:tc>
          <w:tcPr>
            <w:tcW w:w="5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7ED997B">
            <w:pPr>
              <w:pStyle w:val="10"/>
              <w:bidi w:val="0"/>
              <w:jc w:val="center"/>
              <w:rPr>
                <w:color w:val="000000"/>
              </w:rPr>
            </w:pPr>
            <w:r>
              <w:rPr>
                <w:color w:val="000000"/>
              </w:rPr>
              <w:t>1</w:t>
            </w:r>
          </w:p>
        </w:tc>
        <w:tc>
          <w:tcPr>
            <w:tcW w:w="926" w:type="pct"/>
            <w:tcBorders>
              <w:top w:val="single" w:color="000000" w:sz="8" w:space="0"/>
              <w:left w:val="single" w:color="000000" w:sz="8" w:space="0"/>
              <w:bottom w:val="single" w:color="000000" w:sz="8" w:space="0"/>
            </w:tcBorders>
            <w:shd w:val="clear" w:color="auto" w:fill="FFFFFF"/>
            <w:noWrap w:val="0"/>
            <w:vAlign w:val="center"/>
          </w:tcPr>
          <w:p w14:paraId="2D341FC3">
            <w:pPr>
              <w:pStyle w:val="10"/>
              <w:bidi w:val="0"/>
              <w:jc w:val="center"/>
              <w:rPr>
                <w:color w:val="000000"/>
              </w:rPr>
            </w:pPr>
            <w:r>
              <w:rPr>
                <w:color w:val="000000"/>
              </w:rPr>
              <w:t>香洲汽车站</w:t>
            </w:r>
          </w:p>
        </w:tc>
      </w:tr>
      <w:tr w14:paraId="5839F7C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380" w:type="pct"/>
            <w:vMerge w:val="continue"/>
            <w:tcBorders>
              <w:top w:val="single" w:color="000000" w:sz="8" w:space="0"/>
              <w:bottom w:val="single" w:color="000000" w:sz="8" w:space="0"/>
              <w:right w:val="single" w:color="000000" w:sz="8" w:space="0"/>
            </w:tcBorders>
            <w:shd w:val="clear" w:color="auto" w:fill="FFFFFF"/>
            <w:noWrap w:val="0"/>
            <w:vAlign w:val="center"/>
          </w:tcPr>
          <w:p w14:paraId="70733506">
            <w:pPr>
              <w:pStyle w:val="10"/>
              <w:bidi w:val="0"/>
              <w:jc w:val="center"/>
              <w:rPr>
                <w:color w:val="000000"/>
              </w:rPr>
            </w:pPr>
          </w:p>
        </w:tc>
        <w:tc>
          <w:tcPr>
            <w:tcW w:w="747"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04CC7A3">
            <w:pPr>
              <w:pStyle w:val="10"/>
              <w:bidi w:val="0"/>
              <w:jc w:val="center"/>
              <w:rPr>
                <w:color w:val="000000"/>
              </w:rPr>
            </w:pPr>
          </w:p>
        </w:tc>
        <w:tc>
          <w:tcPr>
            <w:tcW w:w="23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18A4232">
            <w:pPr>
              <w:pStyle w:val="10"/>
              <w:bidi w:val="0"/>
              <w:jc w:val="center"/>
              <w:rPr>
                <w:color w:val="000000"/>
              </w:rPr>
            </w:pPr>
            <w:r>
              <w:rPr>
                <w:color w:val="000000"/>
              </w:rPr>
              <w:t>15:10</w:t>
            </w:r>
          </w:p>
        </w:tc>
        <w:tc>
          <w:tcPr>
            <w:tcW w:w="5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410A571">
            <w:pPr>
              <w:pStyle w:val="10"/>
              <w:bidi w:val="0"/>
              <w:jc w:val="center"/>
              <w:rPr>
                <w:color w:val="000000"/>
              </w:rPr>
            </w:pPr>
            <w:r>
              <w:rPr>
                <w:color w:val="000000"/>
              </w:rPr>
              <w:t>1</w:t>
            </w:r>
          </w:p>
        </w:tc>
        <w:tc>
          <w:tcPr>
            <w:tcW w:w="926" w:type="pct"/>
            <w:tcBorders>
              <w:top w:val="single" w:color="000000" w:sz="8" w:space="0"/>
              <w:left w:val="single" w:color="000000" w:sz="8" w:space="0"/>
              <w:bottom w:val="single" w:color="000000" w:sz="8" w:space="0"/>
            </w:tcBorders>
            <w:shd w:val="clear" w:color="auto" w:fill="FFFFFF"/>
            <w:noWrap w:val="0"/>
            <w:vAlign w:val="center"/>
          </w:tcPr>
          <w:p w14:paraId="22067E53">
            <w:pPr>
              <w:pStyle w:val="10"/>
              <w:bidi w:val="0"/>
              <w:jc w:val="center"/>
              <w:rPr>
                <w:color w:val="000000"/>
              </w:rPr>
            </w:pPr>
            <w:r>
              <w:rPr>
                <w:color w:val="000000"/>
              </w:rPr>
              <w:t>香洲汽车站</w:t>
            </w:r>
          </w:p>
        </w:tc>
      </w:tr>
      <w:tr w14:paraId="31EE095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380" w:type="pct"/>
            <w:tcBorders>
              <w:top w:val="single" w:color="000000" w:sz="8" w:space="0"/>
              <w:bottom w:val="single" w:color="000000" w:sz="8" w:space="0"/>
              <w:right w:val="single" w:color="000000" w:sz="8" w:space="0"/>
            </w:tcBorders>
            <w:shd w:val="clear" w:color="auto" w:fill="FFFFFF"/>
            <w:noWrap w:val="0"/>
            <w:vAlign w:val="center"/>
          </w:tcPr>
          <w:p w14:paraId="2AC1637A">
            <w:pPr>
              <w:pStyle w:val="10"/>
              <w:bidi w:val="0"/>
              <w:jc w:val="center"/>
              <w:rPr>
                <w:color w:val="000000"/>
              </w:rPr>
            </w:pPr>
            <w:r>
              <w:rPr>
                <w:color w:val="000000"/>
              </w:rPr>
              <w:t>4</w:t>
            </w:r>
          </w:p>
        </w:tc>
        <w:tc>
          <w:tcPr>
            <w:tcW w:w="74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26A6052">
            <w:pPr>
              <w:pStyle w:val="10"/>
              <w:bidi w:val="0"/>
              <w:jc w:val="center"/>
              <w:rPr>
                <w:color w:val="000000"/>
              </w:rPr>
            </w:pPr>
            <w:r>
              <w:rPr>
                <w:color w:val="000000"/>
              </w:rPr>
              <w:t>小榄</w:t>
            </w:r>
          </w:p>
        </w:tc>
        <w:tc>
          <w:tcPr>
            <w:tcW w:w="23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B89A890">
            <w:pPr>
              <w:pStyle w:val="10"/>
              <w:bidi w:val="0"/>
              <w:jc w:val="center"/>
              <w:rPr>
                <w:color w:val="000000"/>
              </w:rPr>
            </w:pPr>
            <w:r>
              <w:rPr>
                <w:color w:val="000000"/>
              </w:rPr>
              <w:t>16:00</w:t>
            </w:r>
          </w:p>
        </w:tc>
        <w:tc>
          <w:tcPr>
            <w:tcW w:w="5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E06E30F">
            <w:pPr>
              <w:pStyle w:val="10"/>
              <w:bidi w:val="0"/>
              <w:jc w:val="center"/>
              <w:rPr>
                <w:color w:val="000000"/>
              </w:rPr>
            </w:pPr>
            <w:r>
              <w:rPr>
                <w:color w:val="000000"/>
              </w:rPr>
              <w:t>1</w:t>
            </w:r>
          </w:p>
        </w:tc>
        <w:tc>
          <w:tcPr>
            <w:tcW w:w="926" w:type="pct"/>
            <w:tcBorders>
              <w:top w:val="single" w:color="000000" w:sz="8" w:space="0"/>
              <w:left w:val="single" w:color="000000" w:sz="8" w:space="0"/>
              <w:bottom w:val="single" w:color="000000" w:sz="8" w:space="0"/>
            </w:tcBorders>
            <w:shd w:val="clear" w:color="auto" w:fill="FFFFFF"/>
            <w:noWrap w:val="0"/>
            <w:vAlign w:val="center"/>
          </w:tcPr>
          <w:p w14:paraId="4A472642">
            <w:pPr>
              <w:pStyle w:val="10"/>
              <w:bidi w:val="0"/>
              <w:jc w:val="center"/>
              <w:rPr>
                <w:color w:val="000000"/>
              </w:rPr>
            </w:pPr>
            <w:r>
              <w:rPr>
                <w:color w:val="000000"/>
              </w:rPr>
              <w:t>中山小榄汽车站</w:t>
            </w:r>
          </w:p>
        </w:tc>
      </w:tr>
      <w:tr w14:paraId="4380FD1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380" w:type="pct"/>
            <w:vMerge w:val="restart"/>
            <w:tcBorders>
              <w:top w:val="single" w:color="000000" w:sz="8" w:space="0"/>
              <w:bottom w:val="single" w:color="000000" w:sz="8" w:space="0"/>
              <w:right w:val="single" w:color="000000" w:sz="8" w:space="0"/>
            </w:tcBorders>
            <w:shd w:val="clear" w:color="auto" w:fill="FFFFFF"/>
            <w:noWrap w:val="0"/>
            <w:vAlign w:val="center"/>
          </w:tcPr>
          <w:p w14:paraId="112F7D06">
            <w:pPr>
              <w:pStyle w:val="10"/>
              <w:bidi w:val="0"/>
              <w:jc w:val="center"/>
              <w:rPr>
                <w:color w:val="000000"/>
              </w:rPr>
            </w:pPr>
            <w:r>
              <w:rPr>
                <w:color w:val="000000"/>
              </w:rPr>
              <w:t>5</w:t>
            </w:r>
          </w:p>
        </w:tc>
        <w:tc>
          <w:tcPr>
            <w:tcW w:w="747"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7F12A85">
            <w:pPr>
              <w:pStyle w:val="10"/>
              <w:bidi w:val="0"/>
              <w:jc w:val="center"/>
              <w:rPr>
                <w:color w:val="000000"/>
              </w:rPr>
            </w:pPr>
            <w:r>
              <w:rPr>
                <w:color w:val="000000"/>
              </w:rPr>
              <w:t>广州</w:t>
            </w:r>
          </w:p>
        </w:tc>
        <w:tc>
          <w:tcPr>
            <w:tcW w:w="23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8C55093">
            <w:pPr>
              <w:pStyle w:val="10"/>
              <w:bidi w:val="0"/>
              <w:jc w:val="center"/>
              <w:rPr>
                <w:color w:val="000000"/>
              </w:rPr>
            </w:pPr>
            <w:r>
              <w:rPr>
                <w:color w:val="000000"/>
              </w:rPr>
              <w:t>7:40</w:t>
            </w:r>
          </w:p>
        </w:tc>
        <w:tc>
          <w:tcPr>
            <w:tcW w:w="5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24AFDD4">
            <w:pPr>
              <w:pStyle w:val="10"/>
              <w:bidi w:val="0"/>
              <w:jc w:val="center"/>
              <w:rPr>
                <w:color w:val="000000"/>
              </w:rPr>
            </w:pPr>
            <w:r>
              <w:rPr>
                <w:color w:val="000000"/>
              </w:rPr>
              <w:t>1</w:t>
            </w:r>
          </w:p>
        </w:tc>
        <w:tc>
          <w:tcPr>
            <w:tcW w:w="926" w:type="pct"/>
            <w:tcBorders>
              <w:top w:val="single" w:color="000000" w:sz="8" w:space="0"/>
              <w:left w:val="single" w:color="000000" w:sz="8" w:space="0"/>
              <w:bottom w:val="single" w:color="000000" w:sz="8" w:space="0"/>
            </w:tcBorders>
            <w:shd w:val="clear" w:color="auto" w:fill="FFFFFF"/>
            <w:noWrap w:val="0"/>
            <w:vAlign w:val="center"/>
          </w:tcPr>
          <w:p w14:paraId="5D582679">
            <w:pPr>
              <w:pStyle w:val="10"/>
              <w:bidi w:val="0"/>
              <w:jc w:val="center"/>
              <w:rPr>
                <w:color w:val="000000"/>
              </w:rPr>
            </w:pPr>
            <w:r>
              <w:rPr>
                <w:color w:val="000000"/>
              </w:rPr>
              <w:t>窖口站</w:t>
            </w:r>
          </w:p>
        </w:tc>
      </w:tr>
      <w:tr w14:paraId="483AA6E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380" w:type="pct"/>
            <w:vMerge w:val="continue"/>
            <w:tcBorders>
              <w:top w:val="single" w:color="000000" w:sz="8" w:space="0"/>
              <w:bottom w:val="single" w:color="000000" w:sz="8" w:space="0"/>
              <w:right w:val="single" w:color="000000" w:sz="8" w:space="0"/>
            </w:tcBorders>
            <w:shd w:val="clear" w:color="auto" w:fill="FFFFFF"/>
            <w:noWrap w:val="0"/>
            <w:vAlign w:val="center"/>
          </w:tcPr>
          <w:p w14:paraId="41CD909C">
            <w:pPr>
              <w:pStyle w:val="10"/>
              <w:bidi w:val="0"/>
              <w:jc w:val="center"/>
              <w:rPr>
                <w:color w:val="000000"/>
              </w:rPr>
            </w:pPr>
          </w:p>
        </w:tc>
        <w:tc>
          <w:tcPr>
            <w:tcW w:w="747"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C43DFFC">
            <w:pPr>
              <w:pStyle w:val="10"/>
              <w:bidi w:val="0"/>
              <w:jc w:val="center"/>
              <w:rPr>
                <w:color w:val="000000"/>
              </w:rPr>
            </w:pPr>
          </w:p>
        </w:tc>
        <w:tc>
          <w:tcPr>
            <w:tcW w:w="23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F714988">
            <w:pPr>
              <w:pStyle w:val="10"/>
              <w:bidi w:val="0"/>
              <w:jc w:val="center"/>
              <w:rPr>
                <w:color w:val="000000"/>
              </w:rPr>
            </w:pPr>
            <w:r>
              <w:rPr>
                <w:color w:val="000000"/>
              </w:rPr>
              <w:t>16:50</w:t>
            </w:r>
          </w:p>
        </w:tc>
        <w:tc>
          <w:tcPr>
            <w:tcW w:w="5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BB31EC3">
            <w:pPr>
              <w:pStyle w:val="10"/>
              <w:bidi w:val="0"/>
              <w:jc w:val="center"/>
              <w:rPr>
                <w:color w:val="000000"/>
              </w:rPr>
            </w:pPr>
            <w:r>
              <w:rPr>
                <w:color w:val="000000"/>
              </w:rPr>
              <w:t>1</w:t>
            </w:r>
          </w:p>
        </w:tc>
        <w:tc>
          <w:tcPr>
            <w:tcW w:w="926" w:type="pct"/>
            <w:tcBorders>
              <w:top w:val="single" w:color="000000" w:sz="8" w:space="0"/>
              <w:left w:val="single" w:color="000000" w:sz="8" w:space="0"/>
              <w:bottom w:val="single" w:color="000000" w:sz="8" w:space="0"/>
            </w:tcBorders>
            <w:shd w:val="clear" w:color="auto" w:fill="FFFFFF"/>
            <w:noWrap w:val="0"/>
            <w:vAlign w:val="center"/>
          </w:tcPr>
          <w:p w14:paraId="0E579708">
            <w:pPr>
              <w:pStyle w:val="10"/>
              <w:bidi w:val="0"/>
              <w:jc w:val="center"/>
              <w:rPr>
                <w:color w:val="000000"/>
              </w:rPr>
            </w:pPr>
            <w:r>
              <w:rPr>
                <w:color w:val="000000"/>
              </w:rPr>
              <w:t>窖口站</w:t>
            </w:r>
          </w:p>
        </w:tc>
      </w:tr>
      <w:tr w14:paraId="54FEE86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380" w:type="pct"/>
            <w:vMerge w:val="continue"/>
            <w:tcBorders>
              <w:top w:val="single" w:color="000000" w:sz="8" w:space="0"/>
              <w:bottom w:val="single" w:color="000000" w:sz="8" w:space="0"/>
              <w:right w:val="single" w:color="000000" w:sz="8" w:space="0"/>
            </w:tcBorders>
            <w:shd w:val="clear" w:color="auto" w:fill="FFFFFF"/>
            <w:noWrap w:val="0"/>
            <w:vAlign w:val="center"/>
          </w:tcPr>
          <w:p w14:paraId="3230258B">
            <w:pPr>
              <w:pStyle w:val="10"/>
              <w:bidi w:val="0"/>
              <w:jc w:val="center"/>
              <w:rPr>
                <w:color w:val="000000"/>
              </w:rPr>
            </w:pPr>
          </w:p>
        </w:tc>
        <w:tc>
          <w:tcPr>
            <w:tcW w:w="747"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BAD5557">
            <w:pPr>
              <w:pStyle w:val="10"/>
              <w:bidi w:val="0"/>
              <w:jc w:val="center"/>
              <w:rPr>
                <w:color w:val="000000"/>
              </w:rPr>
            </w:pPr>
          </w:p>
        </w:tc>
        <w:tc>
          <w:tcPr>
            <w:tcW w:w="23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ADAC34C">
            <w:pPr>
              <w:pStyle w:val="10"/>
              <w:bidi w:val="0"/>
              <w:jc w:val="center"/>
              <w:rPr>
                <w:color w:val="000000"/>
              </w:rPr>
            </w:pPr>
            <w:r>
              <w:rPr>
                <w:color w:val="000000"/>
              </w:rPr>
              <w:t>7:55</w:t>
            </w:r>
          </w:p>
        </w:tc>
        <w:tc>
          <w:tcPr>
            <w:tcW w:w="5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62C01F3">
            <w:pPr>
              <w:pStyle w:val="10"/>
              <w:bidi w:val="0"/>
              <w:jc w:val="center"/>
              <w:rPr>
                <w:color w:val="000000"/>
              </w:rPr>
            </w:pPr>
            <w:r>
              <w:rPr>
                <w:color w:val="000000"/>
              </w:rPr>
              <w:t>1</w:t>
            </w:r>
          </w:p>
        </w:tc>
        <w:tc>
          <w:tcPr>
            <w:tcW w:w="926" w:type="pct"/>
            <w:tcBorders>
              <w:top w:val="single" w:color="000000" w:sz="8" w:space="0"/>
              <w:left w:val="single" w:color="000000" w:sz="8" w:space="0"/>
              <w:bottom w:val="single" w:color="000000" w:sz="8" w:space="0"/>
            </w:tcBorders>
            <w:shd w:val="clear" w:color="auto" w:fill="FFFFFF"/>
            <w:noWrap w:val="0"/>
            <w:vAlign w:val="center"/>
          </w:tcPr>
          <w:p w14:paraId="2872C76C">
            <w:pPr>
              <w:pStyle w:val="10"/>
              <w:bidi w:val="0"/>
              <w:jc w:val="center"/>
              <w:rPr>
                <w:color w:val="000000"/>
              </w:rPr>
            </w:pPr>
            <w:r>
              <w:rPr>
                <w:color w:val="000000"/>
              </w:rPr>
              <w:t>黄埔站</w:t>
            </w:r>
          </w:p>
        </w:tc>
      </w:tr>
      <w:tr w14:paraId="3FCFCFF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380" w:type="pct"/>
            <w:vMerge w:val="continue"/>
            <w:tcBorders>
              <w:top w:val="single" w:color="000000" w:sz="8" w:space="0"/>
              <w:bottom w:val="single" w:color="000000" w:sz="8" w:space="0"/>
              <w:right w:val="single" w:color="000000" w:sz="8" w:space="0"/>
            </w:tcBorders>
            <w:shd w:val="clear" w:color="auto" w:fill="FFFFFF"/>
            <w:noWrap w:val="0"/>
            <w:vAlign w:val="center"/>
          </w:tcPr>
          <w:p w14:paraId="51F612D7">
            <w:pPr>
              <w:pStyle w:val="10"/>
              <w:bidi w:val="0"/>
              <w:jc w:val="center"/>
              <w:rPr>
                <w:color w:val="000000"/>
              </w:rPr>
            </w:pPr>
          </w:p>
        </w:tc>
        <w:tc>
          <w:tcPr>
            <w:tcW w:w="747"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1C32F24">
            <w:pPr>
              <w:pStyle w:val="10"/>
              <w:bidi w:val="0"/>
              <w:jc w:val="center"/>
              <w:rPr>
                <w:color w:val="000000"/>
              </w:rPr>
            </w:pPr>
          </w:p>
        </w:tc>
        <w:tc>
          <w:tcPr>
            <w:tcW w:w="23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CD2BE33">
            <w:pPr>
              <w:pStyle w:val="10"/>
              <w:bidi w:val="0"/>
              <w:jc w:val="center"/>
              <w:rPr>
                <w:color w:val="000000"/>
              </w:rPr>
            </w:pPr>
            <w:r>
              <w:rPr>
                <w:color w:val="000000"/>
              </w:rPr>
              <w:t>8:00</w:t>
            </w:r>
          </w:p>
        </w:tc>
        <w:tc>
          <w:tcPr>
            <w:tcW w:w="5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AAF3DBF">
            <w:pPr>
              <w:pStyle w:val="10"/>
              <w:bidi w:val="0"/>
              <w:jc w:val="center"/>
              <w:rPr>
                <w:color w:val="000000"/>
              </w:rPr>
            </w:pPr>
            <w:r>
              <w:rPr>
                <w:color w:val="000000"/>
              </w:rPr>
              <w:t>1</w:t>
            </w:r>
          </w:p>
        </w:tc>
        <w:tc>
          <w:tcPr>
            <w:tcW w:w="926" w:type="pct"/>
            <w:tcBorders>
              <w:top w:val="single" w:color="000000" w:sz="8" w:space="0"/>
              <w:left w:val="single" w:color="000000" w:sz="8" w:space="0"/>
              <w:bottom w:val="single" w:color="000000" w:sz="8" w:space="0"/>
            </w:tcBorders>
            <w:shd w:val="clear" w:color="auto" w:fill="FFFFFF"/>
            <w:noWrap w:val="0"/>
            <w:vAlign w:val="center"/>
          </w:tcPr>
          <w:p w14:paraId="5F1A3D1B">
            <w:pPr>
              <w:pStyle w:val="10"/>
              <w:bidi w:val="0"/>
              <w:jc w:val="center"/>
              <w:rPr>
                <w:color w:val="000000"/>
              </w:rPr>
            </w:pPr>
            <w:r>
              <w:rPr>
                <w:color w:val="000000"/>
              </w:rPr>
              <w:t>省汽车站</w:t>
            </w:r>
          </w:p>
        </w:tc>
      </w:tr>
      <w:tr w14:paraId="07F77D9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380" w:type="pct"/>
            <w:vMerge w:val="continue"/>
            <w:tcBorders>
              <w:top w:val="single" w:color="000000" w:sz="8" w:space="0"/>
              <w:bottom w:val="single" w:color="000000" w:sz="8" w:space="0"/>
              <w:right w:val="single" w:color="000000" w:sz="8" w:space="0"/>
            </w:tcBorders>
            <w:shd w:val="clear" w:color="auto" w:fill="FFFFFF"/>
            <w:noWrap w:val="0"/>
            <w:vAlign w:val="center"/>
          </w:tcPr>
          <w:p w14:paraId="3A1FE5C6">
            <w:pPr>
              <w:pStyle w:val="10"/>
              <w:bidi w:val="0"/>
              <w:jc w:val="center"/>
              <w:rPr>
                <w:color w:val="000000"/>
              </w:rPr>
            </w:pPr>
          </w:p>
        </w:tc>
        <w:tc>
          <w:tcPr>
            <w:tcW w:w="747"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F08D4CB">
            <w:pPr>
              <w:pStyle w:val="10"/>
              <w:bidi w:val="0"/>
              <w:jc w:val="center"/>
              <w:rPr>
                <w:color w:val="000000"/>
              </w:rPr>
            </w:pPr>
          </w:p>
        </w:tc>
        <w:tc>
          <w:tcPr>
            <w:tcW w:w="23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669AA79">
            <w:pPr>
              <w:pStyle w:val="10"/>
              <w:bidi w:val="0"/>
              <w:jc w:val="center"/>
              <w:rPr>
                <w:color w:val="000000"/>
              </w:rPr>
            </w:pPr>
            <w:r>
              <w:rPr>
                <w:color w:val="000000"/>
              </w:rPr>
              <w:t>8:30</w:t>
            </w:r>
          </w:p>
        </w:tc>
        <w:tc>
          <w:tcPr>
            <w:tcW w:w="5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E1ED3C7">
            <w:pPr>
              <w:pStyle w:val="10"/>
              <w:bidi w:val="0"/>
              <w:jc w:val="center"/>
              <w:rPr>
                <w:color w:val="000000"/>
              </w:rPr>
            </w:pPr>
            <w:r>
              <w:rPr>
                <w:color w:val="000000"/>
              </w:rPr>
              <w:t>1</w:t>
            </w:r>
          </w:p>
        </w:tc>
        <w:tc>
          <w:tcPr>
            <w:tcW w:w="926" w:type="pct"/>
            <w:tcBorders>
              <w:top w:val="single" w:color="000000" w:sz="8" w:space="0"/>
              <w:left w:val="single" w:color="000000" w:sz="8" w:space="0"/>
              <w:bottom w:val="single" w:color="000000" w:sz="8" w:space="0"/>
            </w:tcBorders>
            <w:shd w:val="clear" w:color="auto" w:fill="FFFFFF"/>
            <w:noWrap w:val="0"/>
            <w:vAlign w:val="center"/>
          </w:tcPr>
          <w:p w14:paraId="7045D2FF">
            <w:pPr>
              <w:pStyle w:val="10"/>
              <w:bidi w:val="0"/>
              <w:jc w:val="center"/>
              <w:rPr>
                <w:color w:val="000000"/>
              </w:rPr>
            </w:pPr>
            <w:r>
              <w:rPr>
                <w:color w:val="000000"/>
              </w:rPr>
              <w:t>东圃汽车站</w:t>
            </w:r>
          </w:p>
        </w:tc>
      </w:tr>
      <w:tr w14:paraId="477F15F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380" w:type="pct"/>
            <w:vMerge w:val="continue"/>
            <w:tcBorders>
              <w:top w:val="single" w:color="000000" w:sz="8" w:space="0"/>
              <w:bottom w:val="single" w:color="000000" w:sz="8" w:space="0"/>
              <w:right w:val="single" w:color="000000" w:sz="8" w:space="0"/>
            </w:tcBorders>
            <w:shd w:val="clear" w:color="auto" w:fill="FFFFFF"/>
            <w:noWrap w:val="0"/>
            <w:vAlign w:val="center"/>
          </w:tcPr>
          <w:p w14:paraId="2FE81130">
            <w:pPr>
              <w:pStyle w:val="10"/>
              <w:bidi w:val="0"/>
              <w:jc w:val="center"/>
              <w:rPr>
                <w:color w:val="000000"/>
              </w:rPr>
            </w:pPr>
          </w:p>
        </w:tc>
        <w:tc>
          <w:tcPr>
            <w:tcW w:w="747"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86DC110">
            <w:pPr>
              <w:pStyle w:val="10"/>
              <w:bidi w:val="0"/>
              <w:jc w:val="center"/>
              <w:rPr>
                <w:color w:val="000000"/>
              </w:rPr>
            </w:pPr>
          </w:p>
        </w:tc>
        <w:tc>
          <w:tcPr>
            <w:tcW w:w="23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39FFC1A">
            <w:pPr>
              <w:pStyle w:val="10"/>
              <w:bidi w:val="0"/>
              <w:jc w:val="center"/>
              <w:rPr>
                <w:color w:val="000000"/>
              </w:rPr>
            </w:pPr>
            <w:r>
              <w:rPr>
                <w:color w:val="000000"/>
              </w:rPr>
              <w:t>9:10</w:t>
            </w:r>
          </w:p>
        </w:tc>
        <w:tc>
          <w:tcPr>
            <w:tcW w:w="5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32490E0">
            <w:pPr>
              <w:pStyle w:val="10"/>
              <w:bidi w:val="0"/>
              <w:jc w:val="center"/>
              <w:rPr>
                <w:color w:val="000000"/>
              </w:rPr>
            </w:pPr>
            <w:r>
              <w:rPr>
                <w:color w:val="000000"/>
              </w:rPr>
              <w:t>1</w:t>
            </w:r>
          </w:p>
        </w:tc>
        <w:tc>
          <w:tcPr>
            <w:tcW w:w="926" w:type="pct"/>
            <w:tcBorders>
              <w:top w:val="single" w:color="000000" w:sz="8" w:space="0"/>
              <w:left w:val="single" w:color="000000" w:sz="8" w:space="0"/>
              <w:bottom w:val="single" w:color="000000" w:sz="8" w:space="0"/>
            </w:tcBorders>
            <w:shd w:val="clear" w:color="auto" w:fill="FFFFFF"/>
            <w:noWrap w:val="0"/>
            <w:vAlign w:val="center"/>
          </w:tcPr>
          <w:p w14:paraId="6853E7C5">
            <w:pPr>
              <w:pStyle w:val="10"/>
              <w:bidi w:val="0"/>
              <w:jc w:val="center"/>
              <w:rPr>
                <w:color w:val="000000"/>
              </w:rPr>
            </w:pPr>
            <w:r>
              <w:rPr>
                <w:color w:val="000000"/>
              </w:rPr>
              <w:t>流花汽车站</w:t>
            </w:r>
          </w:p>
        </w:tc>
      </w:tr>
      <w:tr w14:paraId="36F7C47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380" w:type="pct"/>
            <w:vMerge w:val="continue"/>
            <w:tcBorders>
              <w:top w:val="single" w:color="000000" w:sz="8" w:space="0"/>
              <w:bottom w:val="single" w:color="000000" w:sz="8" w:space="0"/>
              <w:right w:val="single" w:color="000000" w:sz="8" w:space="0"/>
            </w:tcBorders>
            <w:shd w:val="clear" w:color="auto" w:fill="FFFFFF"/>
            <w:noWrap w:val="0"/>
            <w:vAlign w:val="center"/>
          </w:tcPr>
          <w:p w14:paraId="4F4E0F76">
            <w:pPr>
              <w:pStyle w:val="10"/>
              <w:bidi w:val="0"/>
              <w:jc w:val="center"/>
              <w:rPr>
                <w:color w:val="000000"/>
              </w:rPr>
            </w:pPr>
          </w:p>
        </w:tc>
        <w:tc>
          <w:tcPr>
            <w:tcW w:w="747"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A9F2883">
            <w:pPr>
              <w:pStyle w:val="10"/>
              <w:bidi w:val="0"/>
              <w:jc w:val="center"/>
              <w:rPr>
                <w:color w:val="000000"/>
              </w:rPr>
            </w:pPr>
          </w:p>
        </w:tc>
        <w:tc>
          <w:tcPr>
            <w:tcW w:w="23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505EEC2">
            <w:pPr>
              <w:pStyle w:val="10"/>
              <w:bidi w:val="0"/>
              <w:jc w:val="center"/>
              <w:rPr>
                <w:color w:val="000000"/>
              </w:rPr>
            </w:pPr>
            <w:r>
              <w:rPr>
                <w:color w:val="000000"/>
              </w:rPr>
              <w:t>11:40</w:t>
            </w:r>
          </w:p>
        </w:tc>
        <w:tc>
          <w:tcPr>
            <w:tcW w:w="5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6BEABCE">
            <w:pPr>
              <w:pStyle w:val="10"/>
              <w:bidi w:val="0"/>
              <w:jc w:val="center"/>
              <w:rPr>
                <w:color w:val="000000"/>
              </w:rPr>
            </w:pPr>
            <w:r>
              <w:rPr>
                <w:color w:val="000000"/>
              </w:rPr>
              <w:t>1</w:t>
            </w:r>
          </w:p>
        </w:tc>
        <w:tc>
          <w:tcPr>
            <w:tcW w:w="926" w:type="pct"/>
            <w:tcBorders>
              <w:top w:val="single" w:color="000000" w:sz="8" w:space="0"/>
              <w:left w:val="single" w:color="000000" w:sz="8" w:space="0"/>
              <w:bottom w:val="single" w:color="000000" w:sz="8" w:space="0"/>
            </w:tcBorders>
            <w:shd w:val="clear" w:color="auto" w:fill="FFFFFF"/>
            <w:noWrap w:val="0"/>
            <w:vAlign w:val="center"/>
          </w:tcPr>
          <w:p w14:paraId="25A15971">
            <w:pPr>
              <w:pStyle w:val="10"/>
              <w:bidi w:val="0"/>
              <w:jc w:val="center"/>
              <w:rPr>
                <w:color w:val="000000"/>
              </w:rPr>
            </w:pPr>
            <w:r>
              <w:rPr>
                <w:color w:val="000000"/>
              </w:rPr>
              <w:t>越秀南汽车站</w:t>
            </w:r>
          </w:p>
        </w:tc>
      </w:tr>
      <w:tr w14:paraId="38AE0E5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380" w:type="pct"/>
            <w:vMerge w:val="continue"/>
            <w:tcBorders>
              <w:top w:val="single" w:color="000000" w:sz="8" w:space="0"/>
              <w:bottom w:val="single" w:color="000000" w:sz="8" w:space="0"/>
              <w:right w:val="single" w:color="000000" w:sz="8" w:space="0"/>
            </w:tcBorders>
            <w:shd w:val="clear" w:color="auto" w:fill="FFFFFF"/>
            <w:noWrap w:val="0"/>
            <w:vAlign w:val="center"/>
          </w:tcPr>
          <w:p w14:paraId="677A99D0">
            <w:pPr>
              <w:pStyle w:val="10"/>
              <w:bidi w:val="0"/>
              <w:jc w:val="center"/>
              <w:rPr>
                <w:color w:val="000000"/>
              </w:rPr>
            </w:pPr>
          </w:p>
        </w:tc>
        <w:tc>
          <w:tcPr>
            <w:tcW w:w="747"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361D71F">
            <w:pPr>
              <w:pStyle w:val="10"/>
              <w:bidi w:val="0"/>
              <w:jc w:val="center"/>
              <w:rPr>
                <w:color w:val="000000"/>
              </w:rPr>
            </w:pPr>
          </w:p>
        </w:tc>
        <w:tc>
          <w:tcPr>
            <w:tcW w:w="23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B229A3A">
            <w:pPr>
              <w:pStyle w:val="10"/>
              <w:bidi w:val="0"/>
              <w:jc w:val="center"/>
              <w:rPr>
                <w:color w:val="000000"/>
              </w:rPr>
            </w:pPr>
            <w:r>
              <w:rPr>
                <w:color w:val="000000"/>
              </w:rPr>
              <w:t>13:10</w:t>
            </w:r>
          </w:p>
        </w:tc>
        <w:tc>
          <w:tcPr>
            <w:tcW w:w="5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33B688A">
            <w:pPr>
              <w:pStyle w:val="10"/>
              <w:bidi w:val="0"/>
              <w:jc w:val="center"/>
              <w:rPr>
                <w:color w:val="000000"/>
              </w:rPr>
            </w:pPr>
            <w:r>
              <w:rPr>
                <w:color w:val="000000"/>
              </w:rPr>
              <w:t>1</w:t>
            </w:r>
          </w:p>
        </w:tc>
        <w:tc>
          <w:tcPr>
            <w:tcW w:w="926" w:type="pct"/>
            <w:tcBorders>
              <w:top w:val="single" w:color="000000" w:sz="8" w:space="0"/>
              <w:left w:val="single" w:color="000000" w:sz="8" w:space="0"/>
              <w:bottom w:val="single" w:color="000000" w:sz="8" w:space="0"/>
            </w:tcBorders>
            <w:shd w:val="clear" w:color="auto" w:fill="FFFFFF"/>
            <w:noWrap w:val="0"/>
            <w:vAlign w:val="center"/>
          </w:tcPr>
          <w:p w14:paraId="70DC08BD">
            <w:pPr>
              <w:pStyle w:val="10"/>
              <w:bidi w:val="0"/>
              <w:jc w:val="center"/>
              <w:rPr>
                <w:color w:val="000000"/>
              </w:rPr>
            </w:pPr>
            <w:r>
              <w:rPr>
                <w:color w:val="000000"/>
              </w:rPr>
              <w:t>黄埔汽车站</w:t>
            </w:r>
          </w:p>
        </w:tc>
      </w:tr>
      <w:tr w14:paraId="5E66A43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380" w:type="pct"/>
            <w:vMerge w:val="continue"/>
            <w:tcBorders>
              <w:top w:val="single" w:color="000000" w:sz="8" w:space="0"/>
              <w:bottom w:val="single" w:color="000000" w:sz="8" w:space="0"/>
              <w:right w:val="single" w:color="000000" w:sz="8" w:space="0"/>
            </w:tcBorders>
            <w:shd w:val="clear" w:color="auto" w:fill="FFFFFF"/>
            <w:noWrap w:val="0"/>
            <w:vAlign w:val="center"/>
          </w:tcPr>
          <w:p w14:paraId="69B3B59A">
            <w:pPr>
              <w:pStyle w:val="10"/>
              <w:bidi w:val="0"/>
              <w:jc w:val="center"/>
              <w:rPr>
                <w:color w:val="000000"/>
              </w:rPr>
            </w:pPr>
          </w:p>
        </w:tc>
        <w:tc>
          <w:tcPr>
            <w:tcW w:w="747"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5A2B142">
            <w:pPr>
              <w:pStyle w:val="10"/>
              <w:bidi w:val="0"/>
              <w:jc w:val="center"/>
              <w:rPr>
                <w:color w:val="000000"/>
              </w:rPr>
            </w:pPr>
          </w:p>
        </w:tc>
        <w:tc>
          <w:tcPr>
            <w:tcW w:w="23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50AD727">
            <w:pPr>
              <w:pStyle w:val="10"/>
              <w:bidi w:val="0"/>
              <w:jc w:val="center"/>
              <w:rPr>
                <w:color w:val="000000"/>
              </w:rPr>
            </w:pPr>
            <w:r>
              <w:rPr>
                <w:color w:val="000000"/>
              </w:rPr>
              <w:t>15:20</w:t>
            </w:r>
          </w:p>
        </w:tc>
        <w:tc>
          <w:tcPr>
            <w:tcW w:w="5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6E38CC8">
            <w:pPr>
              <w:pStyle w:val="10"/>
              <w:bidi w:val="0"/>
              <w:jc w:val="center"/>
              <w:rPr>
                <w:color w:val="000000"/>
              </w:rPr>
            </w:pPr>
            <w:r>
              <w:rPr>
                <w:color w:val="000000"/>
              </w:rPr>
              <w:t>1</w:t>
            </w:r>
          </w:p>
        </w:tc>
        <w:tc>
          <w:tcPr>
            <w:tcW w:w="926" w:type="pct"/>
            <w:tcBorders>
              <w:top w:val="single" w:color="000000" w:sz="8" w:space="0"/>
              <w:left w:val="single" w:color="000000" w:sz="8" w:space="0"/>
              <w:bottom w:val="single" w:color="000000" w:sz="8" w:space="0"/>
            </w:tcBorders>
            <w:shd w:val="clear" w:color="auto" w:fill="FFFFFF"/>
            <w:noWrap w:val="0"/>
            <w:vAlign w:val="center"/>
          </w:tcPr>
          <w:p w14:paraId="54E26214">
            <w:pPr>
              <w:pStyle w:val="10"/>
              <w:bidi w:val="0"/>
              <w:jc w:val="center"/>
              <w:rPr>
                <w:color w:val="000000"/>
              </w:rPr>
            </w:pPr>
            <w:r>
              <w:rPr>
                <w:color w:val="000000"/>
              </w:rPr>
              <w:t>罗冲围汽车站</w:t>
            </w:r>
          </w:p>
        </w:tc>
      </w:tr>
      <w:tr w14:paraId="17F184F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380" w:type="pct"/>
            <w:vMerge w:val="restart"/>
            <w:tcBorders>
              <w:top w:val="single" w:color="000000" w:sz="8" w:space="0"/>
              <w:bottom w:val="single" w:color="000000" w:sz="8" w:space="0"/>
              <w:right w:val="single" w:color="000000" w:sz="8" w:space="0"/>
            </w:tcBorders>
            <w:shd w:val="clear" w:color="auto" w:fill="FFFFFF"/>
            <w:noWrap w:val="0"/>
            <w:vAlign w:val="center"/>
          </w:tcPr>
          <w:p w14:paraId="045B371B">
            <w:pPr>
              <w:pStyle w:val="10"/>
              <w:bidi w:val="0"/>
              <w:jc w:val="center"/>
              <w:rPr>
                <w:color w:val="000000"/>
              </w:rPr>
            </w:pPr>
            <w:r>
              <w:rPr>
                <w:color w:val="000000"/>
              </w:rPr>
              <w:t>6</w:t>
            </w:r>
          </w:p>
        </w:tc>
        <w:tc>
          <w:tcPr>
            <w:tcW w:w="747"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0E7A24D">
            <w:pPr>
              <w:pStyle w:val="10"/>
              <w:bidi w:val="0"/>
              <w:jc w:val="center"/>
              <w:rPr>
                <w:color w:val="000000"/>
              </w:rPr>
            </w:pPr>
            <w:r>
              <w:rPr>
                <w:color w:val="000000"/>
              </w:rPr>
              <w:t>深圳</w:t>
            </w:r>
          </w:p>
        </w:tc>
        <w:tc>
          <w:tcPr>
            <w:tcW w:w="23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D8A4422">
            <w:pPr>
              <w:pStyle w:val="10"/>
              <w:bidi w:val="0"/>
              <w:jc w:val="center"/>
              <w:rPr>
                <w:color w:val="000000"/>
              </w:rPr>
            </w:pPr>
            <w:r>
              <w:rPr>
                <w:color w:val="000000"/>
              </w:rPr>
              <w:t>8:10</w:t>
            </w:r>
          </w:p>
        </w:tc>
        <w:tc>
          <w:tcPr>
            <w:tcW w:w="5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A15BD97">
            <w:pPr>
              <w:pStyle w:val="10"/>
              <w:bidi w:val="0"/>
              <w:jc w:val="center"/>
              <w:rPr>
                <w:color w:val="000000"/>
              </w:rPr>
            </w:pPr>
            <w:r>
              <w:rPr>
                <w:color w:val="000000"/>
              </w:rPr>
              <w:t>1</w:t>
            </w:r>
          </w:p>
        </w:tc>
        <w:tc>
          <w:tcPr>
            <w:tcW w:w="926" w:type="pct"/>
            <w:tcBorders>
              <w:top w:val="single" w:color="000000" w:sz="8" w:space="0"/>
              <w:left w:val="single" w:color="000000" w:sz="8" w:space="0"/>
              <w:bottom w:val="single" w:color="000000" w:sz="8" w:space="0"/>
            </w:tcBorders>
            <w:shd w:val="clear" w:color="auto" w:fill="FFFFFF"/>
            <w:noWrap w:val="0"/>
            <w:vAlign w:val="center"/>
          </w:tcPr>
          <w:p w14:paraId="65BC4CA0">
            <w:pPr>
              <w:pStyle w:val="10"/>
              <w:bidi w:val="0"/>
              <w:jc w:val="center"/>
              <w:rPr>
                <w:color w:val="000000"/>
              </w:rPr>
            </w:pPr>
            <w:r>
              <w:rPr>
                <w:color w:val="000000"/>
              </w:rPr>
              <w:t>银湖汽车站</w:t>
            </w:r>
          </w:p>
        </w:tc>
      </w:tr>
      <w:tr w14:paraId="714D45F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380" w:type="pct"/>
            <w:vMerge w:val="continue"/>
            <w:tcBorders>
              <w:top w:val="single" w:color="000000" w:sz="8" w:space="0"/>
              <w:bottom w:val="single" w:color="000000" w:sz="8" w:space="0"/>
              <w:right w:val="single" w:color="000000" w:sz="8" w:space="0"/>
            </w:tcBorders>
            <w:shd w:val="clear" w:color="auto" w:fill="FFFFFF"/>
            <w:noWrap w:val="0"/>
            <w:vAlign w:val="center"/>
          </w:tcPr>
          <w:p w14:paraId="5397A231">
            <w:pPr>
              <w:pStyle w:val="10"/>
              <w:bidi w:val="0"/>
              <w:jc w:val="center"/>
              <w:rPr>
                <w:color w:val="000000"/>
              </w:rPr>
            </w:pPr>
          </w:p>
        </w:tc>
        <w:tc>
          <w:tcPr>
            <w:tcW w:w="747"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65087C9">
            <w:pPr>
              <w:pStyle w:val="10"/>
              <w:bidi w:val="0"/>
              <w:jc w:val="center"/>
              <w:rPr>
                <w:color w:val="000000"/>
              </w:rPr>
            </w:pPr>
          </w:p>
        </w:tc>
        <w:tc>
          <w:tcPr>
            <w:tcW w:w="23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27016F0">
            <w:pPr>
              <w:pStyle w:val="10"/>
              <w:bidi w:val="0"/>
              <w:jc w:val="center"/>
              <w:rPr>
                <w:color w:val="000000"/>
              </w:rPr>
            </w:pPr>
            <w:r>
              <w:rPr>
                <w:color w:val="000000"/>
              </w:rPr>
              <w:t>9:10</w:t>
            </w:r>
          </w:p>
        </w:tc>
        <w:tc>
          <w:tcPr>
            <w:tcW w:w="5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B5CB3D5">
            <w:pPr>
              <w:pStyle w:val="10"/>
              <w:bidi w:val="0"/>
              <w:jc w:val="center"/>
              <w:rPr>
                <w:color w:val="000000"/>
              </w:rPr>
            </w:pPr>
            <w:r>
              <w:rPr>
                <w:color w:val="000000"/>
              </w:rPr>
              <w:t>1</w:t>
            </w:r>
          </w:p>
        </w:tc>
        <w:tc>
          <w:tcPr>
            <w:tcW w:w="926" w:type="pct"/>
            <w:tcBorders>
              <w:top w:val="single" w:color="000000" w:sz="8" w:space="0"/>
              <w:left w:val="single" w:color="000000" w:sz="8" w:space="0"/>
              <w:bottom w:val="single" w:color="000000" w:sz="8" w:space="0"/>
            </w:tcBorders>
            <w:shd w:val="clear" w:color="auto" w:fill="FFFFFF"/>
            <w:noWrap w:val="0"/>
            <w:vAlign w:val="center"/>
          </w:tcPr>
          <w:p w14:paraId="294932DE">
            <w:pPr>
              <w:pStyle w:val="10"/>
              <w:bidi w:val="0"/>
              <w:jc w:val="center"/>
              <w:rPr>
                <w:color w:val="000000"/>
              </w:rPr>
            </w:pPr>
            <w:r>
              <w:rPr>
                <w:color w:val="000000"/>
              </w:rPr>
              <w:t>福田汽车站</w:t>
            </w:r>
          </w:p>
        </w:tc>
      </w:tr>
      <w:tr w14:paraId="1FFFECB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380" w:type="pct"/>
            <w:vMerge w:val="continue"/>
            <w:tcBorders>
              <w:top w:val="single" w:color="000000" w:sz="8" w:space="0"/>
              <w:bottom w:val="single" w:color="000000" w:sz="8" w:space="0"/>
              <w:right w:val="single" w:color="000000" w:sz="8" w:space="0"/>
            </w:tcBorders>
            <w:shd w:val="clear" w:color="auto" w:fill="FFFFFF"/>
            <w:noWrap w:val="0"/>
            <w:vAlign w:val="center"/>
          </w:tcPr>
          <w:p w14:paraId="562F926B">
            <w:pPr>
              <w:pStyle w:val="10"/>
              <w:bidi w:val="0"/>
              <w:jc w:val="center"/>
              <w:rPr>
                <w:color w:val="000000"/>
              </w:rPr>
            </w:pPr>
          </w:p>
        </w:tc>
        <w:tc>
          <w:tcPr>
            <w:tcW w:w="747"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453F056">
            <w:pPr>
              <w:pStyle w:val="10"/>
              <w:bidi w:val="0"/>
              <w:jc w:val="center"/>
              <w:rPr>
                <w:color w:val="000000"/>
              </w:rPr>
            </w:pPr>
          </w:p>
        </w:tc>
        <w:tc>
          <w:tcPr>
            <w:tcW w:w="23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A9C7577">
            <w:pPr>
              <w:pStyle w:val="10"/>
              <w:bidi w:val="0"/>
              <w:jc w:val="center"/>
              <w:rPr>
                <w:color w:val="000000"/>
              </w:rPr>
            </w:pPr>
            <w:r>
              <w:rPr>
                <w:color w:val="000000"/>
              </w:rPr>
              <w:t>14:30</w:t>
            </w:r>
          </w:p>
        </w:tc>
        <w:tc>
          <w:tcPr>
            <w:tcW w:w="5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CE1CBBF">
            <w:pPr>
              <w:pStyle w:val="10"/>
              <w:bidi w:val="0"/>
              <w:jc w:val="center"/>
              <w:rPr>
                <w:color w:val="000000"/>
              </w:rPr>
            </w:pPr>
            <w:r>
              <w:rPr>
                <w:color w:val="000000"/>
              </w:rPr>
              <w:t>1</w:t>
            </w:r>
          </w:p>
        </w:tc>
        <w:tc>
          <w:tcPr>
            <w:tcW w:w="926" w:type="pct"/>
            <w:tcBorders>
              <w:top w:val="single" w:color="000000" w:sz="8" w:space="0"/>
              <w:left w:val="single" w:color="000000" w:sz="8" w:space="0"/>
              <w:bottom w:val="single" w:color="000000" w:sz="8" w:space="0"/>
            </w:tcBorders>
            <w:shd w:val="clear" w:color="auto" w:fill="FFFFFF"/>
            <w:noWrap w:val="0"/>
            <w:vAlign w:val="center"/>
          </w:tcPr>
          <w:p w14:paraId="10C1B4BC">
            <w:pPr>
              <w:pStyle w:val="10"/>
              <w:bidi w:val="0"/>
              <w:jc w:val="center"/>
              <w:rPr>
                <w:color w:val="000000"/>
              </w:rPr>
            </w:pPr>
            <w:r>
              <w:rPr>
                <w:color w:val="000000"/>
              </w:rPr>
              <w:t>文锦渡汽车站</w:t>
            </w:r>
          </w:p>
        </w:tc>
      </w:tr>
      <w:tr w14:paraId="05BA4DB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380" w:type="pct"/>
            <w:vMerge w:val="continue"/>
            <w:tcBorders>
              <w:top w:val="single" w:color="000000" w:sz="8" w:space="0"/>
              <w:bottom w:val="single" w:color="000000" w:sz="8" w:space="0"/>
              <w:right w:val="single" w:color="000000" w:sz="8" w:space="0"/>
            </w:tcBorders>
            <w:shd w:val="clear" w:color="auto" w:fill="FFFFFF"/>
            <w:noWrap w:val="0"/>
            <w:vAlign w:val="center"/>
          </w:tcPr>
          <w:p w14:paraId="7AA23ADF">
            <w:pPr>
              <w:pStyle w:val="10"/>
              <w:bidi w:val="0"/>
              <w:jc w:val="center"/>
              <w:rPr>
                <w:color w:val="000000"/>
              </w:rPr>
            </w:pPr>
          </w:p>
        </w:tc>
        <w:tc>
          <w:tcPr>
            <w:tcW w:w="747"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84A4F4C">
            <w:pPr>
              <w:pStyle w:val="10"/>
              <w:bidi w:val="0"/>
              <w:jc w:val="center"/>
              <w:rPr>
                <w:color w:val="000000"/>
              </w:rPr>
            </w:pPr>
          </w:p>
        </w:tc>
        <w:tc>
          <w:tcPr>
            <w:tcW w:w="23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F4FF6DA">
            <w:pPr>
              <w:pStyle w:val="10"/>
              <w:bidi w:val="0"/>
              <w:jc w:val="center"/>
              <w:rPr>
                <w:color w:val="000000"/>
              </w:rPr>
            </w:pPr>
            <w:r>
              <w:rPr>
                <w:color w:val="000000"/>
              </w:rPr>
              <w:t>15:30</w:t>
            </w:r>
          </w:p>
        </w:tc>
        <w:tc>
          <w:tcPr>
            <w:tcW w:w="5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7C3FEAC">
            <w:pPr>
              <w:pStyle w:val="10"/>
              <w:bidi w:val="0"/>
              <w:jc w:val="center"/>
              <w:rPr>
                <w:color w:val="000000"/>
              </w:rPr>
            </w:pPr>
            <w:r>
              <w:rPr>
                <w:color w:val="000000"/>
              </w:rPr>
              <w:t>1</w:t>
            </w:r>
          </w:p>
        </w:tc>
        <w:tc>
          <w:tcPr>
            <w:tcW w:w="926" w:type="pct"/>
            <w:tcBorders>
              <w:top w:val="single" w:color="000000" w:sz="8" w:space="0"/>
              <w:left w:val="single" w:color="000000" w:sz="8" w:space="0"/>
              <w:bottom w:val="single" w:color="000000" w:sz="8" w:space="0"/>
            </w:tcBorders>
            <w:shd w:val="clear" w:color="auto" w:fill="FFFFFF"/>
            <w:noWrap w:val="0"/>
            <w:vAlign w:val="center"/>
          </w:tcPr>
          <w:p w14:paraId="60F854EE">
            <w:pPr>
              <w:pStyle w:val="10"/>
              <w:bidi w:val="0"/>
              <w:jc w:val="center"/>
              <w:rPr>
                <w:color w:val="000000"/>
              </w:rPr>
            </w:pPr>
            <w:r>
              <w:rPr>
                <w:color w:val="000000"/>
              </w:rPr>
              <w:t>银湖汽车站</w:t>
            </w:r>
          </w:p>
        </w:tc>
      </w:tr>
      <w:tr w14:paraId="301F0A7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380" w:type="pct"/>
            <w:vMerge w:val="continue"/>
            <w:tcBorders>
              <w:top w:val="single" w:color="000000" w:sz="8" w:space="0"/>
              <w:bottom w:val="single" w:color="000000" w:sz="8" w:space="0"/>
              <w:right w:val="single" w:color="000000" w:sz="8" w:space="0"/>
            </w:tcBorders>
            <w:shd w:val="clear" w:color="auto" w:fill="FFFFFF"/>
            <w:noWrap w:val="0"/>
            <w:vAlign w:val="center"/>
          </w:tcPr>
          <w:p w14:paraId="204CD6BE">
            <w:pPr>
              <w:pStyle w:val="10"/>
              <w:bidi w:val="0"/>
              <w:jc w:val="center"/>
              <w:rPr>
                <w:color w:val="000000"/>
              </w:rPr>
            </w:pPr>
          </w:p>
        </w:tc>
        <w:tc>
          <w:tcPr>
            <w:tcW w:w="747"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4A43EA7">
            <w:pPr>
              <w:pStyle w:val="10"/>
              <w:bidi w:val="0"/>
              <w:jc w:val="center"/>
              <w:rPr>
                <w:color w:val="000000"/>
              </w:rPr>
            </w:pPr>
          </w:p>
        </w:tc>
        <w:tc>
          <w:tcPr>
            <w:tcW w:w="23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F90F6BC">
            <w:pPr>
              <w:pStyle w:val="10"/>
              <w:bidi w:val="0"/>
              <w:jc w:val="center"/>
              <w:rPr>
                <w:color w:val="000000"/>
              </w:rPr>
            </w:pPr>
            <w:r>
              <w:rPr>
                <w:color w:val="000000"/>
              </w:rPr>
              <w:t>16:30</w:t>
            </w:r>
          </w:p>
        </w:tc>
        <w:tc>
          <w:tcPr>
            <w:tcW w:w="5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8DA8E2B">
            <w:pPr>
              <w:pStyle w:val="10"/>
              <w:bidi w:val="0"/>
              <w:jc w:val="center"/>
              <w:rPr>
                <w:color w:val="000000"/>
              </w:rPr>
            </w:pPr>
            <w:r>
              <w:rPr>
                <w:color w:val="000000"/>
              </w:rPr>
              <w:t>1</w:t>
            </w:r>
          </w:p>
        </w:tc>
        <w:tc>
          <w:tcPr>
            <w:tcW w:w="926" w:type="pct"/>
            <w:tcBorders>
              <w:top w:val="single" w:color="000000" w:sz="8" w:space="0"/>
              <w:left w:val="single" w:color="000000" w:sz="8" w:space="0"/>
              <w:bottom w:val="single" w:color="000000" w:sz="8" w:space="0"/>
            </w:tcBorders>
            <w:shd w:val="clear" w:color="auto" w:fill="FFFFFF"/>
            <w:noWrap w:val="0"/>
            <w:vAlign w:val="center"/>
          </w:tcPr>
          <w:p w14:paraId="1CB1264D">
            <w:pPr>
              <w:pStyle w:val="10"/>
              <w:bidi w:val="0"/>
              <w:jc w:val="center"/>
              <w:rPr>
                <w:color w:val="000000"/>
              </w:rPr>
            </w:pPr>
            <w:r>
              <w:rPr>
                <w:color w:val="000000"/>
              </w:rPr>
              <w:t>福田汽车站</w:t>
            </w:r>
          </w:p>
        </w:tc>
      </w:tr>
      <w:tr w14:paraId="44BAD7E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380" w:type="pct"/>
            <w:vMerge w:val="restart"/>
            <w:tcBorders>
              <w:top w:val="single" w:color="000000" w:sz="8" w:space="0"/>
              <w:bottom w:val="single" w:color="000000" w:sz="8" w:space="0"/>
              <w:right w:val="single" w:color="000000" w:sz="8" w:space="0"/>
            </w:tcBorders>
            <w:shd w:val="clear" w:color="auto" w:fill="FFFFFF"/>
            <w:noWrap w:val="0"/>
            <w:vAlign w:val="center"/>
          </w:tcPr>
          <w:p w14:paraId="1C7DA5DF">
            <w:pPr>
              <w:pStyle w:val="10"/>
              <w:bidi w:val="0"/>
              <w:jc w:val="center"/>
              <w:rPr>
                <w:color w:val="000000"/>
              </w:rPr>
            </w:pPr>
            <w:r>
              <w:rPr>
                <w:color w:val="000000"/>
              </w:rPr>
              <w:t>7</w:t>
            </w:r>
          </w:p>
        </w:tc>
        <w:tc>
          <w:tcPr>
            <w:tcW w:w="747"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C081C87">
            <w:pPr>
              <w:pStyle w:val="10"/>
              <w:bidi w:val="0"/>
              <w:jc w:val="center"/>
              <w:rPr>
                <w:color w:val="000000"/>
              </w:rPr>
            </w:pPr>
            <w:r>
              <w:rPr>
                <w:color w:val="000000"/>
              </w:rPr>
              <w:t>番禺</w:t>
            </w:r>
          </w:p>
        </w:tc>
        <w:tc>
          <w:tcPr>
            <w:tcW w:w="23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42DE007">
            <w:pPr>
              <w:pStyle w:val="10"/>
              <w:bidi w:val="0"/>
              <w:jc w:val="center"/>
              <w:rPr>
                <w:color w:val="000000"/>
              </w:rPr>
            </w:pPr>
            <w:r>
              <w:rPr>
                <w:color w:val="000000"/>
              </w:rPr>
              <w:t>8:40</w:t>
            </w:r>
          </w:p>
        </w:tc>
        <w:tc>
          <w:tcPr>
            <w:tcW w:w="5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B39DB79">
            <w:pPr>
              <w:pStyle w:val="10"/>
              <w:bidi w:val="0"/>
              <w:jc w:val="center"/>
              <w:rPr>
                <w:color w:val="000000"/>
              </w:rPr>
            </w:pPr>
            <w:r>
              <w:rPr>
                <w:color w:val="000000"/>
              </w:rPr>
              <w:t>1</w:t>
            </w:r>
          </w:p>
        </w:tc>
        <w:tc>
          <w:tcPr>
            <w:tcW w:w="926" w:type="pct"/>
            <w:tcBorders>
              <w:top w:val="single" w:color="000000" w:sz="8" w:space="0"/>
              <w:left w:val="single" w:color="000000" w:sz="8" w:space="0"/>
              <w:bottom w:val="single" w:color="000000" w:sz="8" w:space="0"/>
            </w:tcBorders>
            <w:shd w:val="clear" w:color="auto" w:fill="FFFFFF"/>
            <w:noWrap w:val="0"/>
            <w:vAlign w:val="center"/>
          </w:tcPr>
          <w:p w14:paraId="2349A036">
            <w:pPr>
              <w:pStyle w:val="10"/>
              <w:bidi w:val="0"/>
              <w:jc w:val="center"/>
              <w:rPr>
                <w:color w:val="000000"/>
              </w:rPr>
            </w:pPr>
            <w:r>
              <w:rPr>
                <w:color w:val="000000"/>
              </w:rPr>
              <w:t>番禺汽车站</w:t>
            </w:r>
          </w:p>
        </w:tc>
      </w:tr>
      <w:tr w14:paraId="0C3B8B6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380" w:type="pct"/>
            <w:vMerge w:val="continue"/>
            <w:tcBorders>
              <w:top w:val="single" w:color="000000" w:sz="8" w:space="0"/>
              <w:bottom w:val="single" w:color="000000" w:sz="8" w:space="0"/>
              <w:right w:val="single" w:color="000000" w:sz="8" w:space="0"/>
            </w:tcBorders>
            <w:shd w:val="clear" w:color="auto" w:fill="FFFFFF"/>
            <w:noWrap w:val="0"/>
            <w:vAlign w:val="center"/>
          </w:tcPr>
          <w:p w14:paraId="56E0BB45">
            <w:pPr>
              <w:pStyle w:val="10"/>
              <w:bidi w:val="0"/>
              <w:jc w:val="center"/>
              <w:rPr>
                <w:color w:val="000000"/>
              </w:rPr>
            </w:pPr>
          </w:p>
        </w:tc>
        <w:tc>
          <w:tcPr>
            <w:tcW w:w="747"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7A106C1">
            <w:pPr>
              <w:pStyle w:val="10"/>
              <w:bidi w:val="0"/>
              <w:jc w:val="center"/>
              <w:rPr>
                <w:color w:val="000000"/>
              </w:rPr>
            </w:pPr>
          </w:p>
        </w:tc>
        <w:tc>
          <w:tcPr>
            <w:tcW w:w="23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B5EA211">
            <w:pPr>
              <w:pStyle w:val="10"/>
              <w:bidi w:val="0"/>
              <w:jc w:val="center"/>
              <w:rPr>
                <w:color w:val="000000"/>
              </w:rPr>
            </w:pPr>
            <w:r>
              <w:rPr>
                <w:color w:val="000000"/>
              </w:rPr>
              <w:t>16:00</w:t>
            </w:r>
          </w:p>
        </w:tc>
        <w:tc>
          <w:tcPr>
            <w:tcW w:w="5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4868687">
            <w:pPr>
              <w:pStyle w:val="10"/>
              <w:bidi w:val="0"/>
              <w:jc w:val="center"/>
              <w:rPr>
                <w:color w:val="000000"/>
              </w:rPr>
            </w:pPr>
            <w:r>
              <w:rPr>
                <w:color w:val="000000"/>
              </w:rPr>
              <w:t>1</w:t>
            </w:r>
          </w:p>
        </w:tc>
        <w:tc>
          <w:tcPr>
            <w:tcW w:w="926" w:type="pct"/>
            <w:tcBorders>
              <w:top w:val="single" w:color="000000" w:sz="8" w:space="0"/>
              <w:left w:val="single" w:color="000000" w:sz="8" w:space="0"/>
              <w:bottom w:val="single" w:color="000000" w:sz="8" w:space="0"/>
            </w:tcBorders>
            <w:shd w:val="clear" w:color="auto" w:fill="FFFFFF"/>
            <w:noWrap w:val="0"/>
            <w:vAlign w:val="center"/>
          </w:tcPr>
          <w:p w14:paraId="2F91FB01">
            <w:pPr>
              <w:pStyle w:val="10"/>
              <w:bidi w:val="0"/>
              <w:jc w:val="center"/>
              <w:rPr>
                <w:color w:val="000000"/>
              </w:rPr>
            </w:pPr>
            <w:r>
              <w:rPr>
                <w:color w:val="000000"/>
              </w:rPr>
              <w:t>番禺汽车站</w:t>
            </w:r>
          </w:p>
        </w:tc>
      </w:tr>
      <w:tr w14:paraId="0506B33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380" w:type="pct"/>
            <w:vMerge w:val="restart"/>
            <w:tcBorders>
              <w:top w:val="single" w:color="000000" w:sz="8" w:space="0"/>
              <w:bottom w:val="single" w:color="000000" w:sz="8" w:space="0"/>
              <w:right w:val="single" w:color="000000" w:sz="8" w:space="0"/>
            </w:tcBorders>
            <w:shd w:val="clear" w:color="auto" w:fill="FFFFFF"/>
            <w:noWrap w:val="0"/>
            <w:vAlign w:val="center"/>
          </w:tcPr>
          <w:p w14:paraId="0569BAA9">
            <w:pPr>
              <w:pStyle w:val="10"/>
              <w:bidi w:val="0"/>
              <w:jc w:val="center"/>
              <w:rPr>
                <w:color w:val="000000"/>
              </w:rPr>
            </w:pPr>
            <w:r>
              <w:rPr>
                <w:color w:val="000000"/>
              </w:rPr>
              <w:t>8</w:t>
            </w:r>
          </w:p>
        </w:tc>
        <w:tc>
          <w:tcPr>
            <w:tcW w:w="747"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4A325A4">
            <w:pPr>
              <w:pStyle w:val="10"/>
              <w:bidi w:val="0"/>
              <w:jc w:val="center"/>
              <w:rPr>
                <w:color w:val="000000"/>
              </w:rPr>
            </w:pPr>
            <w:r>
              <w:rPr>
                <w:color w:val="000000"/>
              </w:rPr>
              <w:t>东莞</w:t>
            </w:r>
          </w:p>
        </w:tc>
        <w:tc>
          <w:tcPr>
            <w:tcW w:w="23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E00DCE6">
            <w:pPr>
              <w:pStyle w:val="10"/>
              <w:bidi w:val="0"/>
              <w:jc w:val="center"/>
              <w:rPr>
                <w:color w:val="000000"/>
              </w:rPr>
            </w:pPr>
            <w:r>
              <w:rPr>
                <w:color w:val="000000"/>
              </w:rPr>
              <w:t>15:50</w:t>
            </w:r>
          </w:p>
        </w:tc>
        <w:tc>
          <w:tcPr>
            <w:tcW w:w="5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EEF24C7">
            <w:pPr>
              <w:pStyle w:val="10"/>
              <w:bidi w:val="0"/>
              <w:jc w:val="center"/>
              <w:rPr>
                <w:color w:val="000000"/>
              </w:rPr>
            </w:pPr>
            <w:r>
              <w:rPr>
                <w:color w:val="000000"/>
              </w:rPr>
              <w:t>1</w:t>
            </w:r>
          </w:p>
        </w:tc>
        <w:tc>
          <w:tcPr>
            <w:tcW w:w="926" w:type="pct"/>
            <w:tcBorders>
              <w:top w:val="single" w:color="000000" w:sz="8" w:space="0"/>
              <w:left w:val="single" w:color="000000" w:sz="8" w:space="0"/>
              <w:bottom w:val="single" w:color="000000" w:sz="8" w:space="0"/>
            </w:tcBorders>
            <w:shd w:val="clear" w:color="auto" w:fill="FFFFFF"/>
            <w:noWrap w:val="0"/>
            <w:vAlign w:val="center"/>
          </w:tcPr>
          <w:p w14:paraId="05DE368D">
            <w:pPr>
              <w:pStyle w:val="10"/>
              <w:bidi w:val="0"/>
              <w:jc w:val="center"/>
              <w:rPr>
                <w:color w:val="000000"/>
              </w:rPr>
            </w:pPr>
            <w:r>
              <w:rPr>
                <w:color w:val="000000"/>
              </w:rPr>
              <w:t>常平汽车站</w:t>
            </w:r>
          </w:p>
        </w:tc>
      </w:tr>
      <w:tr w14:paraId="51C9103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380" w:type="pct"/>
            <w:vMerge w:val="continue"/>
            <w:tcBorders>
              <w:top w:val="single" w:color="000000" w:sz="8" w:space="0"/>
              <w:bottom w:val="single" w:color="000000" w:sz="8" w:space="0"/>
              <w:right w:val="single" w:color="000000" w:sz="8" w:space="0"/>
            </w:tcBorders>
            <w:shd w:val="clear" w:color="auto" w:fill="FFFFFF"/>
            <w:noWrap w:val="0"/>
            <w:vAlign w:val="center"/>
          </w:tcPr>
          <w:p w14:paraId="2FDB766D">
            <w:pPr>
              <w:pStyle w:val="10"/>
              <w:bidi w:val="0"/>
              <w:jc w:val="center"/>
              <w:rPr>
                <w:color w:val="000000"/>
              </w:rPr>
            </w:pPr>
          </w:p>
        </w:tc>
        <w:tc>
          <w:tcPr>
            <w:tcW w:w="747"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DC2DF7E">
            <w:pPr>
              <w:pStyle w:val="10"/>
              <w:bidi w:val="0"/>
              <w:jc w:val="center"/>
              <w:rPr>
                <w:color w:val="000000"/>
              </w:rPr>
            </w:pPr>
          </w:p>
        </w:tc>
        <w:tc>
          <w:tcPr>
            <w:tcW w:w="23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7BC32E7">
            <w:pPr>
              <w:pStyle w:val="10"/>
              <w:bidi w:val="0"/>
              <w:jc w:val="center"/>
              <w:rPr>
                <w:color w:val="000000"/>
              </w:rPr>
            </w:pPr>
            <w:r>
              <w:rPr>
                <w:color w:val="000000"/>
              </w:rPr>
              <w:t>9:20</w:t>
            </w:r>
          </w:p>
        </w:tc>
        <w:tc>
          <w:tcPr>
            <w:tcW w:w="5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01DB2C2">
            <w:pPr>
              <w:pStyle w:val="10"/>
              <w:bidi w:val="0"/>
              <w:jc w:val="center"/>
              <w:rPr>
                <w:color w:val="000000"/>
              </w:rPr>
            </w:pPr>
            <w:r>
              <w:rPr>
                <w:color w:val="000000"/>
              </w:rPr>
              <w:t>1</w:t>
            </w:r>
          </w:p>
        </w:tc>
        <w:tc>
          <w:tcPr>
            <w:tcW w:w="926" w:type="pct"/>
            <w:tcBorders>
              <w:top w:val="single" w:color="000000" w:sz="8" w:space="0"/>
              <w:left w:val="single" w:color="000000" w:sz="8" w:space="0"/>
              <w:bottom w:val="single" w:color="000000" w:sz="8" w:space="0"/>
            </w:tcBorders>
            <w:shd w:val="clear" w:color="auto" w:fill="FFFFFF"/>
            <w:noWrap w:val="0"/>
            <w:vAlign w:val="center"/>
          </w:tcPr>
          <w:p w14:paraId="625EBDF1">
            <w:pPr>
              <w:pStyle w:val="10"/>
              <w:bidi w:val="0"/>
              <w:jc w:val="center"/>
              <w:rPr>
                <w:color w:val="000000"/>
              </w:rPr>
            </w:pPr>
            <w:r>
              <w:rPr>
                <w:color w:val="000000"/>
              </w:rPr>
              <w:t>万江汽车总站</w:t>
            </w:r>
          </w:p>
        </w:tc>
      </w:tr>
      <w:tr w14:paraId="1298DC0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380" w:type="pct"/>
            <w:vMerge w:val="continue"/>
            <w:tcBorders>
              <w:top w:val="single" w:color="000000" w:sz="8" w:space="0"/>
              <w:bottom w:val="single" w:color="000000" w:sz="8" w:space="0"/>
              <w:right w:val="single" w:color="000000" w:sz="8" w:space="0"/>
            </w:tcBorders>
            <w:shd w:val="clear" w:color="auto" w:fill="FFFFFF"/>
            <w:noWrap w:val="0"/>
            <w:vAlign w:val="center"/>
          </w:tcPr>
          <w:p w14:paraId="621DE70C">
            <w:pPr>
              <w:pStyle w:val="10"/>
              <w:bidi w:val="0"/>
              <w:jc w:val="center"/>
              <w:rPr>
                <w:color w:val="000000"/>
              </w:rPr>
            </w:pPr>
          </w:p>
        </w:tc>
        <w:tc>
          <w:tcPr>
            <w:tcW w:w="747"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AE25ADE">
            <w:pPr>
              <w:pStyle w:val="10"/>
              <w:bidi w:val="0"/>
              <w:jc w:val="center"/>
              <w:rPr>
                <w:color w:val="000000"/>
              </w:rPr>
            </w:pPr>
          </w:p>
        </w:tc>
        <w:tc>
          <w:tcPr>
            <w:tcW w:w="23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37A9DAB">
            <w:pPr>
              <w:pStyle w:val="10"/>
              <w:bidi w:val="0"/>
              <w:jc w:val="center"/>
              <w:rPr>
                <w:color w:val="000000"/>
              </w:rPr>
            </w:pPr>
            <w:r>
              <w:rPr>
                <w:color w:val="000000"/>
              </w:rPr>
              <w:t>15:10</w:t>
            </w:r>
          </w:p>
        </w:tc>
        <w:tc>
          <w:tcPr>
            <w:tcW w:w="5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B0BA511">
            <w:pPr>
              <w:pStyle w:val="10"/>
              <w:bidi w:val="0"/>
              <w:jc w:val="center"/>
              <w:rPr>
                <w:color w:val="000000"/>
              </w:rPr>
            </w:pPr>
            <w:r>
              <w:rPr>
                <w:color w:val="000000"/>
              </w:rPr>
              <w:t>1</w:t>
            </w:r>
          </w:p>
        </w:tc>
        <w:tc>
          <w:tcPr>
            <w:tcW w:w="926" w:type="pct"/>
            <w:tcBorders>
              <w:top w:val="single" w:color="000000" w:sz="8" w:space="0"/>
              <w:left w:val="single" w:color="000000" w:sz="8" w:space="0"/>
              <w:bottom w:val="single" w:color="000000" w:sz="8" w:space="0"/>
            </w:tcBorders>
            <w:shd w:val="clear" w:color="auto" w:fill="FFFFFF"/>
            <w:noWrap w:val="0"/>
            <w:vAlign w:val="center"/>
          </w:tcPr>
          <w:p w14:paraId="53910143">
            <w:pPr>
              <w:pStyle w:val="10"/>
              <w:bidi w:val="0"/>
              <w:jc w:val="center"/>
              <w:rPr>
                <w:color w:val="000000"/>
              </w:rPr>
            </w:pPr>
            <w:r>
              <w:rPr>
                <w:color w:val="000000"/>
              </w:rPr>
              <w:t>万江汽车总站</w:t>
            </w:r>
          </w:p>
        </w:tc>
      </w:tr>
      <w:tr w14:paraId="1495191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380" w:type="pct"/>
            <w:vMerge w:val="restart"/>
            <w:tcBorders>
              <w:top w:val="single" w:color="000000" w:sz="8" w:space="0"/>
              <w:bottom w:val="single" w:color="000000" w:sz="8" w:space="0"/>
              <w:right w:val="single" w:color="000000" w:sz="8" w:space="0"/>
            </w:tcBorders>
            <w:shd w:val="clear" w:color="auto" w:fill="FFFFFF"/>
            <w:noWrap w:val="0"/>
            <w:vAlign w:val="center"/>
          </w:tcPr>
          <w:p w14:paraId="005A258B">
            <w:pPr>
              <w:pStyle w:val="10"/>
              <w:bidi w:val="0"/>
              <w:jc w:val="center"/>
              <w:rPr>
                <w:color w:val="000000"/>
              </w:rPr>
            </w:pPr>
            <w:r>
              <w:rPr>
                <w:color w:val="000000"/>
              </w:rPr>
              <w:t>9</w:t>
            </w:r>
          </w:p>
        </w:tc>
        <w:tc>
          <w:tcPr>
            <w:tcW w:w="747"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D1A8F50">
            <w:pPr>
              <w:pStyle w:val="10"/>
              <w:bidi w:val="0"/>
              <w:jc w:val="center"/>
              <w:rPr>
                <w:color w:val="000000"/>
              </w:rPr>
            </w:pPr>
            <w:r>
              <w:rPr>
                <w:color w:val="000000"/>
              </w:rPr>
              <w:t>深圳龙岗</w:t>
            </w:r>
          </w:p>
        </w:tc>
        <w:tc>
          <w:tcPr>
            <w:tcW w:w="23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0DA737E">
            <w:pPr>
              <w:pStyle w:val="10"/>
              <w:bidi w:val="0"/>
              <w:jc w:val="center"/>
              <w:rPr>
                <w:color w:val="000000"/>
              </w:rPr>
            </w:pPr>
            <w:r>
              <w:rPr>
                <w:color w:val="000000"/>
              </w:rPr>
              <w:t>8:20</w:t>
            </w:r>
          </w:p>
        </w:tc>
        <w:tc>
          <w:tcPr>
            <w:tcW w:w="5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6887A6F">
            <w:pPr>
              <w:pStyle w:val="10"/>
              <w:bidi w:val="0"/>
              <w:jc w:val="center"/>
              <w:rPr>
                <w:color w:val="000000"/>
              </w:rPr>
            </w:pPr>
            <w:r>
              <w:rPr>
                <w:color w:val="000000"/>
              </w:rPr>
              <w:t>1</w:t>
            </w:r>
          </w:p>
        </w:tc>
        <w:tc>
          <w:tcPr>
            <w:tcW w:w="926" w:type="pct"/>
            <w:tcBorders>
              <w:top w:val="single" w:color="000000" w:sz="8" w:space="0"/>
              <w:left w:val="single" w:color="000000" w:sz="8" w:space="0"/>
              <w:bottom w:val="single" w:color="000000" w:sz="8" w:space="0"/>
            </w:tcBorders>
            <w:shd w:val="clear" w:color="auto" w:fill="FFFFFF"/>
            <w:noWrap w:val="0"/>
            <w:vAlign w:val="center"/>
          </w:tcPr>
          <w:p w14:paraId="491977BC">
            <w:pPr>
              <w:pStyle w:val="10"/>
              <w:bidi w:val="0"/>
              <w:jc w:val="center"/>
              <w:rPr>
                <w:color w:val="000000"/>
              </w:rPr>
            </w:pPr>
            <w:r>
              <w:rPr>
                <w:color w:val="000000"/>
              </w:rPr>
              <w:t>龙岗汽车总站</w:t>
            </w:r>
          </w:p>
        </w:tc>
      </w:tr>
      <w:tr w14:paraId="1CEED27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380" w:type="pct"/>
            <w:vMerge w:val="continue"/>
            <w:tcBorders>
              <w:top w:val="single" w:color="000000" w:sz="8" w:space="0"/>
              <w:bottom w:val="single" w:color="000000" w:sz="8" w:space="0"/>
              <w:right w:val="single" w:color="000000" w:sz="8" w:space="0"/>
            </w:tcBorders>
            <w:shd w:val="clear" w:color="auto" w:fill="FFFFFF"/>
            <w:noWrap w:val="0"/>
            <w:vAlign w:val="center"/>
          </w:tcPr>
          <w:p w14:paraId="0DA23BC8">
            <w:pPr>
              <w:pStyle w:val="10"/>
              <w:bidi w:val="0"/>
              <w:jc w:val="center"/>
              <w:rPr>
                <w:color w:val="000000"/>
              </w:rPr>
            </w:pPr>
          </w:p>
        </w:tc>
        <w:tc>
          <w:tcPr>
            <w:tcW w:w="747"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2D8728B">
            <w:pPr>
              <w:pStyle w:val="10"/>
              <w:bidi w:val="0"/>
              <w:jc w:val="center"/>
              <w:rPr>
                <w:color w:val="000000"/>
              </w:rPr>
            </w:pPr>
          </w:p>
        </w:tc>
        <w:tc>
          <w:tcPr>
            <w:tcW w:w="23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6E5C2B0">
            <w:pPr>
              <w:pStyle w:val="10"/>
              <w:bidi w:val="0"/>
              <w:jc w:val="center"/>
              <w:rPr>
                <w:color w:val="000000"/>
              </w:rPr>
            </w:pPr>
            <w:r>
              <w:rPr>
                <w:color w:val="000000"/>
              </w:rPr>
              <w:t>14:30</w:t>
            </w:r>
          </w:p>
        </w:tc>
        <w:tc>
          <w:tcPr>
            <w:tcW w:w="5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9EF32EA">
            <w:pPr>
              <w:pStyle w:val="10"/>
              <w:bidi w:val="0"/>
              <w:jc w:val="center"/>
              <w:rPr>
                <w:color w:val="000000"/>
              </w:rPr>
            </w:pPr>
            <w:r>
              <w:rPr>
                <w:color w:val="000000"/>
              </w:rPr>
              <w:t>1</w:t>
            </w:r>
          </w:p>
        </w:tc>
        <w:tc>
          <w:tcPr>
            <w:tcW w:w="926" w:type="pct"/>
            <w:tcBorders>
              <w:top w:val="single" w:color="000000" w:sz="8" w:space="0"/>
              <w:left w:val="single" w:color="000000" w:sz="8" w:space="0"/>
              <w:bottom w:val="single" w:color="000000" w:sz="8" w:space="0"/>
            </w:tcBorders>
            <w:shd w:val="clear" w:color="auto" w:fill="FFFFFF"/>
            <w:noWrap w:val="0"/>
            <w:vAlign w:val="center"/>
          </w:tcPr>
          <w:p w14:paraId="3166D582">
            <w:pPr>
              <w:pStyle w:val="10"/>
              <w:bidi w:val="0"/>
              <w:jc w:val="center"/>
              <w:rPr>
                <w:color w:val="000000"/>
              </w:rPr>
            </w:pPr>
            <w:r>
              <w:rPr>
                <w:color w:val="000000"/>
              </w:rPr>
              <w:t>龙岗长途汽车站</w:t>
            </w:r>
          </w:p>
        </w:tc>
      </w:tr>
      <w:tr w14:paraId="4C0DBD8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380" w:type="pct"/>
            <w:tcBorders>
              <w:top w:val="single" w:color="000000" w:sz="8" w:space="0"/>
              <w:bottom w:val="single" w:color="000000" w:sz="8" w:space="0"/>
              <w:right w:val="single" w:color="000000" w:sz="8" w:space="0"/>
            </w:tcBorders>
            <w:shd w:val="clear" w:color="auto" w:fill="FFFFFF"/>
            <w:noWrap w:val="0"/>
            <w:vAlign w:val="center"/>
          </w:tcPr>
          <w:p w14:paraId="2E5FF1EB">
            <w:pPr>
              <w:pStyle w:val="10"/>
              <w:bidi w:val="0"/>
              <w:jc w:val="center"/>
              <w:rPr>
                <w:color w:val="000000"/>
              </w:rPr>
            </w:pPr>
            <w:r>
              <w:rPr>
                <w:color w:val="000000"/>
              </w:rPr>
              <w:t>10</w:t>
            </w:r>
          </w:p>
        </w:tc>
        <w:tc>
          <w:tcPr>
            <w:tcW w:w="74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B48D901">
            <w:pPr>
              <w:pStyle w:val="10"/>
              <w:bidi w:val="0"/>
              <w:jc w:val="center"/>
              <w:rPr>
                <w:color w:val="000000"/>
              </w:rPr>
            </w:pPr>
            <w:r>
              <w:rPr>
                <w:color w:val="000000"/>
              </w:rPr>
              <w:t>顺德</w:t>
            </w:r>
          </w:p>
        </w:tc>
        <w:tc>
          <w:tcPr>
            <w:tcW w:w="23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414C619">
            <w:pPr>
              <w:pStyle w:val="10"/>
              <w:bidi w:val="0"/>
              <w:jc w:val="center"/>
              <w:rPr>
                <w:color w:val="000000"/>
              </w:rPr>
            </w:pPr>
            <w:r>
              <w:rPr>
                <w:color w:val="000000"/>
              </w:rPr>
              <w:t>8:50</w:t>
            </w:r>
          </w:p>
        </w:tc>
        <w:tc>
          <w:tcPr>
            <w:tcW w:w="5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92CE64C">
            <w:pPr>
              <w:pStyle w:val="10"/>
              <w:bidi w:val="0"/>
              <w:jc w:val="center"/>
              <w:rPr>
                <w:color w:val="000000"/>
              </w:rPr>
            </w:pPr>
            <w:r>
              <w:rPr>
                <w:color w:val="000000"/>
              </w:rPr>
              <w:t>1</w:t>
            </w:r>
          </w:p>
        </w:tc>
        <w:tc>
          <w:tcPr>
            <w:tcW w:w="926" w:type="pct"/>
            <w:tcBorders>
              <w:top w:val="single" w:color="000000" w:sz="8" w:space="0"/>
              <w:left w:val="single" w:color="000000" w:sz="8" w:space="0"/>
              <w:bottom w:val="single" w:color="000000" w:sz="8" w:space="0"/>
            </w:tcBorders>
            <w:shd w:val="clear" w:color="auto" w:fill="FFFFFF"/>
            <w:noWrap w:val="0"/>
            <w:vAlign w:val="center"/>
          </w:tcPr>
          <w:p w14:paraId="36558F53">
            <w:pPr>
              <w:pStyle w:val="10"/>
              <w:bidi w:val="0"/>
              <w:jc w:val="center"/>
              <w:rPr>
                <w:color w:val="000000"/>
              </w:rPr>
            </w:pPr>
            <w:r>
              <w:rPr>
                <w:color w:val="000000"/>
              </w:rPr>
              <w:t>容桂汽车站</w:t>
            </w:r>
          </w:p>
        </w:tc>
      </w:tr>
      <w:tr w14:paraId="6C7C6CB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380" w:type="pct"/>
            <w:tcBorders>
              <w:top w:val="single" w:color="000000" w:sz="8" w:space="0"/>
              <w:bottom w:val="single" w:color="000000" w:sz="8" w:space="0"/>
              <w:right w:val="single" w:color="000000" w:sz="8" w:space="0"/>
            </w:tcBorders>
            <w:shd w:val="clear" w:color="auto" w:fill="FFFFFF"/>
            <w:noWrap w:val="0"/>
            <w:vAlign w:val="center"/>
          </w:tcPr>
          <w:p w14:paraId="203DC637">
            <w:pPr>
              <w:pStyle w:val="10"/>
              <w:bidi w:val="0"/>
              <w:jc w:val="center"/>
              <w:rPr>
                <w:color w:val="000000"/>
              </w:rPr>
            </w:pPr>
            <w:r>
              <w:rPr>
                <w:color w:val="000000"/>
              </w:rPr>
              <w:t>11</w:t>
            </w:r>
          </w:p>
        </w:tc>
        <w:tc>
          <w:tcPr>
            <w:tcW w:w="74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2403899">
            <w:pPr>
              <w:pStyle w:val="10"/>
              <w:bidi w:val="0"/>
              <w:jc w:val="center"/>
              <w:rPr>
                <w:color w:val="000000"/>
              </w:rPr>
            </w:pPr>
            <w:r>
              <w:rPr>
                <w:color w:val="000000"/>
              </w:rPr>
              <w:t>花都</w:t>
            </w:r>
          </w:p>
        </w:tc>
        <w:tc>
          <w:tcPr>
            <w:tcW w:w="23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A6153D5">
            <w:pPr>
              <w:pStyle w:val="10"/>
              <w:bidi w:val="0"/>
              <w:jc w:val="center"/>
              <w:rPr>
                <w:color w:val="000000"/>
              </w:rPr>
            </w:pPr>
            <w:r>
              <w:rPr>
                <w:color w:val="000000"/>
              </w:rPr>
              <w:t>8:35</w:t>
            </w:r>
          </w:p>
        </w:tc>
        <w:tc>
          <w:tcPr>
            <w:tcW w:w="5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0D0F4A1">
            <w:pPr>
              <w:pStyle w:val="10"/>
              <w:bidi w:val="0"/>
              <w:jc w:val="center"/>
              <w:rPr>
                <w:color w:val="000000"/>
              </w:rPr>
            </w:pPr>
            <w:r>
              <w:rPr>
                <w:color w:val="000000"/>
              </w:rPr>
              <w:t>1</w:t>
            </w:r>
          </w:p>
        </w:tc>
        <w:tc>
          <w:tcPr>
            <w:tcW w:w="926" w:type="pct"/>
            <w:tcBorders>
              <w:top w:val="single" w:color="000000" w:sz="8" w:space="0"/>
              <w:left w:val="single" w:color="000000" w:sz="8" w:space="0"/>
              <w:bottom w:val="single" w:color="000000" w:sz="8" w:space="0"/>
            </w:tcBorders>
            <w:shd w:val="clear" w:color="auto" w:fill="FFFFFF"/>
            <w:noWrap w:val="0"/>
            <w:vAlign w:val="center"/>
          </w:tcPr>
          <w:p w14:paraId="708EAD06">
            <w:pPr>
              <w:pStyle w:val="10"/>
              <w:bidi w:val="0"/>
              <w:jc w:val="center"/>
              <w:rPr>
                <w:color w:val="000000"/>
              </w:rPr>
            </w:pPr>
            <w:r>
              <w:rPr>
                <w:color w:val="000000"/>
              </w:rPr>
              <w:t>花都长途汽车站</w:t>
            </w:r>
          </w:p>
        </w:tc>
      </w:tr>
      <w:tr w14:paraId="767671B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450" w:hRule="atLeast"/>
          <w:jc w:val="center"/>
        </w:trPr>
        <w:tc>
          <w:tcPr>
            <w:tcW w:w="5000" w:type="pct"/>
            <w:gridSpan w:val="5"/>
            <w:tcBorders>
              <w:top w:val="single" w:color="000000" w:sz="8" w:space="0"/>
              <w:bottom w:val="single" w:color="000000" w:sz="8" w:space="0"/>
            </w:tcBorders>
            <w:shd w:val="clear" w:color="auto" w:fill="FFFFFF"/>
            <w:noWrap w:val="0"/>
            <w:vAlign w:val="center"/>
          </w:tcPr>
          <w:p w14:paraId="695CD16D">
            <w:pPr>
              <w:pStyle w:val="10"/>
              <w:bidi w:val="0"/>
              <w:jc w:val="center"/>
              <w:rPr>
                <w:color w:val="000000"/>
              </w:rPr>
            </w:pPr>
            <w:r>
              <w:rPr>
                <w:color w:val="000000"/>
              </w:rPr>
              <w:t>市内及乡镇发送时间</w:t>
            </w:r>
          </w:p>
        </w:tc>
      </w:tr>
      <w:tr w14:paraId="39B883D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380" w:type="pct"/>
            <w:tcBorders>
              <w:top w:val="single" w:color="000000" w:sz="8" w:space="0"/>
              <w:bottom w:val="single" w:color="000000" w:sz="8" w:space="0"/>
              <w:right w:val="single" w:color="000000" w:sz="8" w:space="0"/>
            </w:tcBorders>
            <w:shd w:val="clear" w:color="auto" w:fill="FFFFFF"/>
            <w:noWrap w:val="0"/>
            <w:vAlign w:val="center"/>
          </w:tcPr>
          <w:p w14:paraId="1A36BEA5">
            <w:pPr>
              <w:pStyle w:val="10"/>
              <w:bidi w:val="0"/>
              <w:jc w:val="center"/>
              <w:rPr>
                <w:color w:val="000000"/>
              </w:rPr>
            </w:pPr>
            <w:r>
              <w:rPr>
                <w:color w:val="000000"/>
              </w:rPr>
              <w:t>1</w:t>
            </w:r>
          </w:p>
        </w:tc>
        <w:tc>
          <w:tcPr>
            <w:tcW w:w="74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7F26B3A">
            <w:pPr>
              <w:pStyle w:val="10"/>
              <w:bidi w:val="0"/>
              <w:jc w:val="center"/>
              <w:rPr>
                <w:color w:val="000000"/>
              </w:rPr>
            </w:pPr>
            <w:r>
              <w:rPr>
                <w:color w:val="000000"/>
              </w:rPr>
              <w:t>乌迳</w:t>
            </w:r>
          </w:p>
        </w:tc>
        <w:tc>
          <w:tcPr>
            <w:tcW w:w="23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86672C8">
            <w:pPr>
              <w:pStyle w:val="10"/>
              <w:bidi w:val="0"/>
              <w:jc w:val="center"/>
              <w:rPr>
                <w:color w:val="000000"/>
              </w:rPr>
            </w:pPr>
            <w:r>
              <w:rPr>
                <w:color w:val="000000"/>
              </w:rPr>
              <w:t>6：05--18：20   约每15分钟一趟</w:t>
            </w:r>
          </w:p>
        </w:tc>
        <w:tc>
          <w:tcPr>
            <w:tcW w:w="5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AA1F3A9">
            <w:pPr>
              <w:pStyle w:val="10"/>
              <w:bidi w:val="0"/>
              <w:jc w:val="center"/>
              <w:rPr>
                <w:color w:val="000000"/>
              </w:rPr>
            </w:pPr>
            <w:r>
              <w:rPr>
                <w:color w:val="000000"/>
              </w:rPr>
              <w:t>42</w:t>
            </w:r>
          </w:p>
        </w:tc>
        <w:tc>
          <w:tcPr>
            <w:tcW w:w="926" w:type="pct"/>
            <w:tcBorders>
              <w:top w:val="single" w:color="000000" w:sz="8" w:space="0"/>
              <w:left w:val="single" w:color="000000" w:sz="8" w:space="0"/>
              <w:bottom w:val="single" w:color="000000" w:sz="8" w:space="0"/>
            </w:tcBorders>
            <w:shd w:val="clear" w:color="auto" w:fill="FFFFFF"/>
            <w:noWrap w:val="0"/>
            <w:vAlign w:val="center"/>
          </w:tcPr>
          <w:p w14:paraId="1A261910">
            <w:pPr>
              <w:pStyle w:val="10"/>
              <w:bidi w:val="0"/>
              <w:jc w:val="center"/>
              <w:rPr>
                <w:color w:val="000000"/>
              </w:rPr>
            </w:pPr>
            <w:r>
              <w:rPr>
                <w:color w:val="000000"/>
              </w:rPr>
              <w:t>乌迳</w:t>
            </w:r>
          </w:p>
        </w:tc>
      </w:tr>
      <w:tr w14:paraId="1FEEB85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380" w:type="pct"/>
            <w:tcBorders>
              <w:top w:val="single" w:color="000000" w:sz="8" w:space="0"/>
              <w:bottom w:val="single" w:color="000000" w:sz="8" w:space="0"/>
              <w:right w:val="single" w:color="000000" w:sz="8" w:space="0"/>
            </w:tcBorders>
            <w:shd w:val="clear" w:color="auto" w:fill="FFFFFF"/>
            <w:noWrap w:val="0"/>
            <w:vAlign w:val="center"/>
          </w:tcPr>
          <w:p w14:paraId="675499D8">
            <w:pPr>
              <w:pStyle w:val="10"/>
              <w:bidi w:val="0"/>
              <w:jc w:val="center"/>
              <w:rPr>
                <w:color w:val="000000"/>
              </w:rPr>
            </w:pPr>
            <w:r>
              <w:rPr>
                <w:color w:val="000000"/>
              </w:rPr>
              <w:t>2</w:t>
            </w:r>
          </w:p>
        </w:tc>
        <w:tc>
          <w:tcPr>
            <w:tcW w:w="74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7F80A07">
            <w:pPr>
              <w:pStyle w:val="10"/>
              <w:bidi w:val="0"/>
              <w:jc w:val="center"/>
              <w:rPr>
                <w:color w:val="000000"/>
              </w:rPr>
            </w:pPr>
            <w:r>
              <w:rPr>
                <w:color w:val="000000"/>
              </w:rPr>
              <w:t>大塘</w:t>
            </w:r>
          </w:p>
        </w:tc>
        <w:tc>
          <w:tcPr>
            <w:tcW w:w="23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7EC9F73">
            <w:pPr>
              <w:pStyle w:val="10"/>
              <w:bidi w:val="0"/>
              <w:jc w:val="center"/>
              <w:rPr>
                <w:color w:val="000000"/>
              </w:rPr>
            </w:pPr>
            <w:r>
              <w:rPr>
                <w:color w:val="000000"/>
              </w:rPr>
              <w:t>6：10--18：00   约每20分钟一趟</w:t>
            </w:r>
          </w:p>
        </w:tc>
        <w:tc>
          <w:tcPr>
            <w:tcW w:w="5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1FFF827">
            <w:pPr>
              <w:pStyle w:val="10"/>
              <w:bidi w:val="0"/>
              <w:jc w:val="center"/>
              <w:rPr>
                <w:color w:val="000000"/>
              </w:rPr>
            </w:pPr>
            <w:r>
              <w:rPr>
                <w:color w:val="000000"/>
              </w:rPr>
              <w:t>38</w:t>
            </w:r>
          </w:p>
        </w:tc>
        <w:tc>
          <w:tcPr>
            <w:tcW w:w="926" w:type="pct"/>
            <w:tcBorders>
              <w:top w:val="single" w:color="000000" w:sz="8" w:space="0"/>
              <w:left w:val="single" w:color="000000" w:sz="8" w:space="0"/>
              <w:bottom w:val="single" w:color="000000" w:sz="8" w:space="0"/>
            </w:tcBorders>
            <w:shd w:val="clear" w:color="auto" w:fill="FFFFFF"/>
            <w:noWrap w:val="0"/>
            <w:vAlign w:val="center"/>
          </w:tcPr>
          <w:p w14:paraId="0910A103">
            <w:pPr>
              <w:pStyle w:val="10"/>
              <w:bidi w:val="0"/>
              <w:jc w:val="center"/>
              <w:rPr>
                <w:color w:val="000000"/>
              </w:rPr>
            </w:pPr>
            <w:r>
              <w:rPr>
                <w:color w:val="000000"/>
              </w:rPr>
              <w:t>大塘</w:t>
            </w:r>
          </w:p>
        </w:tc>
      </w:tr>
      <w:tr w14:paraId="4DC59E7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380" w:type="pct"/>
            <w:tcBorders>
              <w:top w:val="single" w:color="000000" w:sz="8" w:space="0"/>
              <w:bottom w:val="single" w:color="000000" w:sz="8" w:space="0"/>
              <w:right w:val="single" w:color="000000" w:sz="8" w:space="0"/>
            </w:tcBorders>
            <w:shd w:val="clear" w:color="auto" w:fill="FFFFFF"/>
            <w:noWrap w:val="0"/>
            <w:vAlign w:val="center"/>
          </w:tcPr>
          <w:p w14:paraId="31FE1E9E">
            <w:pPr>
              <w:pStyle w:val="10"/>
              <w:bidi w:val="0"/>
              <w:jc w:val="center"/>
              <w:rPr>
                <w:color w:val="000000"/>
              </w:rPr>
            </w:pPr>
            <w:r>
              <w:rPr>
                <w:color w:val="000000"/>
              </w:rPr>
              <w:t>3</w:t>
            </w:r>
          </w:p>
        </w:tc>
        <w:tc>
          <w:tcPr>
            <w:tcW w:w="74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D17E3C7">
            <w:pPr>
              <w:pStyle w:val="10"/>
              <w:bidi w:val="0"/>
              <w:jc w:val="center"/>
              <w:rPr>
                <w:color w:val="000000"/>
              </w:rPr>
            </w:pPr>
            <w:r>
              <w:rPr>
                <w:color w:val="000000"/>
              </w:rPr>
              <w:t>南亩</w:t>
            </w:r>
          </w:p>
        </w:tc>
        <w:tc>
          <w:tcPr>
            <w:tcW w:w="23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041C0A1">
            <w:pPr>
              <w:pStyle w:val="10"/>
              <w:bidi w:val="0"/>
              <w:jc w:val="center"/>
              <w:rPr>
                <w:color w:val="000000"/>
              </w:rPr>
            </w:pPr>
            <w:r>
              <w:rPr>
                <w:color w:val="000000"/>
              </w:rPr>
              <w:t>6：10--18：00   约每20分钟一趟</w:t>
            </w:r>
          </w:p>
        </w:tc>
        <w:tc>
          <w:tcPr>
            <w:tcW w:w="5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546DD49">
            <w:pPr>
              <w:pStyle w:val="10"/>
              <w:bidi w:val="0"/>
              <w:jc w:val="center"/>
              <w:rPr>
                <w:color w:val="000000"/>
              </w:rPr>
            </w:pPr>
            <w:r>
              <w:rPr>
                <w:color w:val="000000"/>
              </w:rPr>
              <w:t>32</w:t>
            </w:r>
          </w:p>
        </w:tc>
        <w:tc>
          <w:tcPr>
            <w:tcW w:w="926" w:type="pct"/>
            <w:tcBorders>
              <w:top w:val="single" w:color="000000" w:sz="8" w:space="0"/>
              <w:left w:val="single" w:color="000000" w:sz="8" w:space="0"/>
              <w:bottom w:val="single" w:color="000000" w:sz="8" w:space="0"/>
            </w:tcBorders>
            <w:shd w:val="clear" w:color="auto" w:fill="FFFFFF"/>
            <w:noWrap w:val="0"/>
            <w:vAlign w:val="center"/>
          </w:tcPr>
          <w:p w14:paraId="3E5653D9">
            <w:pPr>
              <w:pStyle w:val="10"/>
              <w:bidi w:val="0"/>
              <w:jc w:val="center"/>
              <w:rPr>
                <w:color w:val="000000"/>
              </w:rPr>
            </w:pPr>
            <w:r>
              <w:rPr>
                <w:color w:val="000000"/>
              </w:rPr>
              <w:t>南亩</w:t>
            </w:r>
          </w:p>
        </w:tc>
      </w:tr>
      <w:tr w14:paraId="3D512F1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380" w:type="pct"/>
            <w:tcBorders>
              <w:top w:val="single" w:color="000000" w:sz="8" w:space="0"/>
              <w:bottom w:val="single" w:color="000000" w:sz="8" w:space="0"/>
              <w:right w:val="single" w:color="000000" w:sz="8" w:space="0"/>
            </w:tcBorders>
            <w:shd w:val="clear" w:color="auto" w:fill="FFFFFF"/>
            <w:noWrap w:val="0"/>
            <w:vAlign w:val="center"/>
          </w:tcPr>
          <w:p w14:paraId="576379FD">
            <w:pPr>
              <w:pStyle w:val="10"/>
              <w:bidi w:val="0"/>
              <w:jc w:val="center"/>
              <w:rPr>
                <w:color w:val="000000"/>
              </w:rPr>
            </w:pPr>
            <w:r>
              <w:rPr>
                <w:color w:val="000000"/>
              </w:rPr>
              <w:t>4</w:t>
            </w:r>
          </w:p>
        </w:tc>
        <w:tc>
          <w:tcPr>
            <w:tcW w:w="74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E6EA9D3">
            <w:pPr>
              <w:pStyle w:val="10"/>
              <w:bidi w:val="0"/>
              <w:jc w:val="center"/>
              <w:rPr>
                <w:color w:val="000000"/>
              </w:rPr>
            </w:pPr>
            <w:r>
              <w:rPr>
                <w:color w:val="000000"/>
              </w:rPr>
              <w:t>珠饥-湖口</w:t>
            </w:r>
          </w:p>
        </w:tc>
        <w:tc>
          <w:tcPr>
            <w:tcW w:w="23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76AA604">
            <w:pPr>
              <w:pStyle w:val="10"/>
              <w:bidi w:val="0"/>
              <w:jc w:val="center"/>
              <w:rPr>
                <w:color w:val="000000"/>
              </w:rPr>
            </w:pPr>
            <w:r>
              <w:rPr>
                <w:color w:val="000000"/>
              </w:rPr>
              <w:t>6：40--18：00   约每30分钟一趟</w:t>
            </w:r>
          </w:p>
        </w:tc>
        <w:tc>
          <w:tcPr>
            <w:tcW w:w="5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BC933FA">
            <w:pPr>
              <w:pStyle w:val="10"/>
              <w:bidi w:val="0"/>
              <w:jc w:val="center"/>
              <w:rPr>
                <w:color w:val="000000"/>
              </w:rPr>
            </w:pPr>
            <w:r>
              <w:rPr>
                <w:color w:val="000000"/>
              </w:rPr>
              <w:t>24</w:t>
            </w:r>
          </w:p>
        </w:tc>
        <w:tc>
          <w:tcPr>
            <w:tcW w:w="926" w:type="pct"/>
            <w:tcBorders>
              <w:top w:val="single" w:color="000000" w:sz="8" w:space="0"/>
              <w:left w:val="single" w:color="000000" w:sz="8" w:space="0"/>
              <w:bottom w:val="single" w:color="000000" w:sz="8" w:space="0"/>
            </w:tcBorders>
            <w:shd w:val="clear" w:color="auto" w:fill="FFFFFF"/>
            <w:noWrap w:val="0"/>
            <w:vAlign w:val="center"/>
          </w:tcPr>
          <w:p w14:paraId="3217A0FF">
            <w:pPr>
              <w:pStyle w:val="10"/>
              <w:bidi w:val="0"/>
              <w:jc w:val="center"/>
              <w:rPr>
                <w:color w:val="000000"/>
              </w:rPr>
            </w:pPr>
            <w:r>
              <w:rPr>
                <w:color w:val="000000"/>
              </w:rPr>
              <w:t>珠湖</w:t>
            </w:r>
          </w:p>
        </w:tc>
      </w:tr>
      <w:tr w14:paraId="3185A29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380" w:type="pct"/>
            <w:tcBorders>
              <w:top w:val="single" w:color="000000" w:sz="8" w:space="0"/>
              <w:bottom w:val="single" w:color="000000" w:sz="8" w:space="0"/>
              <w:right w:val="single" w:color="000000" w:sz="8" w:space="0"/>
            </w:tcBorders>
            <w:shd w:val="clear" w:color="auto" w:fill="FFFFFF"/>
            <w:noWrap w:val="0"/>
            <w:vAlign w:val="center"/>
          </w:tcPr>
          <w:p w14:paraId="1EC018E7">
            <w:pPr>
              <w:pStyle w:val="10"/>
              <w:bidi w:val="0"/>
              <w:jc w:val="center"/>
              <w:rPr>
                <w:color w:val="000000"/>
              </w:rPr>
            </w:pPr>
            <w:r>
              <w:rPr>
                <w:color w:val="000000"/>
              </w:rPr>
              <w:t>5</w:t>
            </w:r>
          </w:p>
        </w:tc>
        <w:tc>
          <w:tcPr>
            <w:tcW w:w="74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7088145">
            <w:pPr>
              <w:pStyle w:val="10"/>
              <w:bidi w:val="0"/>
              <w:jc w:val="center"/>
              <w:rPr>
                <w:color w:val="000000"/>
              </w:rPr>
            </w:pPr>
            <w:r>
              <w:rPr>
                <w:color w:val="000000"/>
              </w:rPr>
              <w:t>计生局--汽车总站</w:t>
            </w:r>
          </w:p>
        </w:tc>
        <w:tc>
          <w:tcPr>
            <w:tcW w:w="23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7959009">
            <w:pPr>
              <w:pStyle w:val="10"/>
              <w:bidi w:val="0"/>
              <w:jc w:val="center"/>
              <w:rPr>
                <w:color w:val="000000"/>
              </w:rPr>
            </w:pPr>
            <w:r>
              <w:rPr>
                <w:color w:val="000000"/>
              </w:rPr>
              <w:t>6：45--19：10   约每10分钟一趟</w:t>
            </w:r>
          </w:p>
        </w:tc>
        <w:tc>
          <w:tcPr>
            <w:tcW w:w="5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1B9FCA5">
            <w:pPr>
              <w:pStyle w:val="10"/>
              <w:bidi w:val="0"/>
              <w:jc w:val="center"/>
              <w:rPr>
                <w:color w:val="000000"/>
              </w:rPr>
            </w:pPr>
            <w:r>
              <w:rPr>
                <w:color w:val="000000"/>
              </w:rPr>
              <w:t>41</w:t>
            </w:r>
          </w:p>
        </w:tc>
        <w:tc>
          <w:tcPr>
            <w:tcW w:w="926" w:type="pct"/>
            <w:tcBorders>
              <w:top w:val="single" w:color="000000" w:sz="8" w:space="0"/>
              <w:left w:val="single" w:color="000000" w:sz="8" w:space="0"/>
              <w:bottom w:val="single" w:color="000000" w:sz="8" w:space="0"/>
            </w:tcBorders>
            <w:shd w:val="clear" w:color="auto" w:fill="FFFFFF"/>
            <w:noWrap w:val="0"/>
            <w:vAlign w:val="center"/>
          </w:tcPr>
          <w:p w14:paraId="59857431">
            <w:pPr>
              <w:pStyle w:val="10"/>
              <w:bidi w:val="0"/>
              <w:jc w:val="center"/>
              <w:rPr>
                <w:color w:val="000000"/>
              </w:rPr>
            </w:pPr>
            <w:r>
              <w:rPr>
                <w:color w:val="000000"/>
              </w:rPr>
              <w:t>市内</w:t>
            </w:r>
          </w:p>
        </w:tc>
      </w:tr>
      <w:tr w14:paraId="01C62FA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380" w:type="pct"/>
            <w:tcBorders>
              <w:top w:val="single" w:color="000000" w:sz="8" w:space="0"/>
              <w:bottom w:val="single" w:color="000000" w:sz="8" w:space="0"/>
              <w:right w:val="single" w:color="000000" w:sz="8" w:space="0"/>
            </w:tcBorders>
            <w:shd w:val="clear" w:color="auto" w:fill="FFFFFF"/>
            <w:noWrap w:val="0"/>
            <w:vAlign w:val="center"/>
          </w:tcPr>
          <w:p w14:paraId="7FA63E2C">
            <w:pPr>
              <w:pStyle w:val="10"/>
              <w:bidi w:val="0"/>
              <w:jc w:val="center"/>
              <w:rPr>
                <w:color w:val="000000"/>
              </w:rPr>
            </w:pPr>
            <w:r>
              <w:rPr>
                <w:color w:val="000000"/>
              </w:rPr>
              <w:t>6</w:t>
            </w:r>
          </w:p>
        </w:tc>
        <w:tc>
          <w:tcPr>
            <w:tcW w:w="74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3D61C1A">
            <w:pPr>
              <w:pStyle w:val="10"/>
              <w:bidi w:val="0"/>
              <w:jc w:val="center"/>
              <w:rPr>
                <w:color w:val="000000"/>
              </w:rPr>
            </w:pPr>
            <w:r>
              <w:rPr>
                <w:color w:val="000000"/>
              </w:rPr>
              <w:t>古市</w:t>
            </w:r>
          </w:p>
        </w:tc>
        <w:tc>
          <w:tcPr>
            <w:tcW w:w="23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359F898">
            <w:pPr>
              <w:pStyle w:val="10"/>
              <w:bidi w:val="0"/>
              <w:jc w:val="center"/>
              <w:rPr>
                <w:color w:val="000000"/>
              </w:rPr>
            </w:pPr>
            <w:r>
              <w:rPr>
                <w:color w:val="000000"/>
              </w:rPr>
              <w:t>6：30--19：00   约每30分钟一趟</w:t>
            </w:r>
          </w:p>
        </w:tc>
        <w:tc>
          <w:tcPr>
            <w:tcW w:w="5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F2FB556">
            <w:pPr>
              <w:pStyle w:val="10"/>
              <w:bidi w:val="0"/>
              <w:jc w:val="center"/>
              <w:rPr>
                <w:color w:val="000000"/>
              </w:rPr>
            </w:pPr>
            <w:r>
              <w:rPr>
                <w:color w:val="000000"/>
              </w:rPr>
              <w:t>25</w:t>
            </w:r>
          </w:p>
        </w:tc>
        <w:tc>
          <w:tcPr>
            <w:tcW w:w="926" w:type="pct"/>
            <w:tcBorders>
              <w:top w:val="single" w:color="000000" w:sz="8" w:space="0"/>
              <w:left w:val="single" w:color="000000" w:sz="8" w:space="0"/>
              <w:bottom w:val="single" w:color="000000" w:sz="8" w:space="0"/>
            </w:tcBorders>
            <w:shd w:val="clear" w:color="auto" w:fill="FFFFFF"/>
            <w:noWrap w:val="0"/>
            <w:vAlign w:val="center"/>
          </w:tcPr>
          <w:p w14:paraId="2E8446E9">
            <w:pPr>
              <w:pStyle w:val="10"/>
              <w:bidi w:val="0"/>
              <w:jc w:val="center"/>
              <w:rPr>
                <w:color w:val="000000"/>
              </w:rPr>
            </w:pPr>
            <w:r>
              <w:rPr>
                <w:color w:val="000000"/>
              </w:rPr>
              <w:t>古市</w:t>
            </w:r>
          </w:p>
        </w:tc>
      </w:tr>
      <w:tr w14:paraId="6EECCFA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380" w:type="pct"/>
            <w:tcBorders>
              <w:top w:val="single" w:color="000000" w:sz="8" w:space="0"/>
              <w:bottom w:val="single" w:color="000000" w:sz="8" w:space="0"/>
              <w:right w:val="single" w:color="000000" w:sz="8" w:space="0"/>
            </w:tcBorders>
            <w:shd w:val="clear" w:color="auto" w:fill="FFFFFF"/>
            <w:noWrap w:val="0"/>
            <w:vAlign w:val="center"/>
          </w:tcPr>
          <w:p w14:paraId="49EDBAC4">
            <w:pPr>
              <w:pStyle w:val="10"/>
              <w:bidi w:val="0"/>
              <w:jc w:val="center"/>
              <w:rPr>
                <w:color w:val="000000"/>
              </w:rPr>
            </w:pPr>
            <w:r>
              <w:rPr>
                <w:color w:val="000000"/>
              </w:rPr>
              <w:t>7</w:t>
            </w:r>
          </w:p>
        </w:tc>
        <w:tc>
          <w:tcPr>
            <w:tcW w:w="74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26B42BF">
            <w:pPr>
              <w:pStyle w:val="10"/>
              <w:bidi w:val="0"/>
              <w:jc w:val="center"/>
              <w:rPr>
                <w:color w:val="000000"/>
              </w:rPr>
            </w:pPr>
            <w:r>
              <w:rPr>
                <w:color w:val="000000"/>
              </w:rPr>
              <w:t>江头</w:t>
            </w:r>
          </w:p>
        </w:tc>
        <w:tc>
          <w:tcPr>
            <w:tcW w:w="23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A708FA0">
            <w:pPr>
              <w:pStyle w:val="10"/>
              <w:bidi w:val="0"/>
              <w:jc w:val="center"/>
              <w:rPr>
                <w:color w:val="000000"/>
              </w:rPr>
            </w:pPr>
            <w:r>
              <w:rPr>
                <w:color w:val="000000"/>
              </w:rPr>
              <w:t>6：00--17：10   约每30分钟一趟</w:t>
            </w:r>
          </w:p>
        </w:tc>
        <w:tc>
          <w:tcPr>
            <w:tcW w:w="5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C470088">
            <w:pPr>
              <w:pStyle w:val="10"/>
              <w:bidi w:val="0"/>
              <w:jc w:val="center"/>
              <w:rPr>
                <w:color w:val="000000"/>
              </w:rPr>
            </w:pPr>
            <w:r>
              <w:rPr>
                <w:color w:val="000000"/>
              </w:rPr>
              <w:t>21</w:t>
            </w:r>
          </w:p>
        </w:tc>
        <w:tc>
          <w:tcPr>
            <w:tcW w:w="926" w:type="pct"/>
            <w:tcBorders>
              <w:top w:val="single" w:color="000000" w:sz="8" w:space="0"/>
              <w:left w:val="single" w:color="000000" w:sz="8" w:space="0"/>
              <w:bottom w:val="single" w:color="000000" w:sz="8" w:space="0"/>
            </w:tcBorders>
            <w:shd w:val="clear" w:color="auto" w:fill="FFFFFF"/>
            <w:noWrap w:val="0"/>
            <w:vAlign w:val="center"/>
          </w:tcPr>
          <w:p w14:paraId="79E1D8DF">
            <w:pPr>
              <w:pStyle w:val="10"/>
              <w:bidi w:val="0"/>
              <w:jc w:val="center"/>
              <w:rPr>
                <w:color w:val="000000"/>
              </w:rPr>
            </w:pPr>
            <w:r>
              <w:rPr>
                <w:color w:val="000000"/>
              </w:rPr>
              <w:t>江头</w:t>
            </w:r>
          </w:p>
        </w:tc>
      </w:tr>
      <w:tr w14:paraId="14406F4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15" w:hRule="atLeast"/>
          <w:jc w:val="center"/>
        </w:trPr>
        <w:tc>
          <w:tcPr>
            <w:tcW w:w="380" w:type="pct"/>
            <w:tcBorders>
              <w:top w:val="single" w:color="000000" w:sz="8" w:space="0"/>
              <w:bottom w:val="single" w:color="000000" w:sz="8" w:space="0"/>
              <w:right w:val="single" w:color="000000" w:sz="8" w:space="0"/>
            </w:tcBorders>
            <w:shd w:val="clear" w:color="auto" w:fill="FFFFFF"/>
            <w:noWrap w:val="0"/>
            <w:vAlign w:val="center"/>
          </w:tcPr>
          <w:p w14:paraId="512EB7F7">
            <w:pPr>
              <w:pStyle w:val="10"/>
              <w:bidi w:val="0"/>
              <w:jc w:val="center"/>
              <w:rPr>
                <w:color w:val="000000"/>
              </w:rPr>
            </w:pPr>
            <w:r>
              <w:rPr>
                <w:color w:val="000000"/>
              </w:rPr>
              <w:t>8</w:t>
            </w:r>
          </w:p>
        </w:tc>
        <w:tc>
          <w:tcPr>
            <w:tcW w:w="74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CC73B4E">
            <w:pPr>
              <w:pStyle w:val="10"/>
              <w:bidi w:val="0"/>
              <w:jc w:val="center"/>
              <w:rPr>
                <w:color w:val="000000"/>
              </w:rPr>
            </w:pPr>
            <w:r>
              <w:rPr>
                <w:color w:val="000000"/>
              </w:rPr>
              <w:t>界址</w:t>
            </w:r>
          </w:p>
        </w:tc>
        <w:tc>
          <w:tcPr>
            <w:tcW w:w="23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17B7287">
            <w:pPr>
              <w:pStyle w:val="10"/>
              <w:bidi w:val="0"/>
              <w:jc w:val="center"/>
              <w:rPr>
                <w:color w:val="000000"/>
              </w:rPr>
            </w:pPr>
            <w:r>
              <w:rPr>
                <w:color w:val="000000"/>
              </w:rPr>
              <w:t>7:30    9:30    11:30    14:30   16:30</w:t>
            </w:r>
          </w:p>
        </w:tc>
        <w:tc>
          <w:tcPr>
            <w:tcW w:w="5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2A7BA81">
            <w:pPr>
              <w:pStyle w:val="10"/>
              <w:bidi w:val="0"/>
              <w:jc w:val="center"/>
              <w:rPr>
                <w:color w:val="000000"/>
              </w:rPr>
            </w:pPr>
            <w:r>
              <w:rPr>
                <w:color w:val="000000"/>
              </w:rPr>
              <w:t>5</w:t>
            </w:r>
          </w:p>
        </w:tc>
        <w:tc>
          <w:tcPr>
            <w:tcW w:w="926" w:type="pct"/>
            <w:tcBorders>
              <w:top w:val="single" w:color="000000" w:sz="8" w:space="0"/>
              <w:left w:val="single" w:color="000000" w:sz="8" w:space="0"/>
              <w:bottom w:val="single" w:color="000000" w:sz="8" w:space="0"/>
            </w:tcBorders>
            <w:shd w:val="clear" w:color="auto" w:fill="FFFFFF"/>
            <w:noWrap w:val="0"/>
            <w:vAlign w:val="center"/>
          </w:tcPr>
          <w:p w14:paraId="3D92E7A7">
            <w:pPr>
              <w:pStyle w:val="10"/>
              <w:bidi w:val="0"/>
              <w:jc w:val="center"/>
              <w:rPr>
                <w:color w:val="000000"/>
              </w:rPr>
            </w:pPr>
            <w:r>
              <w:rPr>
                <w:color w:val="000000"/>
              </w:rPr>
              <w:t>界址</w:t>
            </w:r>
          </w:p>
        </w:tc>
      </w:tr>
      <w:tr w14:paraId="610C0E5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15" w:hRule="atLeast"/>
          <w:jc w:val="center"/>
        </w:trPr>
        <w:tc>
          <w:tcPr>
            <w:tcW w:w="380" w:type="pct"/>
            <w:tcBorders>
              <w:top w:val="single" w:color="000000" w:sz="8" w:space="0"/>
              <w:bottom w:val="single" w:color="000000" w:sz="8" w:space="0"/>
              <w:right w:val="single" w:color="000000" w:sz="8" w:space="0"/>
            </w:tcBorders>
            <w:shd w:val="clear" w:color="auto" w:fill="FFFFFF"/>
            <w:noWrap w:val="0"/>
            <w:vAlign w:val="center"/>
          </w:tcPr>
          <w:p w14:paraId="04A33766">
            <w:pPr>
              <w:pStyle w:val="10"/>
              <w:bidi w:val="0"/>
              <w:jc w:val="center"/>
              <w:rPr>
                <w:color w:val="000000"/>
              </w:rPr>
            </w:pPr>
            <w:r>
              <w:rPr>
                <w:color w:val="000000"/>
              </w:rPr>
              <w:t>9</w:t>
            </w:r>
          </w:p>
        </w:tc>
        <w:tc>
          <w:tcPr>
            <w:tcW w:w="74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9840689">
            <w:pPr>
              <w:pStyle w:val="10"/>
              <w:bidi w:val="0"/>
              <w:jc w:val="center"/>
              <w:rPr>
                <w:color w:val="000000"/>
              </w:rPr>
            </w:pPr>
            <w:r>
              <w:rPr>
                <w:color w:val="000000"/>
              </w:rPr>
              <w:t>分水坳</w:t>
            </w:r>
          </w:p>
        </w:tc>
        <w:tc>
          <w:tcPr>
            <w:tcW w:w="23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56890F8">
            <w:pPr>
              <w:pStyle w:val="10"/>
              <w:bidi w:val="0"/>
              <w:jc w:val="center"/>
              <w:rPr>
                <w:color w:val="000000"/>
              </w:rPr>
            </w:pPr>
            <w:r>
              <w:rPr>
                <w:color w:val="000000"/>
              </w:rPr>
              <w:t>7:50   9:30    15:20   16:30</w:t>
            </w:r>
          </w:p>
        </w:tc>
        <w:tc>
          <w:tcPr>
            <w:tcW w:w="5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20871AA">
            <w:pPr>
              <w:pStyle w:val="10"/>
              <w:bidi w:val="0"/>
              <w:jc w:val="center"/>
              <w:rPr>
                <w:color w:val="000000"/>
              </w:rPr>
            </w:pPr>
            <w:r>
              <w:rPr>
                <w:color w:val="000000"/>
              </w:rPr>
              <w:t>4</w:t>
            </w:r>
          </w:p>
        </w:tc>
        <w:tc>
          <w:tcPr>
            <w:tcW w:w="926" w:type="pct"/>
            <w:tcBorders>
              <w:top w:val="single" w:color="000000" w:sz="8" w:space="0"/>
              <w:left w:val="single" w:color="000000" w:sz="8" w:space="0"/>
              <w:bottom w:val="single" w:color="000000" w:sz="8" w:space="0"/>
            </w:tcBorders>
            <w:shd w:val="clear" w:color="auto" w:fill="FFFFFF"/>
            <w:noWrap w:val="0"/>
            <w:vAlign w:val="center"/>
          </w:tcPr>
          <w:p w14:paraId="15C6C497">
            <w:pPr>
              <w:pStyle w:val="10"/>
              <w:bidi w:val="0"/>
              <w:jc w:val="center"/>
              <w:rPr>
                <w:color w:val="000000"/>
              </w:rPr>
            </w:pPr>
            <w:r>
              <w:rPr>
                <w:color w:val="000000"/>
              </w:rPr>
              <w:t>分水坳</w:t>
            </w:r>
          </w:p>
        </w:tc>
      </w:tr>
      <w:tr w14:paraId="16C4EF9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15" w:hRule="atLeast"/>
          <w:jc w:val="center"/>
        </w:trPr>
        <w:tc>
          <w:tcPr>
            <w:tcW w:w="380" w:type="pct"/>
            <w:tcBorders>
              <w:top w:val="single" w:color="000000" w:sz="8" w:space="0"/>
              <w:bottom w:val="single" w:color="000000" w:sz="8" w:space="0"/>
              <w:right w:val="single" w:color="000000" w:sz="8" w:space="0"/>
            </w:tcBorders>
            <w:shd w:val="clear" w:color="auto" w:fill="FFFFFF"/>
            <w:noWrap w:val="0"/>
            <w:vAlign w:val="center"/>
          </w:tcPr>
          <w:p w14:paraId="7A5536D8">
            <w:pPr>
              <w:pStyle w:val="10"/>
              <w:bidi w:val="0"/>
              <w:jc w:val="center"/>
              <w:rPr>
                <w:color w:val="000000"/>
              </w:rPr>
            </w:pPr>
            <w:r>
              <w:rPr>
                <w:color w:val="000000"/>
              </w:rPr>
              <w:t>10</w:t>
            </w:r>
          </w:p>
        </w:tc>
        <w:tc>
          <w:tcPr>
            <w:tcW w:w="74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B229902">
            <w:pPr>
              <w:pStyle w:val="10"/>
              <w:bidi w:val="0"/>
              <w:jc w:val="center"/>
              <w:rPr>
                <w:color w:val="000000"/>
              </w:rPr>
            </w:pPr>
            <w:r>
              <w:rPr>
                <w:color w:val="000000"/>
              </w:rPr>
              <w:t>孔江</w:t>
            </w:r>
          </w:p>
        </w:tc>
        <w:tc>
          <w:tcPr>
            <w:tcW w:w="23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ED7B12A">
            <w:pPr>
              <w:pStyle w:val="10"/>
              <w:bidi w:val="0"/>
              <w:jc w:val="center"/>
              <w:rPr>
                <w:color w:val="000000"/>
              </w:rPr>
            </w:pPr>
            <w:r>
              <w:rPr>
                <w:color w:val="000000"/>
              </w:rPr>
              <w:t>7:00   8:40    15:00</w:t>
            </w:r>
          </w:p>
        </w:tc>
        <w:tc>
          <w:tcPr>
            <w:tcW w:w="5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984A5FF">
            <w:pPr>
              <w:pStyle w:val="10"/>
              <w:bidi w:val="0"/>
              <w:jc w:val="center"/>
              <w:rPr>
                <w:color w:val="000000"/>
              </w:rPr>
            </w:pPr>
            <w:r>
              <w:rPr>
                <w:color w:val="000000"/>
              </w:rPr>
              <w:t>3</w:t>
            </w:r>
          </w:p>
        </w:tc>
        <w:tc>
          <w:tcPr>
            <w:tcW w:w="926" w:type="pct"/>
            <w:tcBorders>
              <w:top w:val="single" w:color="000000" w:sz="8" w:space="0"/>
              <w:left w:val="single" w:color="000000" w:sz="8" w:space="0"/>
              <w:bottom w:val="single" w:color="000000" w:sz="8" w:space="0"/>
            </w:tcBorders>
            <w:shd w:val="clear" w:color="auto" w:fill="FFFFFF"/>
            <w:noWrap w:val="0"/>
            <w:vAlign w:val="center"/>
          </w:tcPr>
          <w:p w14:paraId="6B48A233">
            <w:pPr>
              <w:pStyle w:val="10"/>
              <w:bidi w:val="0"/>
              <w:jc w:val="center"/>
              <w:rPr>
                <w:color w:val="000000"/>
              </w:rPr>
            </w:pPr>
            <w:r>
              <w:rPr>
                <w:color w:val="000000"/>
              </w:rPr>
              <w:t>孔江</w:t>
            </w:r>
          </w:p>
        </w:tc>
      </w:tr>
      <w:tr w14:paraId="2E93898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15" w:hRule="atLeast"/>
          <w:jc w:val="center"/>
        </w:trPr>
        <w:tc>
          <w:tcPr>
            <w:tcW w:w="380" w:type="pct"/>
            <w:tcBorders>
              <w:top w:val="single" w:color="000000" w:sz="8" w:space="0"/>
              <w:bottom w:val="single" w:color="000000" w:sz="8" w:space="0"/>
              <w:right w:val="single" w:color="000000" w:sz="8" w:space="0"/>
            </w:tcBorders>
            <w:shd w:val="clear" w:color="auto" w:fill="FFFFFF"/>
            <w:noWrap w:val="0"/>
            <w:vAlign w:val="center"/>
          </w:tcPr>
          <w:p w14:paraId="01C742C9">
            <w:pPr>
              <w:pStyle w:val="10"/>
              <w:bidi w:val="0"/>
              <w:jc w:val="center"/>
              <w:rPr>
                <w:color w:val="000000"/>
              </w:rPr>
            </w:pPr>
            <w:r>
              <w:rPr>
                <w:color w:val="000000"/>
              </w:rPr>
              <w:t>11</w:t>
            </w:r>
          </w:p>
        </w:tc>
        <w:tc>
          <w:tcPr>
            <w:tcW w:w="74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A4BE40F">
            <w:pPr>
              <w:pStyle w:val="10"/>
              <w:bidi w:val="0"/>
              <w:jc w:val="center"/>
              <w:rPr>
                <w:color w:val="000000"/>
              </w:rPr>
            </w:pPr>
            <w:r>
              <w:rPr>
                <w:color w:val="000000"/>
              </w:rPr>
              <w:t>坪田坳</w:t>
            </w:r>
          </w:p>
        </w:tc>
        <w:tc>
          <w:tcPr>
            <w:tcW w:w="23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736AC98">
            <w:pPr>
              <w:pStyle w:val="10"/>
              <w:bidi w:val="0"/>
              <w:jc w:val="center"/>
              <w:rPr>
                <w:color w:val="000000"/>
              </w:rPr>
            </w:pPr>
            <w:r>
              <w:rPr>
                <w:color w:val="000000"/>
              </w:rPr>
              <w:t>7:10   14:35</w:t>
            </w:r>
          </w:p>
        </w:tc>
        <w:tc>
          <w:tcPr>
            <w:tcW w:w="5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6ACA72A">
            <w:pPr>
              <w:pStyle w:val="10"/>
              <w:bidi w:val="0"/>
              <w:jc w:val="center"/>
              <w:rPr>
                <w:color w:val="000000"/>
              </w:rPr>
            </w:pPr>
            <w:r>
              <w:rPr>
                <w:color w:val="000000"/>
              </w:rPr>
              <w:t>2</w:t>
            </w:r>
          </w:p>
        </w:tc>
        <w:tc>
          <w:tcPr>
            <w:tcW w:w="926" w:type="pct"/>
            <w:tcBorders>
              <w:top w:val="single" w:color="000000" w:sz="8" w:space="0"/>
              <w:left w:val="single" w:color="000000" w:sz="8" w:space="0"/>
              <w:bottom w:val="single" w:color="000000" w:sz="8" w:space="0"/>
            </w:tcBorders>
            <w:shd w:val="clear" w:color="auto" w:fill="FFFFFF"/>
            <w:noWrap w:val="0"/>
            <w:vAlign w:val="center"/>
          </w:tcPr>
          <w:p w14:paraId="6A123973">
            <w:pPr>
              <w:pStyle w:val="10"/>
              <w:bidi w:val="0"/>
              <w:jc w:val="center"/>
              <w:rPr>
                <w:color w:val="000000"/>
              </w:rPr>
            </w:pPr>
            <w:r>
              <w:rPr>
                <w:color w:val="000000"/>
              </w:rPr>
              <w:t>坪田坳</w:t>
            </w:r>
          </w:p>
        </w:tc>
      </w:tr>
      <w:tr w14:paraId="16DE1A0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15" w:hRule="atLeast"/>
          <w:jc w:val="center"/>
        </w:trPr>
        <w:tc>
          <w:tcPr>
            <w:tcW w:w="380" w:type="pct"/>
            <w:tcBorders>
              <w:top w:val="single" w:color="000000" w:sz="8" w:space="0"/>
              <w:bottom w:val="single" w:color="000000" w:sz="8" w:space="0"/>
              <w:right w:val="single" w:color="000000" w:sz="8" w:space="0"/>
            </w:tcBorders>
            <w:shd w:val="clear" w:color="auto" w:fill="FFFFFF"/>
            <w:noWrap w:val="0"/>
            <w:vAlign w:val="center"/>
          </w:tcPr>
          <w:p w14:paraId="6D3EA40A">
            <w:pPr>
              <w:pStyle w:val="10"/>
              <w:bidi w:val="0"/>
              <w:jc w:val="center"/>
              <w:rPr>
                <w:color w:val="000000"/>
              </w:rPr>
            </w:pPr>
            <w:r>
              <w:rPr>
                <w:color w:val="000000"/>
              </w:rPr>
              <w:t>12</w:t>
            </w:r>
          </w:p>
        </w:tc>
        <w:tc>
          <w:tcPr>
            <w:tcW w:w="74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6DB0C75">
            <w:pPr>
              <w:pStyle w:val="10"/>
              <w:bidi w:val="0"/>
              <w:jc w:val="center"/>
              <w:rPr>
                <w:color w:val="000000"/>
              </w:rPr>
            </w:pPr>
            <w:r>
              <w:rPr>
                <w:color w:val="000000"/>
              </w:rPr>
              <w:t>上龙</w:t>
            </w:r>
          </w:p>
        </w:tc>
        <w:tc>
          <w:tcPr>
            <w:tcW w:w="23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68DC7A5">
            <w:pPr>
              <w:pStyle w:val="10"/>
              <w:bidi w:val="0"/>
              <w:jc w:val="center"/>
              <w:rPr>
                <w:color w:val="000000"/>
              </w:rPr>
            </w:pPr>
            <w:r>
              <w:rPr>
                <w:color w:val="000000"/>
              </w:rPr>
              <w:t>8：30      10：30    14：30     16：30</w:t>
            </w:r>
          </w:p>
        </w:tc>
        <w:tc>
          <w:tcPr>
            <w:tcW w:w="5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C896B10">
            <w:pPr>
              <w:pStyle w:val="10"/>
              <w:bidi w:val="0"/>
              <w:jc w:val="center"/>
              <w:rPr>
                <w:color w:val="000000"/>
              </w:rPr>
            </w:pPr>
            <w:r>
              <w:rPr>
                <w:color w:val="000000"/>
              </w:rPr>
              <w:t>4</w:t>
            </w:r>
          </w:p>
        </w:tc>
        <w:tc>
          <w:tcPr>
            <w:tcW w:w="926" w:type="pct"/>
            <w:tcBorders>
              <w:top w:val="single" w:color="000000" w:sz="8" w:space="0"/>
              <w:left w:val="single" w:color="000000" w:sz="8" w:space="0"/>
              <w:bottom w:val="single" w:color="000000" w:sz="8" w:space="0"/>
            </w:tcBorders>
            <w:shd w:val="clear" w:color="auto" w:fill="FFFFFF"/>
            <w:noWrap w:val="0"/>
            <w:vAlign w:val="center"/>
          </w:tcPr>
          <w:p w14:paraId="30E93A29">
            <w:pPr>
              <w:pStyle w:val="10"/>
              <w:bidi w:val="0"/>
              <w:jc w:val="center"/>
              <w:rPr>
                <w:color w:val="000000"/>
              </w:rPr>
            </w:pPr>
            <w:r>
              <w:rPr>
                <w:color w:val="000000"/>
              </w:rPr>
              <w:t>上龙</w:t>
            </w:r>
          </w:p>
        </w:tc>
      </w:tr>
      <w:tr w14:paraId="3997EAC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380" w:type="pct"/>
            <w:tcBorders>
              <w:top w:val="single" w:color="000000" w:sz="8" w:space="0"/>
              <w:bottom w:val="single" w:color="000000" w:sz="8" w:space="0"/>
              <w:right w:val="single" w:color="000000" w:sz="8" w:space="0"/>
            </w:tcBorders>
            <w:shd w:val="clear" w:color="auto" w:fill="FFFFFF"/>
            <w:noWrap w:val="0"/>
            <w:vAlign w:val="center"/>
          </w:tcPr>
          <w:p w14:paraId="1327E76C">
            <w:pPr>
              <w:pStyle w:val="10"/>
              <w:bidi w:val="0"/>
              <w:jc w:val="center"/>
              <w:rPr>
                <w:color w:val="000000"/>
              </w:rPr>
            </w:pPr>
            <w:r>
              <w:rPr>
                <w:color w:val="000000"/>
              </w:rPr>
              <w:t>13</w:t>
            </w:r>
          </w:p>
        </w:tc>
        <w:tc>
          <w:tcPr>
            <w:tcW w:w="74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6834833">
            <w:pPr>
              <w:pStyle w:val="10"/>
              <w:bidi w:val="0"/>
              <w:jc w:val="center"/>
              <w:rPr>
                <w:color w:val="000000"/>
              </w:rPr>
            </w:pPr>
            <w:r>
              <w:rPr>
                <w:color w:val="000000"/>
              </w:rPr>
              <w:t>苍石</w:t>
            </w:r>
          </w:p>
        </w:tc>
        <w:tc>
          <w:tcPr>
            <w:tcW w:w="23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47AD505">
            <w:pPr>
              <w:pStyle w:val="10"/>
              <w:bidi w:val="0"/>
              <w:jc w:val="center"/>
              <w:rPr>
                <w:color w:val="000000"/>
              </w:rPr>
            </w:pPr>
            <w:r>
              <w:rPr>
                <w:color w:val="000000"/>
              </w:rPr>
              <w:t>11：00    15：40</w:t>
            </w:r>
          </w:p>
        </w:tc>
        <w:tc>
          <w:tcPr>
            <w:tcW w:w="5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FC0F71F">
            <w:pPr>
              <w:pStyle w:val="10"/>
              <w:bidi w:val="0"/>
              <w:jc w:val="center"/>
              <w:rPr>
                <w:color w:val="000000"/>
              </w:rPr>
            </w:pPr>
            <w:r>
              <w:rPr>
                <w:color w:val="000000"/>
              </w:rPr>
              <w:t>2</w:t>
            </w:r>
          </w:p>
        </w:tc>
        <w:tc>
          <w:tcPr>
            <w:tcW w:w="926" w:type="pct"/>
            <w:tcBorders>
              <w:top w:val="single" w:color="000000" w:sz="8" w:space="0"/>
              <w:left w:val="single" w:color="000000" w:sz="8" w:space="0"/>
              <w:bottom w:val="single" w:color="000000" w:sz="8" w:space="0"/>
            </w:tcBorders>
            <w:shd w:val="clear" w:color="auto" w:fill="FFFFFF"/>
            <w:noWrap w:val="0"/>
            <w:vAlign w:val="center"/>
          </w:tcPr>
          <w:p w14:paraId="2999ABED">
            <w:pPr>
              <w:pStyle w:val="10"/>
              <w:bidi w:val="0"/>
              <w:jc w:val="center"/>
              <w:rPr>
                <w:color w:val="000000"/>
              </w:rPr>
            </w:pPr>
            <w:r>
              <w:rPr>
                <w:color w:val="000000"/>
              </w:rPr>
              <w:t>苍石</w:t>
            </w:r>
          </w:p>
        </w:tc>
      </w:tr>
      <w:tr w14:paraId="407E5CC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15" w:hRule="atLeast"/>
          <w:jc w:val="center"/>
        </w:trPr>
        <w:tc>
          <w:tcPr>
            <w:tcW w:w="380" w:type="pct"/>
            <w:tcBorders>
              <w:top w:val="single" w:color="000000" w:sz="8" w:space="0"/>
              <w:bottom w:val="single" w:color="000000" w:sz="8" w:space="0"/>
              <w:right w:val="single" w:color="000000" w:sz="8" w:space="0"/>
            </w:tcBorders>
            <w:shd w:val="clear" w:color="auto" w:fill="FFFFFF"/>
            <w:noWrap w:val="0"/>
            <w:vAlign w:val="center"/>
          </w:tcPr>
          <w:p w14:paraId="3C3742BF">
            <w:pPr>
              <w:pStyle w:val="10"/>
              <w:bidi w:val="0"/>
              <w:jc w:val="center"/>
              <w:rPr>
                <w:color w:val="000000"/>
              </w:rPr>
            </w:pPr>
            <w:r>
              <w:rPr>
                <w:color w:val="000000"/>
              </w:rPr>
              <w:t>14</w:t>
            </w:r>
          </w:p>
        </w:tc>
        <w:tc>
          <w:tcPr>
            <w:tcW w:w="74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CA9A0CB">
            <w:pPr>
              <w:pStyle w:val="10"/>
              <w:bidi w:val="0"/>
              <w:jc w:val="center"/>
              <w:rPr>
                <w:color w:val="000000"/>
              </w:rPr>
            </w:pPr>
            <w:r>
              <w:rPr>
                <w:color w:val="000000"/>
              </w:rPr>
              <w:t>百顺</w:t>
            </w:r>
          </w:p>
        </w:tc>
        <w:tc>
          <w:tcPr>
            <w:tcW w:w="23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62FDE63">
            <w:pPr>
              <w:pStyle w:val="10"/>
              <w:bidi w:val="0"/>
              <w:jc w:val="center"/>
              <w:rPr>
                <w:color w:val="000000"/>
              </w:rPr>
            </w:pPr>
            <w:r>
              <w:rPr>
                <w:color w:val="000000"/>
              </w:rPr>
              <w:t>7：30      9：30    13：30   15：40</w:t>
            </w:r>
          </w:p>
        </w:tc>
        <w:tc>
          <w:tcPr>
            <w:tcW w:w="5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7F6E709">
            <w:pPr>
              <w:pStyle w:val="10"/>
              <w:bidi w:val="0"/>
              <w:jc w:val="center"/>
              <w:rPr>
                <w:color w:val="000000"/>
              </w:rPr>
            </w:pPr>
            <w:r>
              <w:rPr>
                <w:color w:val="000000"/>
              </w:rPr>
              <w:t>4</w:t>
            </w:r>
          </w:p>
        </w:tc>
        <w:tc>
          <w:tcPr>
            <w:tcW w:w="926" w:type="pct"/>
            <w:tcBorders>
              <w:top w:val="single" w:color="000000" w:sz="8" w:space="0"/>
              <w:left w:val="single" w:color="000000" w:sz="8" w:space="0"/>
              <w:bottom w:val="single" w:color="000000" w:sz="8" w:space="0"/>
            </w:tcBorders>
            <w:shd w:val="clear" w:color="auto" w:fill="FFFFFF"/>
            <w:noWrap w:val="0"/>
            <w:vAlign w:val="center"/>
          </w:tcPr>
          <w:p w14:paraId="7CEFF47B">
            <w:pPr>
              <w:pStyle w:val="10"/>
              <w:bidi w:val="0"/>
              <w:jc w:val="center"/>
              <w:rPr>
                <w:color w:val="000000"/>
              </w:rPr>
            </w:pPr>
            <w:r>
              <w:rPr>
                <w:color w:val="000000"/>
              </w:rPr>
              <w:t>百顺</w:t>
            </w:r>
          </w:p>
        </w:tc>
      </w:tr>
      <w:tr w14:paraId="6AA4594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15" w:hRule="atLeast"/>
          <w:jc w:val="center"/>
        </w:trPr>
        <w:tc>
          <w:tcPr>
            <w:tcW w:w="5000" w:type="pct"/>
            <w:gridSpan w:val="5"/>
            <w:tcBorders>
              <w:top w:val="single" w:color="000000" w:sz="8" w:space="0"/>
              <w:bottom w:val="single" w:color="000000" w:sz="8" w:space="0"/>
            </w:tcBorders>
            <w:shd w:val="clear" w:color="auto" w:fill="FFFFFF"/>
            <w:noWrap w:val="0"/>
            <w:vAlign w:val="center"/>
          </w:tcPr>
          <w:p w14:paraId="7F1AE8C1">
            <w:pPr>
              <w:pStyle w:val="10"/>
              <w:bidi w:val="0"/>
              <w:jc w:val="center"/>
              <w:rPr>
                <w:color w:val="000000"/>
              </w:rPr>
            </w:pPr>
            <w:r>
              <w:rPr>
                <w:color w:val="000000"/>
              </w:rPr>
              <w:t>跨省班线</w:t>
            </w:r>
          </w:p>
        </w:tc>
      </w:tr>
      <w:tr w14:paraId="4DF5D58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380" w:type="pct"/>
            <w:tcBorders>
              <w:top w:val="single" w:color="000000" w:sz="8" w:space="0"/>
              <w:bottom w:val="single" w:color="000000" w:sz="8" w:space="0"/>
              <w:right w:val="single" w:color="000000" w:sz="8" w:space="0"/>
            </w:tcBorders>
            <w:shd w:val="clear" w:color="auto" w:fill="FFFFFF"/>
            <w:noWrap w:val="0"/>
            <w:vAlign w:val="center"/>
          </w:tcPr>
          <w:p w14:paraId="5497566B">
            <w:pPr>
              <w:pStyle w:val="10"/>
              <w:bidi w:val="0"/>
              <w:jc w:val="center"/>
              <w:rPr>
                <w:color w:val="000000"/>
              </w:rPr>
            </w:pPr>
            <w:r>
              <w:rPr>
                <w:color w:val="000000"/>
              </w:rPr>
              <w:t>1</w:t>
            </w:r>
          </w:p>
        </w:tc>
        <w:tc>
          <w:tcPr>
            <w:tcW w:w="74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3D8B7AA">
            <w:pPr>
              <w:pStyle w:val="10"/>
              <w:bidi w:val="0"/>
              <w:jc w:val="center"/>
              <w:rPr>
                <w:color w:val="000000"/>
              </w:rPr>
            </w:pPr>
            <w:r>
              <w:rPr>
                <w:color w:val="000000"/>
              </w:rPr>
              <w:t>江西大余</w:t>
            </w:r>
          </w:p>
        </w:tc>
        <w:tc>
          <w:tcPr>
            <w:tcW w:w="23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F19271C">
            <w:pPr>
              <w:pStyle w:val="10"/>
              <w:bidi w:val="0"/>
              <w:jc w:val="center"/>
              <w:rPr>
                <w:color w:val="000000"/>
              </w:rPr>
            </w:pPr>
            <w:r>
              <w:rPr>
                <w:color w:val="000000"/>
              </w:rPr>
              <w:t>6：30--17：30   约每25分钟一趟</w:t>
            </w:r>
          </w:p>
        </w:tc>
        <w:tc>
          <w:tcPr>
            <w:tcW w:w="5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6D1037A">
            <w:pPr>
              <w:pStyle w:val="10"/>
              <w:bidi w:val="0"/>
              <w:jc w:val="center"/>
              <w:rPr>
                <w:color w:val="000000"/>
              </w:rPr>
            </w:pPr>
            <w:r>
              <w:rPr>
                <w:color w:val="000000"/>
              </w:rPr>
              <w:t>26</w:t>
            </w:r>
          </w:p>
        </w:tc>
        <w:tc>
          <w:tcPr>
            <w:tcW w:w="926" w:type="pct"/>
            <w:tcBorders>
              <w:top w:val="single" w:color="000000" w:sz="8" w:space="0"/>
              <w:left w:val="single" w:color="000000" w:sz="8" w:space="0"/>
              <w:bottom w:val="single" w:color="000000" w:sz="8" w:space="0"/>
            </w:tcBorders>
            <w:shd w:val="clear" w:color="auto" w:fill="FFFFFF"/>
            <w:noWrap w:val="0"/>
            <w:vAlign w:val="center"/>
          </w:tcPr>
          <w:p w14:paraId="436E5EFB">
            <w:pPr>
              <w:pStyle w:val="10"/>
              <w:bidi w:val="0"/>
              <w:jc w:val="center"/>
              <w:rPr>
                <w:color w:val="000000"/>
              </w:rPr>
            </w:pPr>
            <w:r>
              <w:rPr>
                <w:color w:val="000000"/>
              </w:rPr>
              <w:t>大余</w:t>
            </w:r>
          </w:p>
        </w:tc>
      </w:tr>
      <w:tr w14:paraId="4ADA6C9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15" w:hRule="atLeast"/>
          <w:jc w:val="center"/>
        </w:trPr>
        <w:tc>
          <w:tcPr>
            <w:tcW w:w="380" w:type="pct"/>
            <w:tcBorders>
              <w:top w:val="single" w:color="000000" w:sz="8" w:space="0"/>
              <w:bottom w:val="single" w:color="000000" w:sz="8" w:space="0"/>
              <w:right w:val="single" w:color="000000" w:sz="8" w:space="0"/>
            </w:tcBorders>
            <w:shd w:val="clear" w:color="auto" w:fill="FFFFFF"/>
            <w:noWrap w:val="0"/>
            <w:vAlign w:val="center"/>
          </w:tcPr>
          <w:p w14:paraId="7BA9234B">
            <w:pPr>
              <w:pStyle w:val="10"/>
              <w:bidi w:val="0"/>
              <w:jc w:val="center"/>
              <w:rPr>
                <w:color w:val="000000"/>
              </w:rPr>
            </w:pPr>
            <w:r>
              <w:rPr>
                <w:color w:val="000000"/>
              </w:rPr>
              <w:t>2</w:t>
            </w:r>
          </w:p>
        </w:tc>
        <w:tc>
          <w:tcPr>
            <w:tcW w:w="74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8D986B6">
            <w:pPr>
              <w:pStyle w:val="10"/>
              <w:bidi w:val="0"/>
              <w:jc w:val="center"/>
              <w:rPr>
                <w:color w:val="000000"/>
              </w:rPr>
            </w:pPr>
            <w:r>
              <w:rPr>
                <w:color w:val="000000"/>
              </w:rPr>
              <w:t>江西陂头</w:t>
            </w:r>
          </w:p>
        </w:tc>
        <w:tc>
          <w:tcPr>
            <w:tcW w:w="23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2746027">
            <w:pPr>
              <w:pStyle w:val="10"/>
              <w:bidi w:val="0"/>
              <w:jc w:val="center"/>
              <w:rPr>
                <w:color w:val="000000"/>
              </w:rPr>
            </w:pPr>
            <w:r>
              <w:rPr>
                <w:color w:val="000000"/>
              </w:rPr>
              <w:t>8:05   14:30</w:t>
            </w:r>
          </w:p>
        </w:tc>
        <w:tc>
          <w:tcPr>
            <w:tcW w:w="5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DF10853">
            <w:pPr>
              <w:pStyle w:val="10"/>
              <w:bidi w:val="0"/>
              <w:jc w:val="center"/>
              <w:rPr>
                <w:color w:val="000000"/>
              </w:rPr>
            </w:pPr>
            <w:r>
              <w:rPr>
                <w:color w:val="000000"/>
              </w:rPr>
              <w:t>2</w:t>
            </w:r>
          </w:p>
        </w:tc>
        <w:tc>
          <w:tcPr>
            <w:tcW w:w="926" w:type="pct"/>
            <w:tcBorders>
              <w:top w:val="single" w:color="000000" w:sz="8" w:space="0"/>
              <w:left w:val="single" w:color="000000" w:sz="8" w:space="0"/>
              <w:bottom w:val="single" w:color="000000" w:sz="8" w:space="0"/>
            </w:tcBorders>
            <w:shd w:val="clear" w:color="auto" w:fill="FFFFFF"/>
            <w:noWrap w:val="0"/>
            <w:vAlign w:val="center"/>
          </w:tcPr>
          <w:p w14:paraId="7F5BE76C">
            <w:pPr>
              <w:pStyle w:val="10"/>
              <w:bidi w:val="0"/>
              <w:jc w:val="center"/>
              <w:rPr>
                <w:color w:val="000000"/>
              </w:rPr>
            </w:pPr>
            <w:r>
              <w:rPr>
                <w:color w:val="000000"/>
              </w:rPr>
              <w:t>陂头</w:t>
            </w:r>
          </w:p>
        </w:tc>
      </w:tr>
    </w:tbl>
    <w:p w14:paraId="13FDE7F1">
      <w:pPr>
        <w:pStyle w:val="10"/>
        <w:bidi w:val="0"/>
        <w:jc w:val="center"/>
        <w:rPr>
          <w:rFonts w:hint="eastAsia"/>
          <w:b/>
          <w:bCs/>
        </w:rPr>
      </w:pPr>
      <w:r>
        <w:rPr>
          <w:rFonts w:hint="eastAsia"/>
          <w:b/>
          <w:bCs/>
        </w:rPr>
        <w:t>南雄市农村公交车运行线路表</w:t>
      </w:r>
    </w:p>
    <w:p w14:paraId="17353771">
      <w:pPr>
        <w:bidi w:val="0"/>
        <w:rPr>
          <w:rFonts w:hint="eastAsia"/>
        </w:rPr>
      </w:pPr>
      <w:r>
        <w:rPr>
          <w:rFonts w:hint="eastAsia"/>
        </w:rPr>
        <w:t>表14</w:t>
      </w:r>
    </w:p>
    <w:tbl>
      <w:tblPr>
        <w:tblStyle w:val="7"/>
        <w:tblW w:w="499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07"/>
        <w:gridCol w:w="1497"/>
        <w:gridCol w:w="1342"/>
        <w:gridCol w:w="2132"/>
        <w:gridCol w:w="2088"/>
        <w:gridCol w:w="1280"/>
      </w:tblGrid>
      <w:tr w14:paraId="6C7B3E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8" w:type="pct"/>
            <w:tcBorders>
              <w:top w:val="single" w:color="000000" w:sz="8" w:space="0"/>
              <w:left w:val="nil"/>
              <w:bottom w:val="single" w:color="000000" w:sz="8" w:space="0"/>
              <w:right w:val="single" w:color="000000" w:sz="8" w:space="0"/>
            </w:tcBorders>
            <w:shd w:val="clear" w:color="auto" w:fill="FFFFFF"/>
            <w:noWrap w:val="0"/>
            <w:vAlign w:val="center"/>
          </w:tcPr>
          <w:p w14:paraId="79B4CD8E">
            <w:pPr>
              <w:pStyle w:val="10"/>
              <w:bidi w:val="0"/>
              <w:jc w:val="center"/>
              <w:rPr>
                <w:b/>
                <w:bCs/>
                <w:color w:val="000000"/>
              </w:rPr>
            </w:pPr>
            <w:r>
              <w:rPr>
                <w:b/>
                <w:bCs/>
                <w:color w:val="000000"/>
              </w:rPr>
              <w:t>起点站</w:t>
            </w:r>
          </w:p>
        </w:tc>
        <w:tc>
          <w:tcPr>
            <w:tcW w:w="7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F11D8D7">
            <w:pPr>
              <w:pStyle w:val="10"/>
              <w:bidi w:val="0"/>
              <w:jc w:val="center"/>
              <w:rPr>
                <w:b/>
                <w:bCs/>
                <w:color w:val="000000"/>
              </w:rPr>
            </w:pPr>
            <w:r>
              <w:rPr>
                <w:b/>
                <w:bCs/>
                <w:color w:val="000000"/>
              </w:rPr>
              <w:t>终点站</w:t>
            </w:r>
          </w:p>
        </w:tc>
        <w:tc>
          <w:tcPr>
            <w:tcW w:w="67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FF53348">
            <w:pPr>
              <w:pStyle w:val="10"/>
              <w:bidi w:val="0"/>
              <w:jc w:val="center"/>
              <w:rPr>
                <w:b/>
                <w:bCs/>
                <w:color w:val="000000"/>
              </w:rPr>
            </w:pPr>
            <w:r>
              <w:rPr>
                <w:b/>
                <w:bCs/>
                <w:color w:val="000000"/>
              </w:rPr>
              <w:t>路程(公里)</w:t>
            </w:r>
          </w:p>
        </w:tc>
        <w:tc>
          <w:tcPr>
            <w:tcW w:w="107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C97572D">
            <w:pPr>
              <w:pStyle w:val="10"/>
              <w:bidi w:val="0"/>
              <w:jc w:val="center"/>
              <w:rPr>
                <w:b/>
                <w:bCs/>
                <w:color w:val="000000"/>
              </w:rPr>
            </w:pPr>
            <w:r>
              <w:rPr>
                <w:b/>
                <w:bCs/>
                <w:color w:val="000000"/>
              </w:rPr>
              <w:t>途经</w:t>
            </w:r>
          </w:p>
        </w:tc>
        <w:tc>
          <w:tcPr>
            <w:tcW w:w="104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F5A37BA">
            <w:pPr>
              <w:pStyle w:val="10"/>
              <w:bidi w:val="0"/>
              <w:jc w:val="center"/>
              <w:rPr>
                <w:b/>
                <w:bCs/>
                <w:color w:val="000000"/>
              </w:rPr>
            </w:pPr>
            <w:r>
              <w:rPr>
                <w:b/>
                <w:bCs/>
                <w:color w:val="000000"/>
              </w:rPr>
              <w:t>班次</w:t>
            </w:r>
          </w:p>
        </w:tc>
        <w:tc>
          <w:tcPr>
            <w:tcW w:w="643" w:type="pct"/>
            <w:tcBorders>
              <w:top w:val="single" w:color="000000" w:sz="8" w:space="0"/>
              <w:left w:val="single" w:color="000000" w:sz="8" w:space="0"/>
              <w:bottom w:val="single" w:color="000000" w:sz="8" w:space="0"/>
              <w:right w:val="nil"/>
            </w:tcBorders>
            <w:shd w:val="clear" w:color="auto" w:fill="FFFFFF"/>
            <w:noWrap w:val="0"/>
            <w:vAlign w:val="center"/>
          </w:tcPr>
          <w:p w14:paraId="1CA34B49">
            <w:pPr>
              <w:pStyle w:val="10"/>
              <w:bidi w:val="0"/>
              <w:jc w:val="center"/>
              <w:rPr>
                <w:b/>
                <w:bCs/>
                <w:color w:val="000000"/>
              </w:rPr>
            </w:pPr>
            <w:r>
              <w:rPr>
                <w:b/>
                <w:bCs/>
                <w:color w:val="000000"/>
              </w:rPr>
              <w:t>票价（元）</w:t>
            </w:r>
          </w:p>
        </w:tc>
      </w:tr>
      <w:tr w14:paraId="4E6D12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8" w:type="pct"/>
            <w:tcBorders>
              <w:top w:val="single" w:color="000000" w:sz="8" w:space="0"/>
              <w:left w:val="nil"/>
              <w:bottom w:val="single" w:color="000000" w:sz="8" w:space="0"/>
              <w:right w:val="single" w:color="000000" w:sz="8" w:space="0"/>
            </w:tcBorders>
            <w:shd w:val="clear" w:color="auto" w:fill="FFFFFF"/>
            <w:noWrap w:val="0"/>
            <w:vAlign w:val="center"/>
          </w:tcPr>
          <w:p w14:paraId="68DB7A55">
            <w:pPr>
              <w:pStyle w:val="10"/>
              <w:bidi w:val="0"/>
              <w:jc w:val="center"/>
              <w:rPr>
                <w:color w:val="000000"/>
              </w:rPr>
            </w:pPr>
            <w:r>
              <w:rPr>
                <w:color w:val="000000"/>
              </w:rPr>
              <w:t>南雄汽车站</w:t>
            </w:r>
          </w:p>
        </w:tc>
        <w:tc>
          <w:tcPr>
            <w:tcW w:w="7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E251D68">
            <w:pPr>
              <w:pStyle w:val="10"/>
              <w:bidi w:val="0"/>
              <w:jc w:val="center"/>
              <w:rPr>
                <w:color w:val="000000"/>
              </w:rPr>
            </w:pPr>
            <w:r>
              <w:rPr>
                <w:color w:val="000000"/>
              </w:rPr>
              <w:t>百顺</w:t>
            </w:r>
          </w:p>
        </w:tc>
        <w:tc>
          <w:tcPr>
            <w:tcW w:w="67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CBD4940">
            <w:pPr>
              <w:pStyle w:val="10"/>
              <w:bidi w:val="0"/>
              <w:jc w:val="center"/>
              <w:rPr>
                <w:color w:val="000000"/>
              </w:rPr>
            </w:pPr>
            <w:r>
              <w:rPr>
                <w:color w:val="000000"/>
              </w:rPr>
              <w:t>58</w:t>
            </w:r>
          </w:p>
        </w:tc>
        <w:tc>
          <w:tcPr>
            <w:tcW w:w="107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A635E03">
            <w:pPr>
              <w:pStyle w:val="10"/>
              <w:bidi w:val="0"/>
              <w:jc w:val="center"/>
              <w:rPr>
                <w:color w:val="000000"/>
              </w:rPr>
            </w:pPr>
            <w:r>
              <w:rPr>
                <w:color w:val="000000"/>
              </w:rPr>
              <w:t>澜河镇、帽子峰镇</w:t>
            </w:r>
          </w:p>
        </w:tc>
        <w:tc>
          <w:tcPr>
            <w:tcW w:w="104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316B91E">
            <w:pPr>
              <w:pStyle w:val="10"/>
              <w:bidi w:val="0"/>
              <w:jc w:val="center"/>
              <w:rPr>
                <w:color w:val="000000"/>
              </w:rPr>
            </w:pPr>
            <w:r>
              <w:rPr>
                <w:color w:val="000000"/>
              </w:rPr>
              <w:t>每天2班</w:t>
            </w:r>
          </w:p>
        </w:tc>
        <w:tc>
          <w:tcPr>
            <w:tcW w:w="643" w:type="pct"/>
            <w:tcBorders>
              <w:top w:val="single" w:color="000000" w:sz="8" w:space="0"/>
              <w:left w:val="single" w:color="000000" w:sz="8" w:space="0"/>
              <w:bottom w:val="single" w:color="000000" w:sz="8" w:space="0"/>
              <w:right w:val="nil"/>
            </w:tcBorders>
            <w:shd w:val="clear" w:color="auto" w:fill="FFFFFF"/>
            <w:noWrap w:val="0"/>
            <w:vAlign w:val="center"/>
          </w:tcPr>
          <w:p w14:paraId="45A41D4B">
            <w:pPr>
              <w:pStyle w:val="10"/>
              <w:bidi w:val="0"/>
              <w:jc w:val="center"/>
              <w:rPr>
                <w:color w:val="000000"/>
              </w:rPr>
            </w:pPr>
            <w:r>
              <w:rPr>
                <w:color w:val="000000"/>
              </w:rPr>
              <w:t>13</w:t>
            </w:r>
          </w:p>
        </w:tc>
      </w:tr>
      <w:tr w14:paraId="0A39FF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8" w:type="pct"/>
            <w:tcBorders>
              <w:top w:val="single" w:color="000000" w:sz="8" w:space="0"/>
              <w:left w:val="nil"/>
              <w:bottom w:val="single" w:color="000000" w:sz="8" w:space="0"/>
              <w:right w:val="single" w:color="000000" w:sz="8" w:space="0"/>
            </w:tcBorders>
            <w:shd w:val="clear" w:color="auto" w:fill="FFFFFF"/>
            <w:noWrap w:val="0"/>
            <w:vAlign w:val="center"/>
          </w:tcPr>
          <w:p w14:paraId="45564DC6">
            <w:pPr>
              <w:pStyle w:val="10"/>
              <w:bidi w:val="0"/>
              <w:jc w:val="center"/>
              <w:rPr>
                <w:color w:val="000000"/>
              </w:rPr>
            </w:pPr>
            <w:r>
              <w:rPr>
                <w:color w:val="000000"/>
              </w:rPr>
              <w:t>南雄汽车站</w:t>
            </w:r>
          </w:p>
        </w:tc>
        <w:tc>
          <w:tcPr>
            <w:tcW w:w="7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3CDC48E">
            <w:pPr>
              <w:pStyle w:val="10"/>
              <w:bidi w:val="0"/>
              <w:jc w:val="center"/>
              <w:rPr>
                <w:color w:val="000000"/>
              </w:rPr>
            </w:pPr>
            <w:r>
              <w:rPr>
                <w:color w:val="000000"/>
              </w:rPr>
              <w:t>界址</w:t>
            </w:r>
          </w:p>
        </w:tc>
        <w:tc>
          <w:tcPr>
            <w:tcW w:w="67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52CDB26">
            <w:pPr>
              <w:pStyle w:val="10"/>
              <w:bidi w:val="0"/>
              <w:jc w:val="center"/>
              <w:rPr>
                <w:color w:val="000000"/>
              </w:rPr>
            </w:pPr>
            <w:r>
              <w:rPr>
                <w:color w:val="000000"/>
              </w:rPr>
              <w:t>58</w:t>
            </w:r>
          </w:p>
        </w:tc>
        <w:tc>
          <w:tcPr>
            <w:tcW w:w="107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D1EED31">
            <w:pPr>
              <w:pStyle w:val="10"/>
              <w:bidi w:val="0"/>
              <w:jc w:val="center"/>
              <w:rPr>
                <w:color w:val="000000"/>
              </w:rPr>
            </w:pPr>
            <w:r>
              <w:rPr>
                <w:color w:val="000000"/>
              </w:rPr>
              <w:t>黄坑镇、新龙</w:t>
            </w:r>
          </w:p>
        </w:tc>
        <w:tc>
          <w:tcPr>
            <w:tcW w:w="104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D865734">
            <w:pPr>
              <w:pStyle w:val="10"/>
              <w:bidi w:val="0"/>
              <w:jc w:val="center"/>
              <w:rPr>
                <w:color w:val="000000"/>
              </w:rPr>
            </w:pPr>
            <w:r>
              <w:rPr>
                <w:color w:val="000000"/>
              </w:rPr>
              <w:t>每天5班</w:t>
            </w:r>
          </w:p>
        </w:tc>
        <w:tc>
          <w:tcPr>
            <w:tcW w:w="643" w:type="pct"/>
            <w:tcBorders>
              <w:top w:val="single" w:color="000000" w:sz="8" w:space="0"/>
              <w:left w:val="single" w:color="000000" w:sz="8" w:space="0"/>
              <w:bottom w:val="single" w:color="000000" w:sz="8" w:space="0"/>
              <w:right w:val="nil"/>
            </w:tcBorders>
            <w:shd w:val="clear" w:color="auto" w:fill="FFFFFF"/>
            <w:noWrap w:val="0"/>
            <w:vAlign w:val="center"/>
          </w:tcPr>
          <w:p w14:paraId="6DE5D59B">
            <w:pPr>
              <w:pStyle w:val="10"/>
              <w:bidi w:val="0"/>
              <w:jc w:val="center"/>
              <w:rPr>
                <w:color w:val="000000"/>
              </w:rPr>
            </w:pPr>
            <w:r>
              <w:rPr>
                <w:color w:val="000000"/>
              </w:rPr>
              <w:t>13</w:t>
            </w:r>
          </w:p>
        </w:tc>
      </w:tr>
      <w:tr w14:paraId="687279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8" w:type="pct"/>
            <w:tcBorders>
              <w:top w:val="single" w:color="000000" w:sz="8" w:space="0"/>
              <w:left w:val="nil"/>
              <w:bottom w:val="single" w:color="000000" w:sz="8" w:space="0"/>
              <w:right w:val="single" w:color="000000" w:sz="8" w:space="0"/>
            </w:tcBorders>
            <w:shd w:val="clear" w:color="auto" w:fill="FFFFFF"/>
            <w:noWrap w:val="0"/>
            <w:vAlign w:val="center"/>
          </w:tcPr>
          <w:p w14:paraId="5A4D8756">
            <w:pPr>
              <w:pStyle w:val="10"/>
              <w:bidi w:val="0"/>
              <w:jc w:val="center"/>
              <w:rPr>
                <w:color w:val="000000"/>
              </w:rPr>
            </w:pPr>
            <w:r>
              <w:rPr>
                <w:color w:val="000000"/>
              </w:rPr>
              <w:t>南雄汽车站</w:t>
            </w:r>
          </w:p>
        </w:tc>
        <w:tc>
          <w:tcPr>
            <w:tcW w:w="7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130DDB0">
            <w:pPr>
              <w:pStyle w:val="10"/>
              <w:bidi w:val="0"/>
              <w:jc w:val="center"/>
              <w:rPr>
                <w:color w:val="000000"/>
              </w:rPr>
            </w:pPr>
            <w:r>
              <w:rPr>
                <w:color w:val="000000"/>
              </w:rPr>
              <w:t>坪田</w:t>
            </w:r>
          </w:p>
        </w:tc>
        <w:tc>
          <w:tcPr>
            <w:tcW w:w="67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D57E2C3">
            <w:pPr>
              <w:pStyle w:val="10"/>
              <w:bidi w:val="0"/>
              <w:jc w:val="center"/>
              <w:rPr>
                <w:color w:val="000000"/>
              </w:rPr>
            </w:pPr>
            <w:r>
              <w:rPr>
                <w:color w:val="000000"/>
              </w:rPr>
              <w:t>58</w:t>
            </w:r>
          </w:p>
        </w:tc>
        <w:tc>
          <w:tcPr>
            <w:tcW w:w="107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6D1BEA3">
            <w:pPr>
              <w:pStyle w:val="10"/>
              <w:bidi w:val="0"/>
              <w:jc w:val="center"/>
              <w:rPr>
                <w:color w:val="000000"/>
              </w:rPr>
            </w:pPr>
            <w:r>
              <w:rPr>
                <w:color w:val="000000"/>
              </w:rPr>
              <w:t>黄坑、老龙</w:t>
            </w:r>
          </w:p>
        </w:tc>
        <w:tc>
          <w:tcPr>
            <w:tcW w:w="104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B07EC45">
            <w:pPr>
              <w:pStyle w:val="10"/>
              <w:bidi w:val="0"/>
              <w:jc w:val="center"/>
              <w:rPr>
                <w:color w:val="000000"/>
              </w:rPr>
            </w:pPr>
            <w:r>
              <w:rPr>
                <w:color w:val="000000"/>
              </w:rPr>
              <w:t>每天6班</w:t>
            </w:r>
          </w:p>
        </w:tc>
        <w:tc>
          <w:tcPr>
            <w:tcW w:w="643" w:type="pct"/>
            <w:tcBorders>
              <w:top w:val="single" w:color="000000" w:sz="8" w:space="0"/>
              <w:left w:val="single" w:color="000000" w:sz="8" w:space="0"/>
              <w:bottom w:val="single" w:color="000000" w:sz="8" w:space="0"/>
              <w:right w:val="nil"/>
            </w:tcBorders>
            <w:shd w:val="clear" w:color="auto" w:fill="FFFFFF"/>
            <w:noWrap w:val="0"/>
            <w:vAlign w:val="center"/>
          </w:tcPr>
          <w:p w14:paraId="173EC154">
            <w:pPr>
              <w:pStyle w:val="10"/>
              <w:bidi w:val="0"/>
              <w:jc w:val="center"/>
              <w:rPr>
                <w:color w:val="000000"/>
              </w:rPr>
            </w:pPr>
            <w:r>
              <w:rPr>
                <w:color w:val="000000"/>
              </w:rPr>
              <w:t>13</w:t>
            </w:r>
          </w:p>
        </w:tc>
      </w:tr>
      <w:tr w14:paraId="7B872C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8" w:type="pct"/>
            <w:tcBorders>
              <w:top w:val="single" w:color="000000" w:sz="8" w:space="0"/>
              <w:left w:val="nil"/>
              <w:bottom w:val="single" w:color="000000" w:sz="8" w:space="0"/>
              <w:right w:val="single" w:color="000000" w:sz="8" w:space="0"/>
            </w:tcBorders>
            <w:shd w:val="clear" w:color="auto" w:fill="FFFFFF"/>
            <w:noWrap w:val="0"/>
            <w:vAlign w:val="center"/>
          </w:tcPr>
          <w:p w14:paraId="3028A166">
            <w:pPr>
              <w:pStyle w:val="10"/>
              <w:bidi w:val="0"/>
              <w:jc w:val="center"/>
              <w:rPr>
                <w:color w:val="000000"/>
              </w:rPr>
            </w:pPr>
            <w:r>
              <w:rPr>
                <w:color w:val="000000"/>
              </w:rPr>
              <w:t>南雄汽车站</w:t>
            </w:r>
          </w:p>
        </w:tc>
        <w:tc>
          <w:tcPr>
            <w:tcW w:w="7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96DBF4B">
            <w:pPr>
              <w:pStyle w:val="10"/>
              <w:bidi w:val="0"/>
              <w:jc w:val="center"/>
              <w:rPr>
                <w:color w:val="000000"/>
              </w:rPr>
            </w:pPr>
            <w:r>
              <w:rPr>
                <w:color w:val="000000"/>
              </w:rPr>
              <w:t>大余</w:t>
            </w:r>
          </w:p>
        </w:tc>
        <w:tc>
          <w:tcPr>
            <w:tcW w:w="67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155E33A">
            <w:pPr>
              <w:pStyle w:val="10"/>
              <w:bidi w:val="0"/>
              <w:jc w:val="center"/>
              <w:rPr>
                <w:color w:val="000000"/>
              </w:rPr>
            </w:pPr>
            <w:r>
              <w:rPr>
                <w:color w:val="000000"/>
              </w:rPr>
              <w:t>41</w:t>
            </w:r>
          </w:p>
        </w:tc>
        <w:tc>
          <w:tcPr>
            <w:tcW w:w="107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8280836">
            <w:pPr>
              <w:pStyle w:val="10"/>
              <w:bidi w:val="0"/>
              <w:jc w:val="center"/>
              <w:rPr>
                <w:color w:val="000000"/>
              </w:rPr>
            </w:pPr>
            <w:r>
              <w:rPr>
                <w:color w:val="000000"/>
              </w:rPr>
              <w:t>珠玑镇、梅岭镇</w:t>
            </w:r>
          </w:p>
        </w:tc>
        <w:tc>
          <w:tcPr>
            <w:tcW w:w="104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C83BB49">
            <w:pPr>
              <w:pStyle w:val="10"/>
              <w:bidi w:val="0"/>
              <w:jc w:val="center"/>
              <w:rPr>
                <w:color w:val="000000"/>
              </w:rPr>
            </w:pPr>
            <w:r>
              <w:rPr>
                <w:color w:val="000000"/>
              </w:rPr>
              <w:t>每隔25分钟一班</w:t>
            </w:r>
          </w:p>
        </w:tc>
        <w:tc>
          <w:tcPr>
            <w:tcW w:w="643" w:type="pct"/>
            <w:tcBorders>
              <w:top w:val="single" w:color="000000" w:sz="8" w:space="0"/>
              <w:left w:val="single" w:color="000000" w:sz="8" w:space="0"/>
              <w:bottom w:val="single" w:color="000000" w:sz="8" w:space="0"/>
              <w:right w:val="nil"/>
            </w:tcBorders>
            <w:shd w:val="clear" w:color="auto" w:fill="FFFFFF"/>
            <w:noWrap w:val="0"/>
            <w:vAlign w:val="center"/>
          </w:tcPr>
          <w:p w14:paraId="5A8E3545">
            <w:pPr>
              <w:pStyle w:val="10"/>
              <w:bidi w:val="0"/>
              <w:jc w:val="center"/>
              <w:rPr>
                <w:color w:val="000000"/>
              </w:rPr>
            </w:pPr>
            <w:r>
              <w:rPr>
                <w:color w:val="000000"/>
              </w:rPr>
              <w:t>13</w:t>
            </w:r>
          </w:p>
        </w:tc>
      </w:tr>
      <w:tr w14:paraId="493E8E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8" w:type="pct"/>
            <w:tcBorders>
              <w:top w:val="single" w:color="000000" w:sz="8" w:space="0"/>
              <w:left w:val="nil"/>
              <w:bottom w:val="single" w:color="000000" w:sz="8" w:space="0"/>
              <w:right w:val="single" w:color="000000" w:sz="8" w:space="0"/>
            </w:tcBorders>
            <w:shd w:val="clear" w:color="auto" w:fill="FFFFFF"/>
            <w:noWrap w:val="0"/>
            <w:vAlign w:val="center"/>
          </w:tcPr>
          <w:p w14:paraId="4F1F7BFE">
            <w:pPr>
              <w:pStyle w:val="10"/>
              <w:bidi w:val="0"/>
              <w:jc w:val="center"/>
              <w:rPr>
                <w:color w:val="000000"/>
              </w:rPr>
            </w:pPr>
            <w:r>
              <w:rPr>
                <w:color w:val="000000"/>
              </w:rPr>
              <w:t>南雄汽车站</w:t>
            </w:r>
          </w:p>
        </w:tc>
        <w:tc>
          <w:tcPr>
            <w:tcW w:w="7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4609003">
            <w:pPr>
              <w:pStyle w:val="10"/>
              <w:bidi w:val="0"/>
              <w:jc w:val="center"/>
              <w:rPr>
                <w:color w:val="000000"/>
              </w:rPr>
            </w:pPr>
            <w:r>
              <w:rPr>
                <w:color w:val="000000"/>
              </w:rPr>
              <w:t>乌迳</w:t>
            </w:r>
          </w:p>
        </w:tc>
        <w:tc>
          <w:tcPr>
            <w:tcW w:w="67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FF0EED5">
            <w:pPr>
              <w:pStyle w:val="10"/>
              <w:bidi w:val="0"/>
              <w:jc w:val="center"/>
              <w:rPr>
                <w:color w:val="000000"/>
              </w:rPr>
            </w:pPr>
            <w:r>
              <w:rPr>
                <w:color w:val="000000"/>
              </w:rPr>
              <w:t>35</w:t>
            </w:r>
          </w:p>
        </w:tc>
        <w:tc>
          <w:tcPr>
            <w:tcW w:w="107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52496EA">
            <w:pPr>
              <w:pStyle w:val="10"/>
              <w:bidi w:val="0"/>
              <w:jc w:val="center"/>
              <w:rPr>
                <w:color w:val="000000"/>
              </w:rPr>
            </w:pPr>
            <w:r>
              <w:rPr>
                <w:color w:val="000000"/>
              </w:rPr>
              <w:t>湖口、黄坑</w:t>
            </w:r>
          </w:p>
        </w:tc>
        <w:tc>
          <w:tcPr>
            <w:tcW w:w="104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EC1B2C6">
            <w:pPr>
              <w:pStyle w:val="10"/>
              <w:bidi w:val="0"/>
              <w:jc w:val="center"/>
              <w:rPr>
                <w:color w:val="000000"/>
              </w:rPr>
            </w:pPr>
            <w:r>
              <w:rPr>
                <w:color w:val="000000"/>
              </w:rPr>
              <w:t>每隔10分钟一班</w:t>
            </w:r>
          </w:p>
        </w:tc>
        <w:tc>
          <w:tcPr>
            <w:tcW w:w="643" w:type="pct"/>
            <w:tcBorders>
              <w:top w:val="single" w:color="000000" w:sz="8" w:space="0"/>
              <w:left w:val="single" w:color="000000" w:sz="8" w:space="0"/>
              <w:bottom w:val="single" w:color="000000" w:sz="8" w:space="0"/>
              <w:right w:val="nil"/>
            </w:tcBorders>
            <w:shd w:val="clear" w:color="auto" w:fill="FFFFFF"/>
            <w:noWrap w:val="0"/>
            <w:vAlign w:val="center"/>
          </w:tcPr>
          <w:p w14:paraId="4C52CD47">
            <w:pPr>
              <w:pStyle w:val="10"/>
              <w:bidi w:val="0"/>
              <w:jc w:val="center"/>
              <w:rPr>
                <w:color w:val="000000"/>
              </w:rPr>
            </w:pPr>
            <w:r>
              <w:rPr>
                <w:color w:val="000000"/>
              </w:rPr>
              <w:t>9</w:t>
            </w:r>
          </w:p>
        </w:tc>
      </w:tr>
      <w:tr w14:paraId="08525D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8" w:type="pct"/>
            <w:tcBorders>
              <w:top w:val="single" w:color="000000" w:sz="8" w:space="0"/>
              <w:left w:val="nil"/>
              <w:bottom w:val="single" w:color="000000" w:sz="8" w:space="0"/>
              <w:right w:val="single" w:color="000000" w:sz="8" w:space="0"/>
            </w:tcBorders>
            <w:shd w:val="clear" w:color="auto" w:fill="FFFFFF"/>
            <w:noWrap w:val="0"/>
            <w:vAlign w:val="center"/>
          </w:tcPr>
          <w:p w14:paraId="4BFA90EA">
            <w:pPr>
              <w:pStyle w:val="10"/>
              <w:bidi w:val="0"/>
              <w:jc w:val="center"/>
              <w:rPr>
                <w:color w:val="000000"/>
              </w:rPr>
            </w:pPr>
            <w:r>
              <w:rPr>
                <w:color w:val="000000"/>
              </w:rPr>
              <w:t>南雄汽车站</w:t>
            </w:r>
          </w:p>
        </w:tc>
        <w:tc>
          <w:tcPr>
            <w:tcW w:w="7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5662B17">
            <w:pPr>
              <w:pStyle w:val="10"/>
              <w:bidi w:val="0"/>
              <w:jc w:val="center"/>
              <w:rPr>
                <w:color w:val="000000"/>
              </w:rPr>
            </w:pPr>
            <w:r>
              <w:rPr>
                <w:color w:val="000000"/>
              </w:rPr>
              <w:t>南亩</w:t>
            </w:r>
          </w:p>
        </w:tc>
        <w:tc>
          <w:tcPr>
            <w:tcW w:w="67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3C2BDC5">
            <w:pPr>
              <w:pStyle w:val="10"/>
              <w:bidi w:val="0"/>
              <w:jc w:val="center"/>
              <w:rPr>
                <w:color w:val="000000"/>
              </w:rPr>
            </w:pPr>
            <w:r>
              <w:rPr>
                <w:color w:val="000000"/>
              </w:rPr>
              <w:t>30</w:t>
            </w:r>
          </w:p>
        </w:tc>
        <w:tc>
          <w:tcPr>
            <w:tcW w:w="107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B65489D">
            <w:pPr>
              <w:pStyle w:val="10"/>
              <w:bidi w:val="0"/>
              <w:jc w:val="center"/>
              <w:rPr>
                <w:color w:val="000000"/>
              </w:rPr>
            </w:pPr>
            <w:r>
              <w:rPr>
                <w:color w:val="000000"/>
              </w:rPr>
              <w:t>湖口、水口</w:t>
            </w:r>
          </w:p>
        </w:tc>
        <w:tc>
          <w:tcPr>
            <w:tcW w:w="104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4A90EE0">
            <w:pPr>
              <w:pStyle w:val="10"/>
              <w:bidi w:val="0"/>
              <w:jc w:val="center"/>
              <w:rPr>
                <w:color w:val="000000"/>
              </w:rPr>
            </w:pPr>
            <w:r>
              <w:rPr>
                <w:color w:val="000000"/>
              </w:rPr>
              <w:t>每隔20分钟一班</w:t>
            </w:r>
          </w:p>
        </w:tc>
        <w:tc>
          <w:tcPr>
            <w:tcW w:w="643" w:type="pct"/>
            <w:tcBorders>
              <w:top w:val="single" w:color="000000" w:sz="8" w:space="0"/>
              <w:left w:val="single" w:color="000000" w:sz="8" w:space="0"/>
              <w:bottom w:val="single" w:color="000000" w:sz="8" w:space="0"/>
              <w:right w:val="nil"/>
            </w:tcBorders>
            <w:shd w:val="clear" w:color="auto" w:fill="FFFFFF"/>
            <w:noWrap w:val="0"/>
            <w:vAlign w:val="center"/>
          </w:tcPr>
          <w:p w14:paraId="20F0F63A">
            <w:pPr>
              <w:pStyle w:val="10"/>
              <w:bidi w:val="0"/>
              <w:jc w:val="center"/>
              <w:rPr>
                <w:color w:val="000000"/>
              </w:rPr>
            </w:pPr>
            <w:r>
              <w:rPr>
                <w:color w:val="000000"/>
              </w:rPr>
              <w:t>8</w:t>
            </w:r>
          </w:p>
        </w:tc>
      </w:tr>
      <w:tr w14:paraId="37B290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8" w:type="pct"/>
            <w:tcBorders>
              <w:top w:val="single" w:color="000000" w:sz="8" w:space="0"/>
              <w:left w:val="nil"/>
              <w:bottom w:val="single" w:color="000000" w:sz="8" w:space="0"/>
              <w:right w:val="single" w:color="000000" w:sz="8" w:space="0"/>
            </w:tcBorders>
            <w:shd w:val="clear" w:color="auto" w:fill="FFFFFF"/>
            <w:noWrap w:val="0"/>
            <w:vAlign w:val="center"/>
          </w:tcPr>
          <w:p w14:paraId="4F9414E2">
            <w:pPr>
              <w:pStyle w:val="10"/>
              <w:bidi w:val="0"/>
              <w:jc w:val="center"/>
              <w:rPr>
                <w:color w:val="000000"/>
              </w:rPr>
            </w:pPr>
            <w:r>
              <w:rPr>
                <w:color w:val="000000"/>
              </w:rPr>
              <w:t>南雄汽车站</w:t>
            </w:r>
          </w:p>
        </w:tc>
        <w:tc>
          <w:tcPr>
            <w:tcW w:w="7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317F498">
            <w:pPr>
              <w:pStyle w:val="10"/>
              <w:bidi w:val="0"/>
              <w:jc w:val="center"/>
              <w:rPr>
                <w:color w:val="000000"/>
              </w:rPr>
            </w:pPr>
            <w:r>
              <w:rPr>
                <w:color w:val="000000"/>
              </w:rPr>
              <w:t>大塘</w:t>
            </w:r>
          </w:p>
        </w:tc>
        <w:tc>
          <w:tcPr>
            <w:tcW w:w="67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5CCE3B1">
            <w:pPr>
              <w:pStyle w:val="10"/>
              <w:bidi w:val="0"/>
              <w:jc w:val="center"/>
              <w:rPr>
                <w:color w:val="000000"/>
              </w:rPr>
            </w:pPr>
            <w:r>
              <w:rPr>
                <w:color w:val="000000"/>
              </w:rPr>
              <w:t>30</w:t>
            </w:r>
          </w:p>
        </w:tc>
        <w:tc>
          <w:tcPr>
            <w:tcW w:w="107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12E3EB1">
            <w:pPr>
              <w:pStyle w:val="10"/>
              <w:bidi w:val="0"/>
              <w:jc w:val="center"/>
              <w:rPr>
                <w:color w:val="000000"/>
              </w:rPr>
            </w:pPr>
            <w:r>
              <w:rPr>
                <w:color w:val="000000"/>
              </w:rPr>
              <w:t>长市、白木、邓坊</w:t>
            </w:r>
          </w:p>
        </w:tc>
        <w:tc>
          <w:tcPr>
            <w:tcW w:w="104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D54D213">
            <w:pPr>
              <w:pStyle w:val="10"/>
              <w:bidi w:val="0"/>
              <w:jc w:val="center"/>
              <w:rPr>
                <w:color w:val="000000"/>
              </w:rPr>
            </w:pPr>
            <w:r>
              <w:rPr>
                <w:color w:val="000000"/>
              </w:rPr>
              <w:t>每隔20分钟一班</w:t>
            </w:r>
          </w:p>
        </w:tc>
        <w:tc>
          <w:tcPr>
            <w:tcW w:w="643" w:type="pct"/>
            <w:tcBorders>
              <w:top w:val="single" w:color="000000" w:sz="8" w:space="0"/>
              <w:left w:val="single" w:color="000000" w:sz="8" w:space="0"/>
              <w:bottom w:val="single" w:color="000000" w:sz="8" w:space="0"/>
              <w:right w:val="nil"/>
            </w:tcBorders>
            <w:shd w:val="clear" w:color="auto" w:fill="FFFFFF"/>
            <w:noWrap w:val="0"/>
            <w:vAlign w:val="center"/>
          </w:tcPr>
          <w:p w14:paraId="103C1FAB">
            <w:pPr>
              <w:pStyle w:val="10"/>
              <w:bidi w:val="0"/>
              <w:jc w:val="center"/>
              <w:rPr>
                <w:color w:val="000000"/>
              </w:rPr>
            </w:pPr>
            <w:r>
              <w:rPr>
                <w:color w:val="000000"/>
              </w:rPr>
              <w:t>8</w:t>
            </w:r>
          </w:p>
        </w:tc>
      </w:tr>
      <w:tr w14:paraId="500E6D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8" w:type="pct"/>
            <w:tcBorders>
              <w:top w:val="single" w:color="000000" w:sz="8" w:space="0"/>
              <w:left w:val="nil"/>
              <w:bottom w:val="single" w:color="000000" w:sz="8" w:space="0"/>
              <w:right w:val="single" w:color="000000" w:sz="8" w:space="0"/>
            </w:tcBorders>
            <w:shd w:val="clear" w:color="auto" w:fill="FFFFFF"/>
            <w:noWrap w:val="0"/>
            <w:vAlign w:val="center"/>
          </w:tcPr>
          <w:p w14:paraId="5720DB2F">
            <w:pPr>
              <w:pStyle w:val="10"/>
              <w:bidi w:val="0"/>
              <w:jc w:val="center"/>
              <w:rPr>
                <w:color w:val="000000"/>
              </w:rPr>
            </w:pPr>
            <w:r>
              <w:rPr>
                <w:color w:val="000000"/>
              </w:rPr>
              <w:t>南雄汽车站</w:t>
            </w:r>
          </w:p>
        </w:tc>
        <w:tc>
          <w:tcPr>
            <w:tcW w:w="7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52886A5">
            <w:pPr>
              <w:pStyle w:val="10"/>
              <w:bidi w:val="0"/>
              <w:jc w:val="center"/>
              <w:rPr>
                <w:color w:val="000000"/>
              </w:rPr>
            </w:pPr>
            <w:r>
              <w:rPr>
                <w:color w:val="000000"/>
              </w:rPr>
              <w:t>江头</w:t>
            </w:r>
          </w:p>
        </w:tc>
        <w:tc>
          <w:tcPr>
            <w:tcW w:w="67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E9B34C1">
            <w:pPr>
              <w:pStyle w:val="10"/>
              <w:bidi w:val="0"/>
              <w:jc w:val="center"/>
              <w:rPr>
                <w:color w:val="000000"/>
              </w:rPr>
            </w:pPr>
            <w:r>
              <w:rPr>
                <w:color w:val="000000"/>
              </w:rPr>
              <w:t>13</w:t>
            </w:r>
          </w:p>
        </w:tc>
        <w:tc>
          <w:tcPr>
            <w:tcW w:w="107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1DF1F54">
            <w:pPr>
              <w:pStyle w:val="10"/>
              <w:bidi w:val="0"/>
              <w:jc w:val="center"/>
              <w:rPr>
                <w:color w:val="000000"/>
              </w:rPr>
            </w:pPr>
            <w:r>
              <w:rPr>
                <w:color w:val="000000"/>
              </w:rPr>
              <w:t>平岗</w:t>
            </w:r>
          </w:p>
        </w:tc>
        <w:tc>
          <w:tcPr>
            <w:tcW w:w="104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2E7F9A9">
            <w:pPr>
              <w:pStyle w:val="10"/>
              <w:bidi w:val="0"/>
              <w:jc w:val="center"/>
              <w:rPr>
                <w:color w:val="000000"/>
              </w:rPr>
            </w:pPr>
            <w:r>
              <w:rPr>
                <w:color w:val="000000"/>
              </w:rPr>
              <w:t>每隔30分钟一班</w:t>
            </w:r>
          </w:p>
        </w:tc>
        <w:tc>
          <w:tcPr>
            <w:tcW w:w="643" w:type="pct"/>
            <w:tcBorders>
              <w:top w:val="single" w:color="000000" w:sz="8" w:space="0"/>
              <w:left w:val="single" w:color="000000" w:sz="8" w:space="0"/>
              <w:bottom w:val="single" w:color="000000" w:sz="8" w:space="0"/>
              <w:right w:val="nil"/>
            </w:tcBorders>
            <w:shd w:val="clear" w:color="auto" w:fill="FFFFFF"/>
            <w:noWrap w:val="0"/>
            <w:vAlign w:val="center"/>
          </w:tcPr>
          <w:p w14:paraId="3B85D9EC">
            <w:pPr>
              <w:pStyle w:val="10"/>
              <w:bidi w:val="0"/>
              <w:jc w:val="center"/>
              <w:rPr>
                <w:color w:val="000000"/>
              </w:rPr>
            </w:pPr>
            <w:r>
              <w:rPr>
                <w:color w:val="000000"/>
              </w:rPr>
              <w:t>4</w:t>
            </w:r>
          </w:p>
        </w:tc>
      </w:tr>
      <w:tr w14:paraId="521A71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8" w:type="pct"/>
            <w:tcBorders>
              <w:top w:val="single" w:color="000000" w:sz="8" w:space="0"/>
              <w:left w:val="nil"/>
              <w:bottom w:val="single" w:color="000000" w:sz="8" w:space="0"/>
              <w:right w:val="single" w:color="000000" w:sz="8" w:space="0"/>
            </w:tcBorders>
            <w:shd w:val="clear" w:color="auto" w:fill="FFFFFF"/>
            <w:noWrap w:val="0"/>
            <w:vAlign w:val="center"/>
          </w:tcPr>
          <w:p w14:paraId="05CA0D4D">
            <w:pPr>
              <w:pStyle w:val="10"/>
              <w:bidi w:val="0"/>
              <w:jc w:val="center"/>
              <w:rPr>
                <w:color w:val="000000"/>
              </w:rPr>
            </w:pPr>
            <w:r>
              <w:rPr>
                <w:color w:val="000000"/>
              </w:rPr>
              <w:t>南雄汽车站</w:t>
            </w:r>
          </w:p>
        </w:tc>
        <w:tc>
          <w:tcPr>
            <w:tcW w:w="7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A94AD04">
            <w:pPr>
              <w:pStyle w:val="10"/>
              <w:bidi w:val="0"/>
              <w:jc w:val="center"/>
              <w:rPr>
                <w:color w:val="000000"/>
              </w:rPr>
            </w:pPr>
            <w:r>
              <w:rPr>
                <w:color w:val="000000"/>
              </w:rPr>
              <w:t>上龙</w:t>
            </w:r>
          </w:p>
        </w:tc>
        <w:tc>
          <w:tcPr>
            <w:tcW w:w="67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1A2B16D">
            <w:pPr>
              <w:pStyle w:val="10"/>
              <w:bidi w:val="0"/>
              <w:jc w:val="center"/>
              <w:rPr>
                <w:color w:val="000000"/>
              </w:rPr>
            </w:pPr>
            <w:r>
              <w:rPr>
                <w:color w:val="000000"/>
              </w:rPr>
              <w:t>40</w:t>
            </w:r>
          </w:p>
        </w:tc>
        <w:tc>
          <w:tcPr>
            <w:tcW w:w="107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4DCF365">
            <w:pPr>
              <w:pStyle w:val="10"/>
              <w:bidi w:val="0"/>
              <w:jc w:val="center"/>
              <w:rPr>
                <w:color w:val="000000"/>
              </w:rPr>
            </w:pPr>
            <w:r>
              <w:rPr>
                <w:color w:val="000000"/>
              </w:rPr>
              <w:t>付竹</w:t>
            </w:r>
          </w:p>
        </w:tc>
        <w:tc>
          <w:tcPr>
            <w:tcW w:w="104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6701C07">
            <w:pPr>
              <w:pStyle w:val="10"/>
              <w:bidi w:val="0"/>
              <w:jc w:val="center"/>
              <w:rPr>
                <w:color w:val="000000"/>
              </w:rPr>
            </w:pPr>
            <w:r>
              <w:rPr>
                <w:color w:val="000000"/>
              </w:rPr>
              <w:t>每天6班</w:t>
            </w:r>
          </w:p>
        </w:tc>
        <w:tc>
          <w:tcPr>
            <w:tcW w:w="643" w:type="pct"/>
            <w:tcBorders>
              <w:top w:val="single" w:color="000000" w:sz="8" w:space="0"/>
              <w:left w:val="single" w:color="000000" w:sz="8" w:space="0"/>
              <w:bottom w:val="single" w:color="000000" w:sz="8" w:space="0"/>
              <w:right w:val="nil"/>
            </w:tcBorders>
            <w:shd w:val="clear" w:color="auto" w:fill="FFFFFF"/>
            <w:noWrap w:val="0"/>
            <w:vAlign w:val="center"/>
          </w:tcPr>
          <w:p w14:paraId="0CE9341B">
            <w:pPr>
              <w:pStyle w:val="10"/>
              <w:bidi w:val="0"/>
              <w:jc w:val="center"/>
              <w:rPr>
                <w:color w:val="000000"/>
              </w:rPr>
            </w:pPr>
            <w:r>
              <w:rPr>
                <w:color w:val="000000"/>
              </w:rPr>
              <w:t>7</w:t>
            </w:r>
          </w:p>
        </w:tc>
      </w:tr>
      <w:tr w14:paraId="4E190F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8" w:type="pct"/>
            <w:tcBorders>
              <w:top w:val="single" w:color="000000" w:sz="8" w:space="0"/>
              <w:left w:val="nil"/>
              <w:bottom w:val="single" w:color="000000" w:sz="8" w:space="0"/>
              <w:right w:val="single" w:color="000000" w:sz="8" w:space="0"/>
            </w:tcBorders>
            <w:shd w:val="clear" w:color="auto" w:fill="FFFFFF"/>
            <w:noWrap w:val="0"/>
            <w:vAlign w:val="center"/>
          </w:tcPr>
          <w:p w14:paraId="08DB9950">
            <w:pPr>
              <w:pStyle w:val="10"/>
              <w:bidi w:val="0"/>
              <w:jc w:val="center"/>
              <w:rPr>
                <w:color w:val="000000"/>
              </w:rPr>
            </w:pPr>
            <w:r>
              <w:rPr>
                <w:color w:val="000000"/>
              </w:rPr>
              <w:t>南雄汽车站</w:t>
            </w:r>
          </w:p>
        </w:tc>
        <w:tc>
          <w:tcPr>
            <w:tcW w:w="7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C5FABDE">
            <w:pPr>
              <w:pStyle w:val="10"/>
              <w:bidi w:val="0"/>
              <w:jc w:val="center"/>
              <w:rPr>
                <w:color w:val="000000"/>
              </w:rPr>
            </w:pPr>
            <w:r>
              <w:rPr>
                <w:color w:val="000000"/>
              </w:rPr>
              <w:t>坡头</w:t>
            </w:r>
          </w:p>
        </w:tc>
        <w:tc>
          <w:tcPr>
            <w:tcW w:w="67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2AD4AB8">
            <w:pPr>
              <w:pStyle w:val="10"/>
              <w:bidi w:val="0"/>
              <w:jc w:val="center"/>
              <w:rPr>
                <w:color w:val="000000"/>
              </w:rPr>
            </w:pPr>
            <w:r>
              <w:rPr>
                <w:color w:val="000000"/>
              </w:rPr>
              <w:t>58</w:t>
            </w:r>
          </w:p>
        </w:tc>
        <w:tc>
          <w:tcPr>
            <w:tcW w:w="107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B3ED5A1">
            <w:pPr>
              <w:pStyle w:val="10"/>
              <w:bidi w:val="0"/>
              <w:jc w:val="center"/>
              <w:rPr>
                <w:color w:val="000000"/>
              </w:rPr>
            </w:pPr>
            <w:r>
              <w:rPr>
                <w:color w:val="000000"/>
              </w:rPr>
              <w:t>湖口、南亩</w:t>
            </w:r>
          </w:p>
        </w:tc>
        <w:tc>
          <w:tcPr>
            <w:tcW w:w="104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AC51F89">
            <w:pPr>
              <w:pStyle w:val="10"/>
              <w:bidi w:val="0"/>
              <w:jc w:val="center"/>
              <w:rPr>
                <w:color w:val="000000"/>
              </w:rPr>
            </w:pPr>
            <w:r>
              <w:rPr>
                <w:color w:val="000000"/>
              </w:rPr>
              <w:t>每天3班</w:t>
            </w:r>
          </w:p>
        </w:tc>
        <w:tc>
          <w:tcPr>
            <w:tcW w:w="643" w:type="pct"/>
            <w:tcBorders>
              <w:top w:val="single" w:color="000000" w:sz="8" w:space="0"/>
              <w:left w:val="single" w:color="000000" w:sz="8" w:space="0"/>
              <w:bottom w:val="single" w:color="000000" w:sz="8" w:space="0"/>
              <w:right w:val="nil"/>
            </w:tcBorders>
            <w:shd w:val="clear" w:color="auto" w:fill="FFFFFF"/>
            <w:noWrap w:val="0"/>
            <w:vAlign w:val="center"/>
          </w:tcPr>
          <w:p w14:paraId="7E28DC24">
            <w:pPr>
              <w:pStyle w:val="10"/>
              <w:bidi w:val="0"/>
              <w:jc w:val="center"/>
              <w:rPr>
                <w:color w:val="000000"/>
              </w:rPr>
            </w:pPr>
            <w:r>
              <w:rPr>
                <w:color w:val="000000"/>
              </w:rPr>
              <w:t>15</w:t>
            </w:r>
          </w:p>
        </w:tc>
      </w:tr>
      <w:tr w14:paraId="0D00C1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8" w:type="pct"/>
            <w:tcBorders>
              <w:top w:val="single" w:color="000000" w:sz="8" w:space="0"/>
              <w:left w:val="nil"/>
              <w:bottom w:val="single" w:color="000000" w:sz="8" w:space="0"/>
              <w:right w:val="single" w:color="000000" w:sz="8" w:space="0"/>
            </w:tcBorders>
            <w:shd w:val="clear" w:color="auto" w:fill="FFFFFF"/>
            <w:noWrap w:val="0"/>
            <w:vAlign w:val="center"/>
          </w:tcPr>
          <w:p w14:paraId="0FB71B23">
            <w:pPr>
              <w:pStyle w:val="10"/>
              <w:bidi w:val="0"/>
              <w:jc w:val="center"/>
              <w:rPr>
                <w:color w:val="000000"/>
              </w:rPr>
            </w:pPr>
            <w:r>
              <w:rPr>
                <w:color w:val="000000"/>
              </w:rPr>
              <w:t>南雄汽车站</w:t>
            </w:r>
          </w:p>
        </w:tc>
        <w:tc>
          <w:tcPr>
            <w:tcW w:w="7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21D5BD0">
            <w:pPr>
              <w:pStyle w:val="10"/>
              <w:bidi w:val="0"/>
              <w:jc w:val="center"/>
              <w:rPr>
                <w:color w:val="000000"/>
              </w:rPr>
            </w:pPr>
            <w:r>
              <w:rPr>
                <w:color w:val="000000"/>
              </w:rPr>
              <w:t>珠玑、湖口</w:t>
            </w:r>
          </w:p>
        </w:tc>
        <w:tc>
          <w:tcPr>
            <w:tcW w:w="67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8AD15E7">
            <w:pPr>
              <w:pStyle w:val="10"/>
              <w:bidi w:val="0"/>
              <w:jc w:val="center"/>
              <w:rPr>
                <w:color w:val="000000"/>
              </w:rPr>
            </w:pPr>
            <w:r>
              <w:rPr>
                <w:color w:val="000000"/>
              </w:rPr>
              <w:t>11</w:t>
            </w:r>
          </w:p>
        </w:tc>
        <w:tc>
          <w:tcPr>
            <w:tcW w:w="107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8C8F9D4">
            <w:pPr>
              <w:pStyle w:val="10"/>
              <w:bidi w:val="0"/>
              <w:jc w:val="center"/>
              <w:rPr>
                <w:color w:val="000000"/>
              </w:rPr>
            </w:pPr>
            <w:r>
              <w:rPr>
                <w:color w:val="000000"/>
              </w:rPr>
              <w:t>珠玑古巷</w:t>
            </w:r>
          </w:p>
        </w:tc>
        <w:tc>
          <w:tcPr>
            <w:tcW w:w="104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0CADF3F">
            <w:pPr>
              <w:pStyle w:val="10"/>
              <w:bidi w:val="0"/>
              <w:jc w:val="center"/>
              <w:rPr>
                <w:color w:val="000000"/>
              </w:rPr>
            </w:pPr>
            <w:r>
              <w:rPr>
                <w:color w:val="000000"/>
              </w:rPr>
              <w:t>每天13班</w:t>
            </w:r>
          </w:p>
        </w:tc>
        <w:tc>
          <w:tcPr>
            <w:tcW w:w="643" w:type="pct"/>
            <w:tcBorders>
              <w:top w:val="single" w:color="000000" w:sz="8" w:space="0"/>
              <w:left w:val="single" w:color="000000" w:sz="8" w:space="0"/>
              <w:bottom w:val="single" w:color="000000" w:sz="8" w:space="0"/>
              <w:right w:val="nil"/>
            </w:tcBorders>
            <w:shd w:val="clear" w:color="auto" w:fill="FFFFFF"/>
            <w:noWrap w:val="0"/>
            <w:vAlign w:val="center"/>
          </w:tcPr>
          <w:p w14:paraId="7562E255">
            <w:pPr>
              <w:pStyle w:val="10"/>
              <w:bidi w:val="0"/>
              <w:jc w:val="center"/>
              <w:rPr>
                <w:color w:val="000000"/>
              </w:rPr>
            </w:pPr>
            <w:r>
              <w:rPr>
                <w:color w:val="000000"/>
              </w:rPr>
              <w:t>3</w:t>
            </w:r>
          </w:p>
        </w:tc>
      </w:tr>
    </w:tbl>
    <w:p w14:paraId="6508620F">
      <w:pPr>
        <w:pStyle w:val="3"/>
        <w:bidi w:val="0"/>
        <w:rPr>
          <w:rFonts w:hint="default"/>
          <w:lang w:val="en-US" w:eastAsia="zh-CN"/>
        </w:rPr>
      </w:pPr>
      <w:r>
        <w:rPr>
          <w:rFonts w:hint="eastAsia"/>
          <w:lang w:val="en-US" w:eastAsia="zh-CN"/>
        </w:rPr>
        <w:t>邮政</w:t>
      </w:r>
    </w:p>
    <w:p w14:paraId="03420BF8">
      <w:pPr>
        <w:pStyle w:val="4"/>
        <w:bidi w:val="0"/>
        <w:rPr>
          <w:rFonts w:hint="eastAsia"/>
        </w:rPr>
      </w:pPr>
      <w:r>
        <w:rPr>
          <w:rFonts w:hint="eastAsia"/>
          <w:lang w:eastAsia="zh-CN"/>
        </w:rPr>
        <w:t>【</w:t>
      </w:r>
      <w:r>
        <w:rPr>
          <w:rFonts w:hint="eastAsia"/>
        </w:rPr>
        <w:t>概况】</w:t>
      </w:r>
    </w:p>
    <w:p w14:paraId="5000AE04">
      <w:pPr>
        <w:rPr>
          <w:rFonts w:hint="eastAsia"/>
          <w:lang w:eastAsia="zh-CN"/>
        </w:rPr>
      </w:pPr>
      <w:r>
        <w:t>2013年，南雄市邮政局以提升企业核心</w:t>
      </w:r>
      <w:r>
        <w:rPr>
          <w:rFonts w:hint="eastAsia"/>
        </w:rPr>
        <w:t>竞争力为目标，着力提高企业运营质量和效益；以实施“五大发展战略”为基础，着力推进“三大转型”，加快发展步伐。着力增强“三大能力”，夯实发展基础；致力优化“五大机制”，激发企业活力；着力三大板块联动，形成融合发展优势，共同推进南雄邮政持续、稳健、较快发展。全市邮政三大板块合计完成收入</w:t>
      </w:r>
      <w:r>
        <w:t>5075.69万元，其中邮政企业实现</w:t>
      </w:r>
      <w:r>
        <w:rPr>
          <w:rFonts w:hint="eastAsia"/>
        </w:rPr>
        <w:t>收入</w:t>
      </w:r>
      <w:r>
        <w:t>2832.69万元，完成年计划的100.10%，同比</w:t>
      </w:r>
      <w:r>
        <w:rPr>
          <w:rFonts w:hint="eastAsia"/>
        </w:rPr>
        <w:t>增长</w:t>
      </w:r>
      <w:r>
        <w:t>13.90%，收支差完成945.62万元，完成年计</w:t>
      </w:r>
      <w:r>
        <w:rPr>
          <w:rFonts w:hint="eastAsia"/>
        </w:rPr>
        <w:t>划的</w:t>
      </w:r>
      <w:r>
        <w:t>110.99%，同比增长25.98%；邮储银行累计</w:t>
      </w:r>
      <w:r>
        <w:rPr>
          <w:rFonts w:hint="eastAsia"/>
        </w:rPr>
        <w:t>实现</w:t>
      </w:r>
      <w:r>
        <w:rPr>
          <w:rFonts w:hint="eastAsia"/>
          <w:lang w:eastAsia="zh-CN"/>
        </w:rPr>
        <w:t>收入</w:t>
      </w:r>
      <w:r>
        <w:t>2208万元，完成年计划的90.79%，实现</w:t>
      </w:r>
      <w:r>
        <w:rPr>
          <w:rFonts w:hint="eastAsia"/>
        </w:rPr>
        <w:t>收支差</w:t>
      </w:r>
      <w:r>
        <w:t>1062万元，完成年计划的71.76%；速递物</w:t>
      </w:r>
      <w:r>
        <w:rPr>
          <w:rFonts w:hint="eastAsia"/>
        </w:rPr>
        <w:t>流公司累计实现收入</w:t>
      </w:r>
      <w:r>
        <w:t>35万元，完成年计划的70%</w:t>
      </w:r>
      <w:r>
        <w:rPr>
          <w:rFonts w:hint="eastAsia"/>
          <w:lang w:eastAsia="zh-CN"/>
        </w:rPr>
        <w:t>。</w:t>
      </w:r>
    </w:p>
    <w:p w14:paraId="2D0537E5">
      <w:pPr>
        <w:pStyle w:val="4"/>
        <w:bidi w:val="0"/>
        <w:rPr>
          <w:rFonts w:hint="eastAsia"/>
        </w:rPr>
      </w:pPr>
      <w:r>
        <w:rPr>
          <w:rFonts w:hint="eastAsia"/>
        </w:rPr>
        <w:t>【邮政设施】</w:t>
      </w:r>
    </w:p>
    <w:p w14:paraId="734E3FB8">
      <w:r>
        <w:t>2013年，南雄市邮政局推进基本公</w:t>
      </w:r>
      <w:r>
        <w:rPr>
          <w:rFonts w:hint="eastAsia"/>
        </w:rPr>
        <w:t>共服务均等化建设及网点整治工程，为南雄人民提供更优质的邮政服务。一是继续深入推进信报箱建设，提高信报箱落户率，</w:t>
      </w:r>
      <w:r>
        <w:t>2013年</w:t>
      </w:r>
      <w:r>
        <w:rPr>
          <w:rFonts w:hint="eastAsia"/>
          <w:lang w:eastAsia="zh-CN"/>
        </w:rPr>
        <w:t>投入</w:t>
      </w:r>
      <w:r>
        <w:t>资金10万元，</w:t>
      </w:r>
      <w:r>
        <w:rPr>
          <w:rFonts w:hint="eastAsia"/>
        </w:rPr>
        <w:t>补建信报箱</w:t>
      </w:r>
      <w:r>
        <w:t>1000只；二是主田、全安两个空白乡</w:t>
      </w:r>
      <w:r>
        <w:rPr>
          <w:rFonts w:hint="eastAsia"/>
        </w:rPr>
        <w:t>镇营业网点于</w:t>
      </w:r>
      <w:r>
        <w:t>2013年10月正式对外营业，累计投</w:t>
      </w:r>
      <w:r>
        <w:rPr>
          <w:rFonts w:hint="eastAsia"/>
          <w:lang w:eastAsia="zh-CN"/>
        </w:rPr>
        <w:t>入</w:t>
      </w:r>
      <w:r>
        <w:t>130多万元的主田、全安邮政所建设工程正抓紧</w:t>
      </w:r>
      <w:r>
        <w:rPr>
          <w:rFonts w:hint="eastAsia"/>
        </w:rPr>
        <w:t>进行，其中，主田邮政所办公楼及附属工程已基本完工，全安邮政所办公楼已办理完征地、报建、设计等，待开工建设；三是投入资金</w:t>
      </w:r>
      <w:r>
        <w:t>250万元的乌迳</w:t>
      </w:r>
      <w:r>
        <w:rPr>
          <w:rFonts w:hint="eastAsia"/>
        </w:rPr>
        <w:t>邮政支局营业大楼拆除重建工程正有序开展；四是累计投入资金</w:t>
      </w:r>
      <w:r>
        <w:t>54万元，完成百顺、澜河、江头</w:t>
      </w:r>
      <w:r>
        <w:rPr>
          <w:rFonts w:hint="eastAsia"/>
          <w:lang w:eastAsia="zh-CN"/>
        </w:rPr>
        <w:t>、</w:t>
      </w:r>
      <w:r>
        <w:rPr>
          <w:rFonts w:hint="eastAsia"/>
        </w:rPr>
        <w:t>大塘、湖口、新龙等邮政支局所整治；五是完成黄坑农资仓储中心建设，并顺利验收；六是珠玑邮政支局拆除重建已获广东省邮政公司批复，获建设资金</w:t>
      </w:r>
      <w:r>
        <w:t>250万元。</w:t>
      </w:r>
    </w:p>
    <w:p w14:paraId="51BB0DD3">
      <w:pPr>
        <w:pStyle w:val="4"/>
        <w:bidi w:val="0"/>
        <w:rPr>
          <w:rFonts w:hint="eastAsia"/>
        </w:rPr>
      </w:pPr>
      <w:r>
        <w:rPr>
          <w:rFonts w:hint="eastAsia"/>
          <w:lang w:eastAsia="zh-CN"/>
        </w:rPr>
        <w:t>【</w:t>
      </w:r>
      <w:r>
        <w:rPr>
          <w:rFonts w:hint="eastAsia"/>
        </w:rPr>
        <w:t>邮政储蓄】</w:t>
      </w:r>
    </w:p>
    <w:p w14:paraId="414F743C">
      <w:r>
        <w:t>2013年末，邮银合计存款余额达19.47亿元，全年新增29886万元，同比增长18.11%，邮银余额市场占有率30.60%，规模占有</w:t>
      </w:r>
      <w:r>
        <w:rPr>
          <w:rFonts w:hint="eastAsia"/>
        </w:rPr>
        <w:t>率全市排名第二。其中，新城支局成为全省首个新增余额超亿元的网点。信贷业务方面，小企业贷款余额</w:t>
      </w:r>
      <w:r>
        <w:t>3928万，本年净增1936万元；商务贷款余额7445万，本年净增-289万；二手房贷款余额4547</w:t>
      </w:r>
      <w:r>
        <w:rPr>
          <w:rFonts w:hint="eastAsia"/>
        </w:rPr>
        <w:t>万，本年净增</w:t>
      </w:r>
      <w:r>
        <w:t>3136万；综消贷款余额1098万，本</w:t>
      </w:r>
      <w:r>
        <w:rPr>
          <w:rFonts w:hint="eastAsia"/>
        </w:rPr>
        <w:t>年净增</w:t>
      </w:r>
      <w:r>
        <w:t>963万；小额贷款余额1898万，本年下降1661万。全年新增保费2103.79万元，累计发展人</w:t>
      </w:r>
      <w:r>
        <w:rPr>
          <w:rFonts w:hint="eastAsia"/>
        </w:rPr>
        <w:t>民币理财业务</w:t>
      </w:r>
      <w:r>
        <w:t>9959.8万元。</w:t>
      </w:r>
    </w:p>
    <w:p w14:paraId="161D8407">
      <w:pPr>
        <w:pStyle w:val="4"/>
        <w:bidi w:val="0"/>
        <w:rPr>
          <w:rFonts w:hint="eastAsia"/>
        </w:rPr>
      </w:pPr>
      <w:r>
        <w:rPr>
          <w:rFonts w:hint="eastAsia"/>
          <w:lang w:eastAsia="zh-CN"/>
        </w:rPr>
        <w:t>【</w:t>
      </w:r>
      <w:r>
        <w:rPr>
          <w:rFonts w:hint="eastAsia"/>
        </w:rPr>
        <w:t>邮政业务】</w:t>
      </w:r>
    </w:p>
    <w:p w14:paraId="057DD4B5">
      <w:pPr>
        <w:rPr>
          <w:rFonts w:hint="eastAsia"/>
        </w:rPr>
      </w:pPr>
      <w:r>
        <w:rPr>
          <w:rFonts w:hint="eastAsia"/>
        </w:rPr>
        <w:t>加快发展电商小包业务，累计收寄电商小包</w:t>
      </w:r>
      <w:r>
        <w:t>1561件，日均收寄量6件，签约合作客</w:t>
      </w:r>
      <w:r>
        <w:rPr>
          <w:rFonts w:hint="eastAsia"/>
        </w:rPr>
        <w:t>户</w:t>
      </w:r>
      <w:r>
        <w:t>11户；大力宣传网上超市“韶乐购”，为市民提</w:t>
      </w:r>
      <w:r>
        <w:rPr>
          <w:rFonts w:hint="eastAsia"/>
        </w:rPr>
        <w:t>供一个便捷、实惠的购物平台；加强与中国平安</w:t>
      </w:r>
      <w:r>
        <w:rPr>
          <w:rFonts w:hint="eastAsia"/>
          <w:lang w:eastAsia="zh-CN"/>
        </w:rPr>
        <w:t>、</w:t>
      </w:r>
      <w:r>
        <w:rPr>
          <w:rFonts w:hint="eastAsia"/>
        </w:rPr>
        <w:t>人保等财产保险公司合作，开展代理车险业务，累计投保</w:t>
      </w:r>
      <w:r>
        <w:t>9笔，实现保费42583.55元；积极开拓电子</w:t>
      </w:r>
      <w:r>
        <w:rPr>
          <w:rFonts w:hint="eastAsia"/>
        </w:rPr>
        <w:t>阅读市场，深入开发和推进以手机等为主要载体的“智惠阅读”项目。</w:t>
      </w:r>
    </w:p>
    <w:p w14:paraId="52144FBA">
      <w:pPr>
        <w:pStyle w:val="4"/>
        <w:bidi w:val="0"/>
        <w:rPr>
          <w:rFonts w:hint="eastAsia"/>
        </w:rPr>
      </w:pPr>
      <w:r>
        <w:rPr>
          <w:rFonts w:hint="eastAsia"/>
        </w:rPr>
        <w:t>【企业管理】</w:t>
      </w:r>
    </w:p>
    <w:p w14:paraId="7D6F31B0">
      <w:pPr>
        <w:rPr>
          <w:rFonts w:hint="eastAsia"/>
        </w:rPr>
      </w:pPr>
      <w:r>
        <w:rPr>
          <w:rFonts w:hint="eastAsia"/>
        </w:rPr>
        <w:t>完善各项规章制度，规范网点损益核算报表的上报流程，加强邮政营收资金管理，建立全面、准确、详细的固定资产资料数据库。加强科学用工管理，按照韶关市邮政局《劳务工成长积分办法》，优化用工结构，有效激励劳务工努力提升自身素质，</w:t>
      </w:r>
      <w:r>
        <w:t>12名业绩突出，表现优异的劳务工转</w:t>
      </w:r>
      <w:r>
        <w:rPr>
          <w:rFonts w:hint="eastAsia"/>
        </w:rPr>
        <w:t>为聘用工。强化安全风险防范，层层签订安全责任书，落实责任追究制，狠抓安全生产规章制度的执行落实；开展邮政金融安全评估工作，自</w:t>
      </w:r>
      <w:r>
        <w:rPr>
          <w:rFonts w:hint="eastAsia"/>
          <w:lang w:eastAsia="zh-CN"/>
        </w:rPr>
        <w:t>查</w:t>
      </w:r>
      <w:r>
        <w:rPr>
          <w:rFonts w:hint="eastAsia"/>
        </w:rPr>
        <w:t>面达到</w:t>
      </w:r>
      <w:r>
        <w:t>100%，9个网点平均分值为96.6分，达标率100%；完成全市网点监控改造；举办投递员投递</w:t>
      </w:r>
      <w:r>
        <w:rPr>
          <w:rFonts w:hint="eastAsia"/>
        </w:rPr>
        <w:t>摩托车交通安全教育学习班，提升车辆安全管理水平；参加押钞经警培训，提高押钞警安全意识、自身素质和应急处置能力；完成各金融网点业务库异地值守系统建设工作。</w:t>
      </w:r>
    </w:p>
    <w:p w14:paraId="1329D82F">
      <w:r>
        <w:t>2013年，在韶关邮政</w:t>
      </w:r>
      <w:r>
        <w:rPr>
          <w:rFonts w:hint="eastAsia" w:ascii="宋体" w:hAnsi="宋体" w:cs="宋体"/>
        </w:rPr>
        <w:t>“</w:t>
      </w:r>
      <w:r>
        <w:t>卓越营销</w:t>
      </w:r>
      <w:r>
        <w:rPr>
          <w:rFonts w:hint="eastAsia" w:ascii="宋体" w:hAnsi="宋体" w:cs="宋体"/>
        </w:rPr>
        <w:t>”</w:t>
      </w:r>
      <w:r>
        <w:t>劳动竞赛</w:t>
      </w:r>
      <w:r>
        <w:rPr>
          <w:rFonts w:hint="eastAsia"/>
        </w:rPr>
        <w:t>中，南雄邮政荣获“报刊专业县</w:t>
      </w:r>
      <w:r>
        <w:rPr>
          <w:rFonts w:hint="eastAsia"/>
          <w:lang w:eastAsia="zh-CN"/>
        </w:rPr>
        <w:t>城</w:t>
      </w:r>
      <w:r>
        <w:rPr>
          <w:rFonts w:hint="eastAsia"/>
        </w:rPr>
        <w:t>发展争先奖”，“关山供电企业宣传画册项目”荣获“卓越项目奖”，南雄新城支行荣获“</w:t>
      </w:r>
      <w:r>
        <w:t>2013年广东邮政代理金</w:t>
      </w:r>
      <w:r>
        <w:rPr>
          <w:rFonts w:hint="eastAsia"/>
        </w:rPr>
        <w:t>融余额发展标杆网点”，</w:t>
      </w:r>
      <w:r>
        <w:t>11人获市局表彰。</w:t>
      </w:r>
    </w:p>
    <w:p w14:paraId="3846BAC7">
      <w:pPr>
        <w:jc w:val="right"/>
        <w:rPr>
          <w:rFonts w:hint="eastAsia"/>
          <w:b/>
          <w:bCs/>
        </w:rPr>
      </w:pPr>
      <w:r>
        <w:rPr>
          <w:rFonts w:hint="eastAsia"/>
          <w:b/>
          <w:bCs/>
        </w:rPr>
        <w:t>（蒋春艳）</w:t>
      </w:r>
    </w:p>
    <w:p w14:paraId="3786396E">
      <w:pPr>
        <w:pStyle w:val="10"/>
        <w:bidi w:val="0"/>
        <w:rPr>
          <w:b/>
          <w:bCs/>
        </w:rPr>
      </w:pPr>
      <w:r>
        <w:rPr>
          <w:rFonts w:hint="eastAsia"/>
          <w:b/>
          <w:bCs/>
        </w:rPr>
        <w:t>附：</w:t>
      </w:r>
      <w:r>
        <w:rPr>
          <w:b/>
          <w:bCs/>
        </w:rPr>
        <w:t>2013年市邮政局领导班子成员名单</w:t>
      </w:r>
    </w:p>
    <w:p w14:paraId="7C235DDD">
      <w:pPr>
        <w:pStyle w:val="10"/>
        <w:bidi w:val="0"/>
        <w:rPr>
          <w:rFonts w:hint="eastAsia"/>
        </w:rPr>
      </w:pPr>
      <w:r>
        <w:rPr>
          <w:rFonts w:hint="eastAsia"/>
          <w:b/>
          <w:bCs/>
        </w:rPr>
        <w:t>党组书记、局长：</w:t>
      </w:r>
      <w:r>
        <w:rPr>
          <w:rFonts w:hint="eastAsia"/>
        </w:rPr>
        <w:t>罗顺林</w:t>
      </w:r>
    </w:p>
    <w:p w14:paraId="6F474E03">
      <w:pPr>
        <w:pStyle w:val="10"/>
        <w:bidi w:val="0"/>
        <w:rPr>
          <w:rFonts w:hint="eastAsia"/>
        </w:rPr>
      </w:pPr>
      <w:r>
        <w:rPr>
          <w:rFonts w:hint="eastAsia"/>
          <w:b/>
          <w:bCs/>
        </w:rPr>
        <w:t>党组成员、邮储银行南雄市支行行长：</w:t>
      </w:r>
      <w:r>
        <w:rPr>
          <w:rFonts w:hint="eastAsia"/>
        </w:rPr>
        <w:t>邓徳锋</w:t>
      </w:r>
    </w:p>
    <w:p w14:paraId="6C6A0B6B">
      <w:pPr>
        <w:pStyle w:val="10"/>
        <w:bidi w:val="0"/>
        <w:rPr>
          <w:rFonts w:hint="eastAsia"/>
        </w:rPr>
      </w:pPr>
      <w:r>
        <w:rPr>
          <w:rFonts w:hint="eastAsia"/>
          <w:b/>
          <w:bCs/>
        </w:rPr>
        <w:t>党组成员、速递物流南雄分公司经理：</w:t>
      </w:r>
      <w:r>
        <w:rPr>
          <w:rFonts w:hint="eastAsia"/>
        </w:rPr>
        <w:t>潘文片</w:t>
      </w:r>
    </w:p>
    <w:p w14:paraId="6D2EEBBE">
      <w:pPr>
        <w:pStyle w:val="3"/>
        <w:bidi w:val="0"/>
        <w:rPr>
          <w:rFonts w:hint="eastAsia"/>
          <w:lang w:val="en-US" w:eastAsia="zh-CN"/>
        </w:rPr>
      </w:pPr>
      <w:r>
        <w:rPr>
          <w:rFonts w:hint="eastAsia"/>
          <w:lang w:val="en-US" w:eastAsia="zh-CN"/>
        </w:rPr>
        <w:t>电信</w:t>
      </w:r>
    </w:p>
    <w:p w14:paraId="6F20D83F">
      <w:pPr>
        <w:pStyle w:val="4"/>
        <w:bidi w:val="0"/>
        <w:rPr>
          <w:rFonts w:hint="eastAsia"/>
        </w:rPr>
      </w:pPr>
      <w:r>
        <w:rPr>
          <w:rFonts w:hint="eastAsia"/>
        </w:rPr>
        <w:t>【基本情况】</w:t>
      </w:r>
    </w:p>
    <w:p w14:paraId="567BDE96">
      <w:pPr>
        <w:rPr>
          <w:rFonts w:hint="eastAsia"/>
        </w:rPr>
      </w:pPr>
      <w:r>
        <w:t>2013年中国电信南雄分公司设有综</w:t>
      </w:r>
      <w:r>
        <w:rPr>
          <w:rFonts w:hint="eastAsia"/>
        </w:rPr>
        <w:t>合部、销售部、客响部</w:t>
      </w:r>
      <w:r>
        <w:t>3个部门，以及政企、城</w:t>
      </w:r>
      <w:r>
        <w:rPr>
          <w:rFonts w:hint="eastAsia"/>
        </w:rPr>
        <w:t>区、珠玑、梅岭、古市、主田、湖口、水口、江头、黄坑、大塘、南亩、邓坊、油山、乌迳、界址、新龙、坪田、澜河、全安、富竹、百顺共</w:t>
      </w:r>
      <w:r>
        <w:t>22</w:t>
      </w:r>
      <w:r>
        <w:rPr>
          <w:rFonts w:hint="eastAsia"/>
        </w:rPr>
        <w:t>个客服中心。</w:t>
      </w:r>
    </w:p>
    <w:p w14:paraId="705BAD70">
      <w:pPr>
        <w:rPr>
          <w:rFonts w:hint="eastAsia"/>
        </w:rPr>
      </w:pPr>
      <w:r>
        <w:t>2013年中国电信南雄分公司有员工141人，其</w:t>
      </w:r>
      <w:r>
        <w:rPr>
          <w:rFonts w:hint="eastAsia"/>
        </w:rPr>
        <w:t>中经营班子成员为：沈明华（总经理）、刘经宏（副总经理）、黄春海（副总经理）。</w:t>
      </w:r>
    </w:p>
    <w:p w14:paraId="5E362A00">
      <w:pPr>
        <w:pStyle w:val="4"/>
        <w:bidi w:val="0"/>
        <w:rPr>
          <w:rFonts w:hint="eastAsia"/>
        </w:rPr>
      </w:pPr>
      <w:r>
        <w:rPr>
          <w:rFonts w:hint="eastAsia"/>
        </w:rPr>
        <w:t>【经营概况】</w:t>
      </w:r>
    </w:p>
    <w:p w14:paraId="0A85145F">
      <w:r>
        <w:t>2013年，中国电信南雄分公司贯彻</w:t>
      </w:r>
      <w:r>
        <w:rPr>
          <w:rFonts w:hint="eastAsia"/>
        </w:rPr>
        <w:t>集团公司“一去两化”战略方针，全面落实省市公司工作会议部署，深入开展“划小核算单元”工作，以“创新和服务双领先推动规模和效益双提升”为工作主线，充分调动员工积极性，努力完成</w:t>
      </w:r>
      <w:r>
        <w:t>2013年各项指标任务。全年实现经营考核收入4780万元，完成率100.34%。移动放号22042户，</w:t>
      </w:r>
      <w:r>
        <w:rPr>
          <w:rFonts w:hint="eastAsia"/>
        </w:rPr>
        <w:t>宽带（含</w:t>
      </w:r>
      <w:r>
        <w:rPr>
          <w:rFonts w:hint="eastAsia"/>
          <w:lang w:val="en-US" w:eastAsia="zh-CN"/>
        </w:rPr>
        <w:t>IT</w:t>
      </w:r>
      <w:r>
        <w:t>V）放号7501户，固话放号3294户。</w:t>
      </w:r>
    </w:p>
    <w:p w14:paraId="2F8DDE02">
      <w:pPr>
        <w:pStyle w:val="4"/>
        <w:bidi w:val="0"/>
        <w:rPr>
          <w:rFonts w:hint="eastAsia"/>
        </w:rPr>
      </w:pPr>
      <w:r>
        <w:rPr>
          <w:rFonts w:hint="eastAsia"/>
        </w:rPr>
        <w:t>【精确营销】</w:t>
      </w:r>
    </w:p>
    <w:p w14:paraId="28105D36">
      <w:pPr>
        <w:rPr>
          <w:rFonts w:hint="eastAsia"/>
        </w:rPr>
      </w:pPr>
      <w:r>
        <w:rPr>
          <w:rFonts w:hint="eastAsia"/>
        </w:rPr>
        <w:t>（</w:t>
      </w:r>
      <w:r>
        <w:t>1）按照渠道细分客户，针对不</w:t>
      </w:r>
      <w:r>
        <w:rPr>
          <w:rFonts w:hint="eastAsia"/>
        </w:rPr>
        <w:t>同的客户需求推荐适合客户的业务，实现精确营销。（</w:t>
      </w:r>
      <w:r>
        <w:t>2）巩固城市宽带品牌市场，以一镇一网搭建</w:t>
      </w:r>
      <w:r>
        <w:rPr>
          <w:rFonts w:hint="eastAsia"/>
        </w:rPr>
        <w:t>农村行销业务平台，以服务促进政企市场发展。加大对移动办公、平安南雄、教育线等重点项目的跟踪建设。</w:t>
      </w:r>
      <w:r>
        <w:t>11月27日，成功与南雄市政府签订“智</w:t>
      </w:r>
      <w:r>
        <w:rPr>
          <w:rFonts w:hint="eastAsia"/>
        </w:rPr>
        <w:t>慧城市”框架协议。</w:t>
      </w:r>
    </w:p>
    <w:p w14:paraId="68D57D7B">
      <w:pPr>
        <w:pStyle w:val="4"/>
        <w:bidi w:val="0"/>
        <w:rPr>
          <w:rFonts w:hint="eastAsia"/>
        </w:rPr>
      </w:pPr>
      <w:r>
        <w:rPr>
          <w:rFonts w:hint="eastAsia"/>
        </w:rPr>
        <w:t>【服务水平】</w:t>
      </w:r>
    </w:p>
    <w:p w14:paraId="362D6D67">
      <w:pPr>
        <w:rPr>
          <w:rFonts w:hint="eastAsia"/>
        </w:rPr>
      </w:pPr>
      <w:r>
        <w:rPr>
          <w:rFonts w:hint="eastAsia"/>
        </w:rPr>
        <w:t>（</w:t>
      </w:r>
      <w:r>
        <w:t>1）合理整合人力资源、中心承</w:t>
      </w:r>
      <w:r>
        <w:rPr>
          <w:rFonts w:hint="eastAsia"/>
        </w:rPr>
        <w:t>包、</w:t>
      </w:r>
      <w:r>
        <w:t>KP考核调整、装维承包等措施，提升营业窗</w:t>
      </w:r>
      <w:r>
        <w:rPr>
          <w:rFonts w:hint="eastAsia"/>
        </w:rPr>
        <w:t>口服务水平，提升服务亲和力。（</w:t>
      </w:r>
      <w:r>
        <w:t>2）强化客户维系</w:t>
      </w:r>
      <w:r>
        <w:rPr>
          <w:rFonts w:hint="eastAsia"/>
        </w:rPr>
        <w:t>走访。做到主动听取心声，站在用户的角度考虑问题，对用户提出的问题及时组织力量进行解决。（</w:t>
      </w:r>
      <w:r>
        <w:t>3）做好网点拓展，全年建立空中充值点260个，</w:t>
      </w:r>
      <w:r>
        <w:rPr>
          <w:rFonts w:hint="eastAsia"/>
        </w:rPr>
        <w:t>解决了部分村委和墟镇客户充值缴费问题，不断整体提升服务水平。</w:t>
      </w:r>
    </w:p>
    <w:p w14:paraId="71887F8B">
      <w:pPr>
        <w:pStyle w:val="4"/>
        <w:bidi w:val="0"/>
        <w:rPr>
          <w:rFonts w:hint="eastAsia"/>
        </w:rPr>
      </w:pPr>
      <w:r>
        <w:rPr>
          <w:rFonts w:hint="eastAsia"/>
          <w:lang w:eastAsia="zh-CN"/>
        </w:rPr>
        <w:t>【</w:t>
      </w:r>
      <w:r>
        <w:rPr>
          <w:rFonts w:hint="eastAsia"/>
        </w:rPr>
        <w:t>网络保障】</w:t>
      </w:r>
    </w:p>
    <w:p w14:paraId="5080C512">
      <w:pPr>
        <w:rPr>
          <w:rFonts w:hint="eastAsia"/>
        </w:rPr>
      </w:pPr>
      <w:r>
        <w:rPr>
          <w:rFonts w:hint="eastAsia"/>
        </w:rPr>
        <w:t>（</w:t>
      </w:r>
      <w:r>
        <w:t>1）基础管理。</w:t>
      </w:r>
      <w:r>
        <w:rPr>
          <w:rFonts w:hint="eastAsia"/>
          <w:lang w:eastAsia="zh-CN"/>
        </w:rPr>
        <w:t>查</w:t>
      </w:r>
      <w:r>
        <w:t>修电缆298宗；</w:t>
      </w:r>
      <w:r>
        <w:rPr>
          <w:rFonts w:hint="eastAsia"/>
        </w:rPr>
        <w:t>迁改杆路</w:t>
      </w:r>
      <w:r>
        <w:t>355条；整治12座交接箱5660对线；达</w:t>
      </w:r>
      <w:r>
        <w:rPr>
          <w:rFonts w:hint="eastAsia"/>
        </w:rPr>
        <w:t>标整治端口</w:t>
      </w:r>
      <w:r>
        <w:t>13349线。（2）网络建设。扩容端口1632线，调配端口2014线。完成3个旧小区、6个</w:t>
      </w:r>
      <w:r>
        <w:rPr>
          <w:rFonts w:hint="eastAsia"/>
        </w:rPr>
        <w:t>新楼盘、</w:t>
      </w:r>
      <w:r>
        <w:t>19个ODN光缆、69个FTTO点的光网建</w:t>
      </w:r>
      <w:r>
        <w:rPr>
          <w:rFonts w:hint="eastAsia"/>
        </w:rPr>
        <w:t>设。完成</w:t>
      </w:r>
      <w:r>
        <w:t>21个电缆改造、25个EPON新建点，8个</w:t>
      </w:r>
      <w:r>
        <w:rPr>
          <w:rFonts w:hint="eastAsia"/>
        </w:rPr>
        <w:t>贝尔</w:t>
      </w:r>
      <w:r>
        <w:t>AG改EPON铜退工程。（3）完善装维服务。</w:t>
      </w:r>
      <w:r>
        <w:rPr>
          <w:rFonts w:hint="eastAsia"/>
        </w:rPr>
        <w:t>开展标准化班组建设，实施装维承包，提升装维质量。减小大小中心之间的维护工作差异，提升维护人员积极性。</w:t>
      </w:r>
    </w:p>
    <w:p w14:paraId="7F048217">
      <w:pPr>
        <w:pStyle w:val="4"/>
        <w:bidi w:val="0"/>
        <w:rPr>
          <w:rFonts w:hint="eastAsia"/>
        </w:rPr>
      </w:pPr>
      <w:r>
        <w:rPr>
          <w:rFonts w:hint="eastAsia"/>
        </w:rPr>
        <w:t>【综合管控】</w:t>
      </w:r>
    </w:p>
    <w:p w14:paraId="32D1C7E8">
      <w:pPr>
        <w:rPr>
          <w:rFonts w:hint="eastAsia"/>
        </w:rPr>
      </w:pPr>
      <w:r>
        <w:rPr>
          <w:rFonts w:hint="eastAsia"/>
        </w:rPr>
        <w:t>（</w:t>
      </w:r>
      <w:r>
        <w:t>1）依法运营。开展</w:t>
      </w:r>
      <w:r>
        <w:rPr>
          <w:rFonts w:hint="eastAsia" w:ascii="宋体" w:hAnsi="宋体" w:cs="宋体"/>
        </w:rPr>
        <w:t>“</w:t>
      </w:r>
      <w:r>
        <w:t>整顿作风</w:t>
      </w:r>
      <w:r>
        <w:rPr>
          <w:rFonts w:hint="eastAsia"/>
          <w:lang w:eastAsia="zh-CN"/>
        </w:rPr>
        <w:t>、</w:t>
      </w:r>
      <w:r>
        <w:rPr>
          <w:rFonts w:hint="eastAsia"/>
        </w:rPr>
        <w:t>面向基层、服务群众”活动、落实中央八项规定，厉行勤俭节约，整治“庸散懒奢”，实施“行风建设回头看”等活动。加强党建和反腐倡廉工作，实施岗位廉政风险点排</w:t>
      </w:r>
      <w:r>
        <w:rPr>
          <w:rFonts w:hint="eastAsia"/>
          <w:lang w:eastAsia="zh-CN"/>
        </w:rPr>
        <w:t>查</w:t>
      </w:r>
      <w:r>
        <w:rPr>
          <w:rFonts w:hint="eastAsia"/>
        </w:rPr>
        <w:t>，维护企业运营安全。（</w:t>
      </w:r>
      <w:r>
        <w:t>2）</w:t>
      </w:r>
      <w:r>
        <w:rPr>
          <w:rFonts w:hint="eastAsia"/>
        </w:rPr>
        <w:t>队伍建设。优化人力资源配置，实施全员竞标农村经营承包，加强员工专业技能和业务素质培训，大力开展岗位练兵竞赛活动，提高员工队伍的整体素质。全年选送</w:t>
      </w:r>
      <w:r>
        <w:t>953人次参加各类培训.（3）开展各</w:t>
      </w:r>
      <w:r>
        <w:rPr>
          <w:rFonts w:hint="eastAsia"/>
        </w:rPr>
        <w:t>类关心关爱员工工作（建“四小”、申请资助金等），为员工提供舒适的工作和生活环境，解决基层员工的后顾之忧。（</w:t>
      </w:r>
      <w:r>
        <w:t>4）安全管理。分公司城乡机</w:t>
      </w:r>
      <w:r>
        <w:rPr>
          <w:rFonts w:hint="eastAsia"/>
        </w:rPr>
        <w:t>房更换</w:t>
      </w:r>
      <w:r>
        <w:t>60多个灭火器，加强分公司通信机房抵御</w:t>
      </w:r>
      <w:r>
        <w:rPr>
          <w:rFonts w:hint="eastAsia"/>
        </w:rPr>
        <w:t>火灾的能力。同时对电缆防</w:t>
      </w:r>
      <w:r>
        <w:rPr>
          <w:rFonts w:hint="eastAsia"/>
          <w:lang w:eastAsia="zh-CN"/>
        </w:rPr>
        <w:t>盗</w:t>
      </w:r>
      <w:r>
        <w:rPr>
          <w:rFonts w:hint="eastAsia"/>
        </w:rPr>
        <w:t>报警器进行合理调配，最大限度发挥报警器的技防作用。</w:t>
      </w:r>
    </w:p>
    <w:p w14:paraId="0CDED5A8">
      <w:pPr>
        <w:pStyle w:val="4"/>
        <w:bidi w:val="0"/>
        <w:rPr>
          <w:rFonts w:hint="eastAsia"/>
        </w:rPr>
      </w:pPr>
      <w:r>
        <w:rPr>
          <w:rFonts w:hint="eastAsia"/>
        </w:rPr>
        <w:t>【获得荣誉】</w:t>
      </w:r>
    </w:p>
    <w:p w14:paraId="671B363E">
      <w:pPr>
        <w:rPr>
          <w:rFonts w:hint="eastAsia"/>
        </w:rPr>
      </w:pPr>
      <w:r>
        <w:t>2013年，南雄分公司获“2013年度</w:t>
      </w:r>
      <w:r>
        <w:rPr>
          <w:rFonts w:hint="eastAsia"/>
        </w:rPr>
        <w:t>韶关分公司先进单位一等奖”和“</w:t>
      </w:r>
      <w:r>
        <w:t>2013年度省公</w:t>
      </w:r>
      <w:r>
        <w:rPr>
          <w:rFonts w:hint="eastAsia"/>
        </w:rPr>
        <w:t>司先进绩效单位（县级分公司）”，城区营销服务中心获“</w:t>
      </w:r>
      <w:r>
        <w:t>2013年度省公司先进绩效单位一等奖（营</w:t>
      </w:r>
      <w:r>
        <w:rPr>
          <w:rFonts w:hint="eastAsia"/>
        </w:rPr>
        <w:t>销服务中心）”，澜河营销服务中心获“</w:t>
      </w:r>
      <w:r>
        <w:t>2013年度</w:t>
      </w:r>
      <w:r>
        <w:rPr>
          <w:rFonts w:hint="eastAsia"/>
        </w:rPr>
        <w:t>省公司先进绩效单位三等奖（营销服务中心）”，珠玑营销服务中心获“</w:t>
      </w:r>
      <w:r>
        <w:t>2013年度一星级家园式营销服</w:t>
      </w:r>
      <w:r>
        <w:rPr>
          <w:rFonts w:hint="eastAsia"/>
        </w:rPr>
        <w:t>务中心”。</w:t>
      </w:r>
      <w:r>
        <w:t>17名员工获”韶关分公司2013年度先</w:t>
      </w:r>
      <w:r>
        <w:rPr>
          <w:rFonts w:hint="eastAsia"/>
        </w:rPr>
        <w:t>进个人”称号，</w:t>
      </w:r>
      <w:r>
        <w:t>7名员工获南雄分公司2013年度</w:t>
      </w:r>
      <w:r>
        <w:rPr>
          <w:rFonts w:hint="eastAsia"/>
          <w:lang w:eastAsia="zh-CN"/>
        </w:rPr>
        <w:t>“</w:t>
      </w:r>
      <w:r>
        <w:rPr>
          <w:rFonts w:hint="eastAsia"/>
        </w:rPr>
        <w:t>先进党员”的称号。</w:t>
      </w:r>
    </w:p>
    <w:p w14:paraId="644C9710">
      <w:pPr>
        <w:jc w:val="right"/>
        <w:rPr>
          <w:rFonts w:hint="eastAsia"/>
          <w:b/>
          <w:bCs/>
        </w:rPr>
      </w:pPr>
      <w:r>
        <w:rPr>
          <w:rFonts w:hint="eastAsia"/>
          <w:b/>
          <w:bCs/>
        </w:rPr>
        <w:t>（李家红）</w:t>
      </w:r>
    </w:p>
    <w:p w14:paraId="256EE21F">
      <w:pPr>
        <w:pStyle w:val="10"/>
        <w:bidi w:val="0"/>
        <w:rPr>
          <w:b/>
          <w:bCs/>
        </w:rPr>
      </w:pPr>
      <w:r>
        <w:rPr>
          <w:rFonts w:hint="eastAsia"/>
          <w:b/>
          <w:bCs/>
        </w:rPr>
        <w:t>附：</w:t>
      </w:r>
      <w:r>
        <w:rPr>
          <w:b/>
          <w:bCs/>
        </w:rPr>
        <w:t>2013年电信南雄分公司领导班子成员名单</w:t>
      </w:r>
    </w:p>
    <w:p w14:paraId="47ACD305">
      <w:pPr>
        <w:pStyle w:val="10"/>
        <w:bidi w:val="0"/>
        <w:rPr>
          <w:rFonts w:hint="eastAsia"/>
        </w:rPr>
      </w:pPr>
      <w:r>
        <w:rPr>
          <w:rFonts w:hint="eastAsia"/>
          <w:b/>
          <w:bCs/>
        </w:rPr>
        <w:t>总</w:t>
      </w:r>
      <w:r>
        <w:rPr>
          <w:rFonts w:hint="eastAsia"/>
          <w:b/>
          <w:bCs/>
          <w:lang w:val="en-US" w:eastAsia="zh-CN"/>
        </w:rPr>
        <w:t xml:space="preserve"> </w:t>
      </w:r>
      <w:r>
        <w:rPr>
          <w:rFonts w:hint="eastAsia"/>
          <w:b/>
          <w:bCs/>
        </w:rPr>
        <w:t>经</w:t>
      </w:r>
      <w:r>
        <w:rPr>
          <w:rFonts w:hint="eastAsia"/>
          <w:b/>
          <w:bCs/>
          <w:lang w:val="en-US" w:eastAsia="zh-CN"/>
        </w:rPr>
        <w:t xml:space="preserve"> </w:t>
      </w:r>
      <w:r>
        <w:rPr>
          <w:rFonts w:hint="eastAsia"/>
          <w:b/>
          <w:bCs/>
        </w:rPr>
        <w:t>理：</w:t>
      </w:r>
      <w:r>
        <w:rPr>
          <w:rFonts w:hint="eastAsia"/>
        </w:rPr>
        <w:t>沈明华</w:t>
      </w:r>
    </w:p>
    <w:p w14:paraId="30A8A08B">
      <w:pPr>
        <w:pStyle w:val="10"/>
        <w:bidi w:val="0"/>
        <w:rPr>
          <w:rFonts w:hint="eastAsia"/>
        </w:rPr>
      </w:pPr>
      <w:r>
        <w:rPr>
          <w:rFonts w:hint="eastAsia"/>
          <w:b/>
          <w:bCs/>
        </w:rPr>
        <w:t>副总经理：</w:t>
      </w:r>
      <w:r>
        <w:rPr>
          <w:rFonts w:hint="eastAsia"/>
        </w:rPr>
        <w:t>刘经宏</w:t>
      </w:r>
      <w:r>
        <w:rPr>
          <w:rFonts w:hint="eastAsia"/>
          <w:lang w:val="en-US" w:eastAsia="zh-CN"/>
        </w:rPr>
        <w:t xml:space="preserve">   </w:t>
      </w:r>
      <w:r>
        <w:rPr>
          <w:rFonts w:hint="eastAsia"/>
        </w:rPr>
        <w:t>黄春海</w:t>
      </w:r>
    </w:p>
    <w:p w14:paraId="79441001">
      <w:pPr>
        <w:pStyle w:val="3"/>
        <w:bidi w:val="0"/>
        <w:rPr>
          <w:rFonts w:hint="default"/>
          <w:lang w:val="en-US" w:eastAsia="zh-CN"/>
        </w:rPr>
      </w:pPr>
      <w:r>
        <w:rPr>
          <w:rFonts w:hint="eastAsia"/>
          <w:lang w:val="en-US" w:eastAsia="zh-CN"/>
        </w:rPr>
        <w:t>联通通信</w:t>
      </w:r>
    </w:p>
    <w:p w14:paraId="51665447">
      <w:pPr>
        <w:pStyle w:val="4"/>
        <w:bidi w:val="0"/>
        <w:rPr>
          <w:rFonts w:hint="eastAsia"/>
        </w:rPr>
      </w:pPr>
      <w:r>
        <w:rPr>
          <w:rFonts w:hint="eastAsia"/>
        </w:rPr>
        <w:t>【概况】</w:t>
      </w:r>
    </w:p>
    <w:p w14:paraId="1184FD86">
      <w:r>
        <w:rPr>
          <w:rFonts w:hint="eastAsia"/>
        </w:rPr>
        <w:t>中国联合网络通信有限公司南雄分公司于</w:t>
      </w:r>
      <w:r>
        <w:t>2000年1月19日正式挂牌成立，隶属中国联合</w:t>
      </w:r>
      <w:r>
        <w:rPr>
          <w:rFonts w:hint="eastAsia"/>
        </w:rPr>
        <w:t>网络通信有限公司韶关分公司，下设经营支撑室</w:t>
      </w:r>
      <w:r>
        <w:rPr>
          <w:rFonts w:hint="eastAsia"/>
          <w:lang w:eastAsia="zh-CN"/>
        </w:rPr>
        <w:t>、</w:t>
      </w:r>
      <w:r>
        <w:rPr>
          <w:rFonts w:hint="eastAsia"/>
        </w:rPr>
        <w:t>雄州营服中心、乡镇营服中心及集团客户室</w:t>
      </w:r>
      <w:r>
        <w:t>4个</w:t>
      </w:r>
      <w:r>
        <w:rPr>
          <w:rFonts w:hint="eastAsia"/>
        </w:rPr>
        <w:t>室，有员工</w:t>
      </w:r>
      <w:r>
        <w:t>22人。</w:t>
      </w:r>
    </w:p>
    <w:p w14:paraId="0BCD710F">
      <w:r>
        <w:t>2013年，面对全新的竞争格局及经营模式转型</w:t>
      </w:r>
      <w:r>
        <w:rPr>
          <w:rFonts w:hint="eastAsia"/>
        </w:rPr>
        <w:t>的整体推进，南雄联通全体干部员工上下一心、风</w:t>
      </w:r>
      <w:r>
        <w:rPr>
          <w:rFonts w:hint="eastAsia"/>
          <w:lang w:eastAsia="zh-CN"/>
        </w:rPr>
        <w:t>雨</w:t>
      </w:r>
      <w:r>
        <w:rPr>
          <w:rFonts w:hint="eastAsia"/>
        </w:rPr>
        <w:t>同舟，突破种种困难，在渠道建设，队伍建设、网络建设及文化建设等方面都取得一定的成绩，公司各项业务实现了有效发展。通信服务</w:t>
      </w:r>
      <w:r>
        <w:rPr>
          <w:rFonts w:hint="eastAsia"/>
          <w:lang w:eastAsia="zh-CN"/>
        </w:rPr>
        <w:t>收入</w:t>
      </w:r>
      <w:r>
        <w:rPr>
          <w:rFonts w:hint="eastAsia"/>
        </w:rPr>
        <w:t>同比增长</w:t>
      </w:r>
      <w:r>
        <w:t>21.62%。</w:t>
      </w:r>
    </w:p>
    <w:p w14:paraId="44C59645">
      <w:pPr>
        <w:pStyle w:val="4"/>
        <w:bidi w:val="0"/>
        <w:rPr>
          <w:rFonts w:hint="eastAsia"/>
        </w:rPr>
      </w:pPr>
      <w:r>
        <w:rPr>
          <w:rFonts w:hint="eastAsia"/>
        </w:rPr>
        <w:t>【业务发展】</w:t>
      </w:r>
    </w:p>
    <w:p w14:paraId="6B108846">
      <w:r>
        <w:t>2013年，2G业务围绕有效发展，定</w:t>
      </w:r>
      <w:r>
        <w:rPr>
          <w:rFonts w:hint="eastAsia"/>
        </w:rPr>
        <w:t>向突破的思路，强化营销组织和营销模式转型，实现了</w:t>
      </w:r>
      <w:r>
        <w:t>2G业务的稳步增长。同时，通过佣金模式的</w:t>
      </w:r>
      <w:r>
        <w:rPr>
          <w:rFonts w:hint="eastAsia"/>
        </w:rPr>
        <w:t>调整，强化话务量营销与维系体系建设，</w:t>
      </w:r>
      <w:r>
        <w:t>2G业务发</w:t>
      </w:r>
      <w:r>
        <w:rPr>
          <w:rFonts w:hint="eastAsia"/>
        </w:rPr>
        <w:t>展有效性不断提升，老用户收入保有率全市排名靠前。在</w:t>
      </w:r>
      <w:r>
        <w:t>3G业务创新发展方面，自3G正式商用后，</w:t>
      </w:r>
      <w:r>
        <w:rPr>
          <w:rFonts w:hint="eastAsia"/>
        </w:rPr>
        <w:t>在严格执行总部原则及省公司</w:t>
      </w:r>
      <w:r>
        <w:t>3G业务管理规范的</w:t>
      </w:r>
      <w:r>
        <w:rPr>
          <w:rFonts w:hint="eastAsia"/>
        </w:rPr>
        <w:t>基础上，积极创新体验营销、文化营销、异业合作模式，通过</w:t>
      </w:r>
      <w:r>
        <w:t>3G渠道建设、价值链合作，极大地促</w:t>
      </w:r>
      <w:r>
        <w:rPr>
          <w:rFonts w:hint="eastAsia"/>
        </w:rPr>
        <w:t>进了</w:t>
      </w:r>
      <w:r>
        <w:t>3G业务的快速发展和3G品牌的传播。</w:t>
      </w:r>
    </w:p>
    <w:p w14:paraId="254CE423">
      <w:pPr>
        <w:rPr>
          <w:rFonts w:hint="eastAsia"/>
        </w:rPr>
      </w:pPr>
      <w:r>
        <w:rPr>
          <w:rFonts w:hint="eastAsia"/>
        </w:rPr>
        <w:t>联通</w:t>
      </w:r>
      <w:r>
        <w:t>3G业务采用WCDMA技术标准，是全世</w:t>
      </w:r>
      <w:r>
        <w:rPr>
          <w:rFonts w:hint="eastAsia"/>
        </w:rPr>
        <w:t>界建设最广泛、技术成熟度最高、可漫游国家最多、支持手机款式最丰富的</w:t>
      </w:r>
      <w:r>
        <w:t>3G标准。据统计，在</w:t>
      </w:r>
      <w:r>
        <w:rPr>
          <w:rFonts w:hint="eastAsia"/>
        </w:rPr>
        <w:t>全球</w:t>
      </w:r>
      <w:r>
        <w:t>208个国家和地区可实现WCDMA网络漫游，</w:t>
      </w:r>
      <w:r>
        <w:rPr>
          <w:rFonts w:hint="eastAsia"/>
        </w:rPr>
        <w:t>全球拥有</w:t>
      </w:r>
      <w:r>
        <w:t>WCDMA用户3.54亿，市场占有率达89.5%。同时，全球有超过1100款手机终端，包</w:t>
      </w:r>
      <w:r>
        <w:rPr>
          <w:rFonts w:hint="eastAsia"/>
        </w:rPr>
        <w:t>括目前流行的</w:t>
      </w:r>
      <w:r>
        <w:t>GSM手机都支持WCDMA业务。联</w:t>
      </w:r>
      <w:r>
        <w:rPr>
          <w:rFonts w:hint="eastAsia"/>
        </w:rPr>
        <w:t>通“沃</w:t>
      </w:r>
      <w:r>
        <w:t>.3G”能向用户提供无线上网卡、手机音</w:t>
      </w:r>
      <w:r>
        <w:rPr>
          <w:rFonts w:hint="eastAsia"/>
        </w:rPr>
        <w:t>乐、手机电视、手机上网、可视电话等</w:t>
      </w:r>
      <w:r>
        <w:t>3G优势业</w:t>
      </w:r>
      <w:r>
        <w:rPr>
          <w:rFonts w:hint="eastAsia"/>
        </w:rPr>
        <w:t>务。在服务方面，能够全面贯彻落实省公司“</w:t>
      </w:r>
      <w:r>
        <w:t>3G</w:t>
      </w:r>
      <w:r>
        <w:rPr>
          <w:rFonts w:hint="eastAsia"/>
        </w:rPr>
        <w:t>保姆式服务”理念与工作要求，根据用户价值和服务需求实行分级服务，打造高素质</w:t>
      </w:r>
      <w:r>
        <w:t>3G专属服务团</w:t>
      </w:r>
      <w:r>
        <w:rPr>
          <w:rFonts w:hint="eastAsia"/>
        </w:rPr>
        <w:t>队，建立一对一的服务体系，</w:t>
      </w:r>
      <w:r>
        <w:t>3G品牌得到客户的</w:t>
      </w:r>
      <w:r>
        <w:rPr>
          <w:rFonts w:hint="eastAsia"/>
        </w:rPr>
        <w:t>认可。</w:t>
      </w:r>
    </w:p>
    <w:p w14:paraId="0475B9C0">
      <w:pPr>
        <w:pStyle w:val="4"/>
        <w:bidi w:val="0"/>
        <w:rPr>
          <w:rFonts w:hint="eastAsia"/>
        </w:rPr>
      </w:pPr>
      <w:r>
        <w:rPr>
          <w:rFonts w:hint="eastAsia"/>
          <w:lang w:eastAsia="zh-CN"/>
        </w:rPr>
        <w:t>【</w:t>
      </w:r>
      <w:r>
        <w:rPr>
          <w:rFonts w:hint="eastAsia"/>
        </w:rPr>
        <w:t>服务和维系】</w:t>
      </w:r>
    </w:p>
    <w:p w14:paraId="17A60DFE">
      <w:pPr>
        <w:rPr>
          <w:rFonts w:hint="eastAsia"/>
        </w:rPr>
      </w:pPr>
      <w:r>
        <w:t>2013年，在客户服务方面，重点</w:t>
      </w:r>
      <w:r>
        <w:rPr>
          <w:rFonts w:hint="eastAsia"/>
        </w:rPr>
        <w:t>推进落实了转型、分级服务，通过改进服务短板，降低投诉，基本实现了提升客户满意度、降低客户投诉率和高端客户离网率的工作目标。特别是在客户维系方面，重点加强预付费的二充维系工作，通过制定统一回访口径，完善回访模板，调整考核机制以及本地二充维系系统的上线应用，维系成效明显。在</w:t>
      </w:r>
      <w:r>
        <w:t>3G用户方面，积极细化落实“保姆式服务”</w:t>
      </w:r>
      <w:r>
        <w:rPr>
          <w:rFonts w:hint="eastAsia"/>
        </w:rPr>
        <w:t>工作要求，针对营业厅发展环节、新入网回访环节、服务经理维系环节设计标准化的流程及脚本，得到省公司的认可，并在全省推广。</w:t>
      </w:r>
    </w:p>
    <w:p w14:paraId="49E70B02">
      <w:pPr>
        <w:pStyle w:val="4"/>
        <w:bidi w:val="0"/>
        <w:rPr>
          <w:rFonts w:hint="eastAsia"/>
        </w:rPr>
      </w:pPr>
      <w:r>
        <w:rPr>
          <w:rFonts w:hint="eastAsia"/>
        </w:rPr>
        <w:t>【网络质量】</w:t>
      </w:r>
    </w:p>
    <w:p w14:paraId="01A52320">
      <w:r>
        <w:rPr>
          <w:rFonts w:hint="eastAsia"/>
        </w:rPr>
        <w:t>网络信号是运营商的核心服务，网络质量是优质服务的基础。</w:t>
      </w:r>
      <w:r>
        <w:t>2013年，南雄联通一直</w:t>
      </w:r>
      <w:r>
        <w:rPr>
          <w:rFonts w:hint="eastAsia"/>
        </w:rPr>
        <w:t>孜孜不倦地致力于网络的建设与优化，让所有客户都能体验到连通四海、沟通在世界的每个角落皆触手可及的便利。为了进一步提高网络覆盖率和服务能力，提升客户满意度，韶关联通集中开展</w:t>
      </w:r>
      <w:r>
        <w:t>2G网</w:t>
      </w:r>
      <w:r>
        <w:rPr>
          <w:rFonts w:hint="eastAsia"/>
        </w:rPr>
        <w:t>络优化劳动竞赛、</w:t>
      </w:r>
      <w:r>
        <w:t>3G网络830专项优化、2G/3G</w:t>
      </w:r>
      <w:r>
        <w:rPr>
          <w:rFonts w:hint="eastAsia"/>
        </w:rPr>
        <w:t>“百日会战”协同优化等一系列专题优化行动，有效改善了网络质量。其中</w:t>
      </w:r>
      <w:r>
        <w:t>2G网络MR质量优良率</w:t>
      </w:r>
      <w:r>
        <w:rPr>
          <w:rFonts w:hint="eastAsia"/>
        </w:rPr>
        <w:t>从</w:t>
      </w:r>
      <w:r>
        <w:t>93.85%提升至98.82%，全面实现高接通率、低</w:t>
      </w:r>
      <w:r>
        <w:rPr>
          <w:rFonts w:hint="eastAsia"/>
        </w:rPr>
        <w:t>掉线率、通话清晰的通信服务，网络质量得到明显改善，</w:t>
      </w:r>
      <w:r>
        <w:t>3G网络指标全面达到总部商用标准。</w:t>
      </w:r>
    </w:p>
    <w:p w14:paraId="3CDE3D3F">
      <w:pPr>
        <w:pStyle w:val="4"/>
        <w:bidi w:val="0"/>
        <w:rPr>
          <w:rFonts w:hint="eastAsia"/>
        </w:rPr>
      </w:pPr>
      <w:r>
        <w:rPr>
          <w:rFonts w:hint="eastAsia"/>
        </w:rPr>
        <w:t>【队伍建设】</w:t>
      </w:r>
    </w:p>
    <w:p w14:paraId="4F730F03">
      <w:pPr>
        <w:rPr>
          <w:rFonts w:hint="eastAsia"/>
          <w:lang w:eastAsia="zh-CN"/>
        </w:rPr>
      </w:pPr>
      <w:r>
        <w:rPr>
          <w:rFonts w:hint="eastAsia"/>
        </w:rPr>
        <w:t>坚持以员工成长为魄，重点落实推进员工“职位体系、激励体系、晋升体系、培训体系”四个体系的建设工作，强化各级管理团队和员工队伍建设。一是围绕“员工成长”和“提高人均效能”的核心目标，做好员工职业生涯发展规划和人员结构性优化配置，尽快建设一支适应新形势</w:t>
      </w:r>
      <w:r>
        <w:rPr>
          <w:rFonts w:hint="eastAsia"/>
          <w:lang w:eastAsia="zh-CN"/>
        </w:rPr>
        <w:t>、</w:t>
      </w:r>
      <w:r>
        <w:rPr>
          <w:rFonts w:hint="eastAsia"/>
        </w:rPr>
        <w:t>新环境的员工队伍，提高工作效能；二是</w:t>
      </w:r>
      <w:r>
        <w:t>2013年</w:t>
      </w:r>
      <w:r>
        <w:rPr>
          <w:rFonts w:hint="eastAsia"/>
        </w:rPr>
        <w:t>的绩效激励体系要转变为注重突出员工</w:t>
      </w:r>
      <w:r>
        <w:t>KPI与员工</w:t>
      </w:r>
      <w:r>
        <w:rPr>
          <w:rFonts w:hint="eastAsia"/>
        </w:rPr>
        <w:t>薪酬直接挂钩，让员工关注</w:t>
      </w:r>
      <w:r>
        <w:t>KPI，充分发挥KPI对</w:t>
      </w:r>
      <w:r>
        <w:rPr>
          <w:rFonts w:hint="eastAsia"/>
        </w:rPr>
        <w:t>员工考核的导向作用，从而调动员工的工作积极性、主动性。三是打造学习型组织，营造良好的学习氛围，把员工学习制度化、体系化，让员工在学习中成长。在管理干部队伍建设方面，牢固树立“有为才能有位，有位必须有为”的意识，英雄不问出处，一切靠业绩说话，靠发展贏得尊重和地位。要求干部队伍必须具备追求卓越的精神，敢于自省的勇气，实事求是的态度和敢作敢为的承担</w:t>
      </w:r>
      <w:r>
        <w:rPr>
          <w:rFonts w:hint="eastAsia"/>
          <w:lang w:eastAsia="zh-CN"/>
        </w:rPr>
        <w:t>。</w:t>
      </w:r>
    </w:p>
    <w:p w14:paraId="3714A76F">
      <w:pPr>
        <w:pStyle w:val="4"/>
        <w:bidi w:val="0"/>
        <w:rPr>
          <w:rFonts w:hint="eastAsia"/>
        </w:rPr>
      </w:pPr>
      <w:r>
        <w:rPr>
          <w:rFonts w:hint="eastAsia"/>
          <w:lang w:eastAsia="zh-CN"/>
        </w:rPr>
        <w:t>【</w:t>
      </w:r>
      <w:r>
        <w:rPr>
          <w:rFonts w:hint="eastAsia"/>
        </w:rPr>
        <w:t>企业管理】</w:t>
      </w:r>
    </w:p>
    <w:p w14:paraId="7547F5CC">
      <w:pPr>
        <w:rPr>
          <w:rFonts w:hint="eastAsia"/>
          <w:lang w:eastAsia="zh-CN"/>
        </w:rPr>
      </w:pPr>
      <w:r>
        <w:rPr>
          <w:rFonts w:hint="eastAsia"/>
        </w:rPr>
        <w:t>南雄联通自成立之日起，即秉承“做优秀企业公民”的理念，充分发挥通信行业信息优势，致力于消除数字鸿沟，构建公平和谐信息社会，大力参与政府信息化、企业信息化、农村信息化应急通信建设，积极推进信息化和行业应用融合，推进高新技术与传统工业改造结合，通过向信息服务商的转型，有效推动整个社会的信息化进程</w:t>
      </w:r>
      <w:r>
        <w:rPr>
          <w:rFonts w:hint="eastAsia"/>
          <w:lang w:eastAsia="zh-CN"/>
        </w:rPr>
        <w:t>。</w:t>
      </w:r>
    </w:p>
    <w:p w14:paraId="38433D7A">
      <w:pPr>
        <w:rPr>
          <w:rFonts w:hint="eastAsia"/>
        </w:rPr>
      </w:pPr>
      <w:r>
        <w:t>2013年，南雄联通积极响应政府建设社会主义</w:t>
      </w:r>
      <w:r>
        <w:rPr>
          <w:rFonts w:hint="eastAsia"/>
        </w:rPr>
        <w:t>新农村号召，推进“村通工程”建设和农村信息化建设，加大对边远山区的网络投资，努力解决农村信息来源和信息传输的两大农业信息化难题，启动“村村通”金农项目和“农博士”项目，更好地拓宽农民农业信息渠道，推动韶关农村信息化建设，有效促进农村经济发展。</w:t>
      </w:r>
    </w:p>
    <w:p w14:paraId="704F6B53">
      <w:pPr>
        <w:rPr>
          <w:rFonts w:hint="eastAsia"/>
        </w:rPr>
      </w:pPr>
      <w:r>
        <w:rPr>
          <w:rFonts w:hint="eastAsia"/>
        </w:rPr>
        <w:t>南雄联通在企业发展的同时不忘回报社会、回报广大客户，支持参与政府开展的精神文明建设活动。参与市扶贫捐赠日活动，帮助弱势群体，开展扶贫助困、奉献爱心等活动。</w:t>
      </w:r>
    </w:p>
    <w:p w14:paraId="5D4770BD">
      <w:pPr>
        <w:jc w:val="right"/>
        <w:rPr>
          <w:rFonts w:hint="eastAsia"/>
          <w:b/>
          <w:bCs/>
        </w:rPr>
      </w:pPr>
      <w:r>
        <w:rPr>
          <w:rFonts w:hint="eastAsia"/>
          <w:b/>
          <w:bCs/>
        </w:rPr>
        <w:t>（张</w:t>
      </w:r>
      <w:r>
        <w:rPr>
          <w:rFonts w:hint="eastAsia"/>
          <w:b/>
          <w:bCs/>
          <w:lang w:val="en-US" w:eastAsia="zh-CN"/>
        </w:rPr>
        <w:t xml:space="preserve">  </w:t>
      </w:r>
      <w:r>
        <w:rPr>
          <w:rFonts w:hint="eastAsia"/>
          <w:b/>
          <w:bCs/>
        </w:rPr>
        <w:t>虹）</w:t>
      </w:r>
    </w:p>
    <w:p w14:paraId="0AD6C0ED">
      <w:pPr>
        <w:pStyle w:val="10"/>
        <w:bidi w:val="0"/>
        <w:rPr>
          <w:b/>
          <w:bCs/>
        </w:rPr>
      </w:pPr>
      <w:r>
        <w:rPr>
          <w:rFonts w:hint="eastAsia"/>
          <w:b/>
          <w:bCs/>
        </w:rPr>
        <w:t>附：</w:t>
      </w:r>
      <w:r>
        <w:rPr>
          <w:b/>
          <w:bCs/>
        </w:rPr>
        <w:t>2013年中国联通南雄分公司领导班子成员名单</w:t>
      </w:r>
    </w:p>
    <w:p w14:paraId="7F6B7103">
      <w:pPr>
        <w:pStyle w:val="10"/>
        <w:bidi w:val="0"/>
        <w:rPr>
          <w:rFonts w:hint="eastAsia"/>
        </w:rPr>
      </w:pPr>
      <w:r>
        <w:rPr>
          <w:rFonts w:hint="eastAsia"/>
          <w:b/>
          <w:bCs/>
        </w:rPr>
        <w:t>总</w:t>
      </w:r>
      <w:r>
        <w:rPr>
          <w:rFonts w:hint="eastAsia"/>
          <w:b/>
          <w:bCs/>
          <w:lang w:val="en-US" w:eastAsia="zh-CN"/>
        </w:rPr>
        <w:t xml:space="preserve"> </w:t>
      </w:r>
      <w:r>
        <w:rPr>
          <w:rFonts w:hint="eastAsia"/>
          <w:b/>
          <w:bCs/>
        </w:rPr>
        <w:t>经</w:t>
      </w:r>
      <w:r>
        <w:rPr>
          <w:rFonts w:hint="eastAsia"/>
          <w:b/>
          <w:bCs/>
          <w:lang w:val="en-US" w:eastAsia="zh-CN"/>
        </w:rPr>
        <w:t xml:space="preserve"> </w:t>
      </w:r>
      <w:r>
        <w:rPr>
          <w:rFonts w:hint="eastAsia"/>
          <w:b/>
          <w:bCs/>
        </w:rPr>
        <w:t>理：</w:t>
      </w:r>
      <w:r>
        <w:rPr>
          <w:rFonts w:hint="eastAsia"/>
          <w:lang w:eastAsia="zh-CN"/>
        </w:rPr>
        <w:t>黄</w:t>
      </w:r>
      <w:r>
        <w:rPr>
          <w:rFonts w:hint="eastAsia"/>
        </w:rPr>
        <w:t>履英</w:t>
      </w:r>
    </w:p>
    <w:p w14:paraId="3ABE3363">
      <w:pPr>
        <w:pStyle w:val="10"/>
        <w:bidi w:val="0"/>
        <w:rPr>
          <w:rFonts w:hint="eastAsia"/>
        </w:rPr>
      </w:pPr>
      <w:r>
        <w:rPr>
          <w:rFonts w:hint="eastAsia"/>
          <w:b/>
          <w:bCs/>
        </w:rPr>
        <w:t>副总经理：</w:t>
      </w:r>
      <w:r>
        <w:rPr>
          <w:rFonts w:hint="eastAsia"/>
        </w:rPr>
        <w:t>朱伟苑</w:t>
      </w:r>
    </w:p>
    <w:p w14:paraId="4058414F">
      <w:pPr>
        <w:pStyle w:val="3"/>
        <w:bidi w:val="0"/>
        <w:rPr>
          <w:rFonts w:hint="default"/>
          <w:lang w:val="en-US" w:eastAsia="zh-CN"/>
        </w:rPr>
      </w:pPr>
      <w:r>
        <w:rPr>
          <w:rFonts w:hint="eastAsia"/>
          <w:lang w:val="en-US" w:eastAsia="zh-CN"/>
        </w:rPr>
        <w:t>移动通信</w:t>
      </w:r>
    </w:p>
    <w:p w14:paraId="1A473A85">
      <w:pPr>
        <w:pStyle w:val="4"/>
        <w:bidi w:val="0"/>
        <w:rPr>
          <w:rFonts w:hint="eastAsia"/>
        </w:rPr>
      </w:pPr>
      <w:r>
        <w:rPr>
          <w:rFonts w:hint="eastAsia"/>
        </w:rPr>
        <w:t>【概况】</w:t>
      </w:r>
    </w:p>
    <w:p w14:paraId="054A868D">
      <w:pPr>
        <w:rPr>
          <w:rFonts w:hint="eastAsia"/>
        </w:rPr>
      </w:pPr>
      <w:r>
        <w:rPr>
          <w:rFonts w:hint="eastAsia"/>
        </w:rPr>
        <w:t>中国移动通信集团广东有限公司南雄分公司（以下简称“南雄移动”）成立于</w:t>
      </w:r>
      <w:r>
        <w:t>1999年，公</w:t>
      </w:r>
      <w:r>
        <w:rPr>
          <w:rFonts w:hint="eastAsia"/>
        </w:rPr>
        <w:t>司位于韶关市南雄市青云西路银兴花园二区</w:t>
      </w:r>
      <w:r>
        <w:t>21栋，</w:t>
      </w:r>
      <w:r>
        <w:rPr>
          <w:rFonts w:hint="eastAsia"/>
        </w:rPr>
        <w:t>现有员工</w:t>
      </w:r>
      <w:r>
        <w:t>50名，大专以上学历占89.1%，在职党</w:t>
      </w:r>
      <w:r>
        <w:rPr>
          <w:rFonts w:hint="eastAsia"/>
        </w:rPr>
        <w:t>员比例达</w:t>
      </w:r>
      <w:r>
        <w:t>26%，平均年龄28岁。2013年南雄移动</w:t>
      </w:r>
      <w:r>
        <w:rPr>
          <w:rFonts w:hint="eastAsia"/>
        </w:rPr>
        <w:t>秉承“正德厚生，臻于至善”的核心价值观，致力于业务发展，扎实工作，强化，狠抓，对内坚持求真务务，埋头苦干的工作作风，强化生产经营管理；对外发扬艰苦奋斗的创业精神，努力开拓市场空间。</w:t>
      </w:r>
      <w:r>
        <w:t>2013年，南雄移动获得广东省安全文化示范</w:t>
      </w:r>
      <w:r>
        <w:rPr>
          <w:rFonts w:hint="eastAsia"/>
        </w:rPr>
        <w:t>企业、韶关市“青年文明号”、韶关市“巾帼文明岗”等荣誉称号。</w:t>
      </w:r>
    </w:p>
    <w:p w14:paraId="782019BB">
      <w:pPr>
        <w:pStyle w:val="4"/>
        <w:bidi w:val="0"/>
        <w:rPr>
          <w:rFonts w:hint="eastAsia"/>
        </w:rPr>
      </w:pPr>
      <w:r>
        <w:rPr>
          <w:rFonts w:hint="eastAsia"/>
          <w:lang w:eastAsia="zh-CN"/>
        </w:rPr>
        <w:t>【</w:t>
      </w:r>
      <w:r>
        <w:rPr>
          <w:rFonts w:hint="eastAsia"/>
        </w:rPr>
        <w:t>市场经营】</w:t>
      </w:r>
    </w:p>
    <w:p w14:paraId="71AF3B9D">
      <w:r>
        <w:rPr>
          <w:rFonts w:hint="eastAsia"/>
        </w:rPr>
        <w:t>南雄移动围绕全业务运营工作思路，采取多举措并举巩固既有优势，有效地结合本地实际情况，充分贯彻落实省、市公司的战略经营策略，致力于个人、家庭、集团三大市场，深化信息化服务能力，较好地实现全年工作目标。截止</w:t>
      </w:r>
      <w:r>
        <w:t>2013</w:t>
      </w:r>
      <w:r>
        <w:rPr>
          <w:rFonts w:hint="eastAsia"/>
        </w:rPr>
        <w:t>年，用户数达</w:t>
      </w:r>
      <w:r>
        <w:t>15万余户，纳税3293562.67元，比2012年增长9</w:t>
      </w:r>
      <w:r>
        <w:rPr>
          <w:rFonts w:hint="eastAsia"/>
          <w:lang w:val="en-US" w:eastAsia="zh-CN"/>
        </w:rPr>
        <w:t>.</w:t>
      </w:r>
      <w:r>
        <w:t>5%。</w:t>
      </w:r>
    </w:p>
    <w:p w14:paraId="30DE38CF">
      <w:pPr>
        <w:pStyle w:val="4"/>
        <w:bidi w:val="0"/>
        <w:rPr>
          <w:rFonts w:hint="eastAsia"/>
        </w:rPr>
      </w:pPr>
      <w:r>
        <w:rPr>
          <w:rFonts w:hint="eastAsia"/>
        </w:rPr>
        <w:t>【基站建设】</w:t>
      </w:r>
    </w:p>
    <w:p w14:paraId="40F6D5BA">
      <w:r>
        <w:t>2013年南雄移动启动网络价值提升</w:t>
      </w:r>
      <w:r>
        <w:rPr>
          <w:rFonts w:hint="eastAsia"/>
        </w:rPr>
        <w:t>工程、网络覆盖扫盲专项工程等一系列网络提升活动，推进</w:t>
      </w:r>
      <w:r>
        <w:t>GSM、TD-SCDMA、WLAN、TD-LTE</w:t>
      </w:r>
      <w:r>
        <w:rPr>
          <w:rFonts w:hint="eastAsia"/>
        </w:rPr>
        <w:t>四网协同运营。</w:t>
      </w:r>
      <w:r>
        <w:t>2013年，南雄移动强化移动通信网</w:t>
      </w:r>
      <w:r>
        <w:rPr>
          <w:rFonts w:hint="eastAsia"/>
        </w:rPr>
        <w:t>的建设，开展天馈整治测试项目，通过参数优化，</w:t>
      </w:r>
      <w:r>
        <w:rPr>
          <w:rFonts w:hint="eastAsia"/>
          <w:lang w:val="en-US" w:eastAsia="zh-CN"/>
        </w:rPr>
        <w:t>更</w:t>
      </w:r>
      <w:r>
        <w:rPr>
          <w:rFonts w:hint="eastAsia"/>
        </w:rPr>
        <w:t>换老旧天线设备等措施，不断深化网络覆盖质量，全面支撑客户需求和市场发展，确保客户的网络满意度持续改善。</w:t>
      </w:r>
      <w:r>
        <w:t>2013年，全面完成GSM、TD</w:t>
      </w:r>
      <w:r>
        <w:rPr>
          <w:rFonts w:hint="eastAsia"/>
          <w:lang w:val="en-US" w:eastAsia="zh-CN"/>
        </w:rPr>
        <w:t>-</w:t>
      </w:r>
      <w:r>
        <w:t>SCDMA及传输网等各项建设任务。2013年南雄</w:t>
      </w:r>
      <w:r>
        <w:rPr>
          <w:rFonts w:hint="eastAsia"/>
        </w:rPr>
        <w:t>移动对客户进行网络满意度调</w:t>
      </w:r>
      <w:r>
        <w:rPr>
          <w:rFonts w:hint="eastAsia"/>
          <w:lang w:eastAsia="zh-CN"/>
        </w:rPr>
        <w:t>查</w:t>
      </w:r>
      <w:r>
        <w:rPr>
          <w:rFonts w:hint="eastAsia"/>
        </w:rPr>
        <w:t>，调</w:t>
      </w:r>
      <w:r>
        <w:rPr>
          <w:rFonts w:hint="eastAsia"/>
          <w:lang w:eastAsia="zh-CN"/>
        </w:rPr>
        <w:t>查</w:t>
      </w:r>
      <w:r>
        <w:rPr>
          <w:rFonts w:hint="eastAsia"/>
        </w:rPr>
        <w:t>结果显示城区全程呼叫成功率达</w:t>
      </w:r>
      <w:r>
        <w:t>100%，城区客户感知接通率99.98%，话音质量98.05%，集团信息化业务客户</w:t>
      </w:r>
      <w:r>
        <w:rPr>
          <w:rFonts w:hint="eastAsia"/>
        </w:rPr>
        <w:t>回访率</w:t>
      </w:r>
      <w:r>
        <w:t>100%，处于同行业领先水平。</w:t>
      </w:r>
    </w:p>
    <w:p w14:paraId="3BE5E108">
      <w:pPr>
        <w:pStyle w:val="4"/>
        <w:bidi w:val="0"/>
        <w:rPr>
          <w:rFonts w:hint="eastAsia"/>
        </w:rPr>
      </w:pPr>
      <w:r>
        <w:rPr>
          <w:rFonts w:hint="eastAsia"/>
          <w:lang w:eastAsia="zh-CN"/>
        </w:rPr>
        <w:t>【</w:t>
      </w:r>
      <w:r>
        <w:rPr>
          <w:rFonts w:hint="eastAsia"/>
        </w:rPr>
        <w:t>窗囗服务】</w:t>
      </w:r>
    </w:p>
    <w:p w14:paraId="7B628378">
      <w:r>
        <w:rPr>
          <w:rFonts w:hint="eastAsia"/>
        </w:rPr>
        <w:t>南雄移动持续开展“优服务更精彩”服务主题活动和民主评议行风工作。提出电子渠道便捷缴费，即短信、电话和网厅，三大妙招便捷缴费：话费明了便捷</w:t>
      </w:r>
      <w:r>
        <w:rPr>
          <w:rFonts w:hint="eastAsia"/>
          <w:lang w:eastAsia="zh-CN"/>
        </w:rPr>
        <w:t>查</w:t>
      </w:r>
      <w:r>
        <w:rPr>
          <w:rFonts w:hint="eastAsia"/>
        </w:rPr>
        <w:t>看，即话费余额便捷</w:t>
      </w:r>
      <w:r>
        <w:rPr>
          <w:rFonts w:hint="eastAsia"/>
          <w:lang w:eastAsia="zh-CN"/>
        </w:rPr>
        <w:t>查</w:t>
      </w:r>
      <w:r>
        <w:rPr>
          <w:rFonts w:hint="eastAsia"/>
        </w:rPr>
        <w:t>询，账单详单清晰易懂；上网流量心中有数，即上网流量主动提醒，用多用少心中有数：业务订退清晰透明，“</w:t>
      </w:r>
      <w:r>
        <w:t>0000</w:t>
      </w:r>
      <w:r>
        <w:rPr>
          <w:rFonts w:hint="eastAsia" w:ascii="宋体" w:hAnsi="宋体" w:cs="宋体"/>
        </w:rPr>
        <w:t>”</w:t>
      </w:r>
      <w:r>
        <w:rPr>
          <w:rFonts w:hint="eastAsia"/>
          <w:lang w:eastAsia="zh-CN"/>
        </w:rPr>
        <w:t>查</w:t>
      </w:r>
      <w:r>
        <w:t>询退订：业务扣费主动提醒，</w:t>
      </w:r>
      <w:r>
        <w:rPr>
          <w:rFonts w:hint="eastAsia"/>
        </w:rPr>
        <w:t>即业务扣费短信提醒，主动提醒让您放心。同时不断优化客户投诉处理流程和持续加强垃圾短信的治理。实现投诉处理率达到</w:t>
      </w:r>
      <w:r>
        <w:t>90%，群众满意率达到98%以上。</w:t>
      </w:r>
    </w:p>
    <w:p w14:paraId="6521344E">
      <w:pPr>
        <w:pStyle w:val="4"/>
        <w:bidi w:val="0"/>
        <w:rPr>
          <w:rFonts w:hint="eastAsia"/>
        </w:rPr>
      </w:pPr>
      <w:r>
        <w:rPr>
          <w:rFonts w:hint="eastAsia"/>
        </w:rPr>
        <w:t>【基础管理】</w:t>
      </w:r>
    </w:p>
    <w:p w14:paraId="0FED2BFE">
      <w:pPr>
        <w:rPr>
          <w:rFonts w:hint="eastAsia"/>
        </w:rPr>
      </w:pPr>
      <w:r>
        <w:rPr>
          <w:rFonts w:hint="eastAsia"/>
        </w:rPr>
        <w:t>夯实工作责任，加大检</w:t>
      </w:r>
      <w:r>
        <w:rPr>
          <w:rFonts w:hint="eastAsia"/>
          <w:lang w:eastAsia="zh-CN"/>
        </w:rPr>
        <w:t>查</w:t>
      </w:r>
      <w:r>
        <w:rPr>
          <w:rFonts w:hint="eastAsia"/>
        </w:rPr>
        <w:t>、考核奖罚力度；加强财务预算管理，按月进行财务分析，细化经营工作，完善各项激励措施，有效提高经营收入；完善生产经营管理制度，以创新管理作为提高企业经营效益的重要保障，通过宣传、培训及制度建设，强化项目管理，注重企业文化建设及党风</w:t>
      </w:r>
      <w:r>
        <w:rPr>
          <w:rFonts w:hint="eastAsia"/>
          <w:lang w:val="en-US" w:eastAsia="zh-CN"/>
        </w:rPr>
        <w:t>廉</w:t>
      </w:r>
      <w:r>
        <w:rPr>
          <w:rFonts w:hint="eastAsia"/>
        </w:rPr>
        <w:t>政建设，鼓舞员工士气，营造良好的企业氛围。</w:t>
      </w:r>
    </w:p>
    <w:p w14:paraId="389F06BC">
      <w:pPr>
        <w:pStyle w:val="4"/>
        <w:bidi w:val="0"/>
        <w:rPr>
          <w:rFonts w:hint="eastAsia"/>
        </w:rPr>
      </w:pPr>
      <w:r>
        <w:rPr>
          <w:rFonts w:hint="eastAsia"/>
        </w:rPr>
        <w:t>【文化建设】</w:t>
      </w:r>
    </w:p>
    <w:p w14:paraId="4061DAFA">
      <w:pPr>
        <w:rPr>
          <w:rFonts w:hint="eastAsia"/>
        </w:rPr>
      </w:pPr>
      <w:r>
        <w:t>2013年南雄移动结合“正德厚生臻</w:t>
      </w:r>
      <w:r>
        <w:rPr>
          <w:rFonts w:hint="eastAsia"/>
        </w:rPr>
        <w:t>于至善”的企业文化精神，持续开展公民道德教育，如道德讲堂、青年岗位能手评选、青年文明号、巾帼文明岗创建等系列活动。</w:t>
      </w:r>
    </w:p>
    <w:p w14:paraId="58DB976F">
      <w:pPr>
        <w:pStyle w:val="4"/>
        <w:bidi w:val="0"/>
        <w:rPr>
          <w:rFonts w:hint="eastAsia"/>
        </w:rPr>
      </w:pPr>
      <w:r>
        <w:rPr>
          <w:rFonts w:hint="eastAsia"/>
        </w:rPr>
        <w:t>【公益活动】</w:t>
      </w:r>
    </w:p>
    <w:p w14:paraId="08E1CB47">
      <w:pPr>
        <w:rPr>
          <w:rFonts w:hint="eastAsia"/>
        </w:rPr>
      </w:pPr>
      <w:r>
        <w:t>2013年，南雄移动开展常态化的扶</w:t>
      </w:r>
      <w:r>
        <w:rPr>
          <w:rFonts w:hint="eastAsia"/>
        </w:rPr>
        <w:t>贫“双到”慰</w:t>
      </w:r>
      <w:r>
        <w:rPr>
          <w:rFonts w:hint="eastAsia"/>
          <w:lang w:val="en-US" w:eastAsia="zh-CN"/>
        </w:rPr>
        <w:t>问</w:t>
      </w:r>
      <w:r>
        <w:rPr>
          <w:rFonts w:hint="eastAsia"/>
        </w:rPr>
        <w:t>工作，为贫困户带去慰问金、生活用品等，支持泷头村委各项工作的开展，累计捐赠金额达</w:t>
      </w:r>
      <w:r>
        <w:t>11445元；发送公益宣传短息达252万条，</w:t>
      </w:r>
      <w:r>
        <w:rPr>
          <w:rFonts w:hint="eastAsia"/>
        </w:rPr>
        <w:t>在城区主干道增设公益广告；累计投入</w:t>
      </w:r>
      <w:r>
        <w:t>3万元，开</w:t>
      </w:r>
      <w:r>
        <w:rPr>
          <w:rFonts w:hint="eastAsia"/>
        </w:rPr>
        <w:t>展勤工俭学，帮助困难学生；开展“情暖回家路”外出务工人员春节返乡服务工作、学雷锋活动、植树志愿者活动、“</w:t>
      </w:r>
      <w:r>
        <w:t>3·15”消费者维权日等十多项公</w:t>
      </w:r>
      <w:r>
        <w:rPr>
          <w:rFonts w:hint="eastAsia"/>
        </w:rPr>
        <w:t>益活动。同时为“农村手机支付”服务点的商户免费发放惠农支付手机，帮助广大农村地区融入现代金融体系。</w:t>
      </w:r>
    </w:p>
    <w:p w14:paraId="447238E5">
      <w:pPr>
        <w:jc w:val="right"/>
        <w:rPr>
          <w:rFonts w:hint="eastAsia"/>
          <w:b/>
          <w:bCs/>
        </w:rPr>
      </w:pPr>
      <w:r>
        <w:rPr>
          <w:rFonts w:hint="eastAsia"/>
          <w:b/>
          <w:bCs/>
        </w:rPr>
        <w:t>（移动通信南雄分公司）</w:t>
      </w:r>
    </w:p>
    <w:p w14:paraId="00126B74">
      <w:pPr>
        <w:pStyle w:val="10"/>
        <w:bidi w:val="0"/>
        <w:rPr>
          <w:b/>
          <w:bCs/>
        </w:rPr>
      </w:pPr>
      <w:r>
        <w:rPr>
          <w:rFonts w:hint="eastAsia"/>
          <w:b/>
          <w:bCs/>
        </w:rPr>
        <w:t>附：</w:t>
      </w:r>
      <w:r>
        <w:rPr>
          <w:b/>
          <w:bCs/>
        </w:rPr>
        <w:t>2013年中国移动南雄分公司领导班子成员名单</w:t>
      </w:r>
    </w:p>
    <w:p w14:paraId="52B6A355">
      <w:pPr>
        <w:pStyle w:val="10"/>
        <w:bidi w:val="0"/>
        <w:rPr>
          <w:rFonts w:hint="eastAsia"/>
        </w:rPr>
      </w:pPr>
      <w:r>
        <w:rPr>
          <w:rFonts w:hint="eastAsia"/>
          <w:b/>
          <w:bCs/>
        </w:rPr>
        <w:t>总</w:t>
      </w:r>
      <w:r>
        <w:rPr>
          <w:rFonts w:hint="eastAsia"/>
          <w:b/>
          <w:bCs/>
          <w:lang w:val="en-US" w:eastAsia="zh-CN"/>
        </w:rPr>
        <w:t xml:space="preserve"> </w:t>
      </w:r>
      <w:r>
        <w:rPr>
          <w:rFonts w:hint="eastAsia"/>
          <w:b/>
          <w:bCs/>
        </w:rPr>
        <w:t>经</w:t>
      </w:r>
      <w:r>
        <w:rPr>
          <w:rFonts w:hint="eastAsia"/>
          <w:b/>
          <w:bCs/>
          <w:lang w:val="en-US" w:eastAsia="zh-CN"/>
        </w:rPr>
        <w:t xml:space="preserve"> </w:t>
      </w:r>
      <w:r>
        <w:rPr>
          <w:rFonts w:hint="eastAsia"/>
          <w:b/>
          <w:bCs/>
        </w:rPr>
        <w:t>理：</w:t>
      </w:r>
      <w:r>
        <w:rPr>
          <w:rFonts w:hint="eastAsia"/>
        </w:rPr>
        <w:t>贺美田</w:t>
      </w:r>
    </w:p>
    <w:p w14:paraId="483B25CA">
      <w:pPr>
        <w:pStyle w:val="10"/>
        <w:bidi w:val="0"/>
        <w:rPr>
          <w:rFonts w:hint="eastAsia"/>
        </w:rPr>
      </w:pPr>
      <w:r>
        <w:rPr>
          <w:rFonts w:hint="eastAsia"/>
          <w:b/>
          <w:bCs/>
        </w:rPr>
        <w:t>副总经理：</w:t>
      </w:r>
      <w:r>
        <w:rPr>
          <w:rFonts w:hint="eastAsia"/>
        </w:rPr>
        <w:t>张世杰</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A47A0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42928EE">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8075" cy="3211830"/>
                  <wp:effectExtent l="0" t="0" r="3175" b="7620"/>
                  <wp:docPr id="55" name="图片 55" descr="南雄年鉴2014-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南雄年鉴2014-055"/>
                          <pic:cNvPicPr>
                            <a:picLocks noChangeAspect="1"/>
                          </pic:cNvPicPr>
                        </pic:nvPicPr>
                        <pic:blipFill>
                          <a:blip r:embed="rId125"/>
                          <a:stretch>
                            <a:fillRect/>
                          </a:stretch>
                        </pic:blipFill>
                        <pic:spPr>
                          <a:xfrm>
                            <a:off x="0" y="0"/>
                            <a:ext cx="6188075" cy="3211830"/>
                          </a:xfrm>
                          <a:prstGeom prst="rect">
                            <a:avLst/>
                          </a:prstGeom>
                        </pic:spPr>
                      </pic:pic>
                    </a:graphicData>
                  </a:graphic>
                </wp:inline>
              </w:drawing>
            </w:r>
          </w:p>
        </w:tc>
      </w:tr>
    </w:tbl>
    <w:p w14:paraId="07AC240D">
      <w:pPr>
        <w:pStyle w:val="2"/>
        <w:bidi w:val="0"/>
        <w:rPr>
          <w:rFonts w:hint="eastAsia"/>
        </w:rPr>
      </w:pPr>
      <w:r>
        <w:rPr>
          <w:rFonts w:hint="eastAsia"/>
        </w:rPr>
        <w:t>城建·环保</w:t>
      </w:r>
    </w:p>
    <w:p w14:paraId="16CCA5E2">
      <w:pPr>
        <w:pStyle w:val="3"/>
        <w:bidi w:val="0"/>
        <w:rPr>
          <w:rFonts w:hint="default" w:eastAsia="宋体"/>
          <w:lang w:val="en-US" w:eastAsia="zh-CN"/>
        </w:rPr>
      </w:pPr>
      <w:r>
        <w:rPr>
          <w:rFonts w:hint="eastAsia"/>
          <w:lang w:val="en-US" w:eastAsia="zh-CN"/>
        </w:rPr>
        <w:t>城乡规划</w:t>
      </w:r>
    </w:p>
    <w:p w14:paraId="1F7E947F">
      <w:pPr>
        <w:pStyle w:val="4"/>
        <w:bidi w:val="0"/>
        <w:rPr>
          <w:rFonts w:hint="eastAsia"/>
        </w:rPr>
      </w:pPr>
      <w:r>
        <w:rPr>
          <w:rFonts w:hint="eastAsia"/>
        </w:rPr>
        <w:t>【概况】</w:t>
      </w:r>
    </w:p>
    <w:p w14:paraId="115EB946">
      <w:pPr>
        <w:rPr>
          <w:rFonts w:hint="eastAsia"/>
          <w:lang w:eastAsia="zh-CN"/>
        </w:rPr>
      </w:pPr>
      <w:r>
        <w:rPr>
          <w:rFonts w:hint="eastAsia"/>
        </w:rPr>
        <w:t>以贯彻落实《中华人民共和国城乡规划法》为主线，落实科学发展观要求，围绕建设宜居宜业</w:t>
      </w:r>
      <w:r>
        <w:rPr>
          <w:rFonts w:hint="eastAsia"/>
          <w:lang w:eastAsia="zh-CN"/>
        </w:rPr>
        <w:t>粤</w:t>
      </w:r>
      <w:r>
        <w:rPr>
          <w:rFonts w:hint="eastAsia"/>
        </w:rPr>
        <w:t>北门户城市的总体目标，完善城乡规划科学民主决策机制，加快城乡规划编制步伐，发挥较好的规划引领作用，推进城乡区域统筹协调发展，努力营造生态宜居环境</w:t>
      </w:r>
      <w:r>
        <w:rPr>
          <w:rFonts w:hint="eastAsia"/>
          <w:lang w:eastAsia="zh-CN"/>
        </w:rPr>
        <w:t>。</w:t>
      </w:r>
    </w:p>
    <w:p w14:paraId="21291D8C">
      <w:pPr>
        <w:pStyle w:val="4"/>
        <w:bidi w:val="0"/>
        <w:rPr>
          <w:rFonts w:hint="eastAsia"/>
        </w:rPr>
      </w:pPr>
      <w:r>
        <w:rPr>
          <w:rFonts w:hint="eastAsia"/>
        </w:rPr>
        <w:t>【城乡规划编制】</w:t>
      </w:r>
    </w:p>
    <w:p w14:paraId="560B528B">
      <w:r>
        <w:rPr>
          <w:rFonts w:hint="eastAsia"/>
        </w:rPr>
        <w:t>继续高起点、高标准做好南雄市城市总体规划修改工作，聘请广东省城乡规划设计研究对城市总体规划进行修改，于</w:t>
      </w:r>
      <w:r>
        <w:t>2013年8月30日完成规划纲要的评审，2014年内有望完成规</w:t>
      </w:r>
      <w:r>
        <w:rPr>
          <w:rFonts w:hint="eastAsia"/>
        </w:rPr>
        <w:t>划成果并按有关程序上报。村镇规划编制工作力度加大，开展全安镇、古市镇、主田镇、帽子峰镇、湖口镇、江头镇、坪田镇、邓坊镇、界址镇</w:t>
      </w:r>
      <w:r>
        <w:t>9个镇</w:t>
      </w:r>
      <w:r>
        <w:rPr>
          <w:rFonts w:hint="eastAsia"/>
        </w:rPr>
        <w:t>的镇区总体编制工作。以建设名镇名村示范村建设规划为契机，完成</w:t>
      </w:r>
      <w:r>
        <w:t>1个名镇、10名村，25个示范</w:t>
      </w:r>
      <w:r>
        <w:rPr>
          <w:rFonts w:hint="eastAsia"/>
        </w:rPr>
        <w:t>村、</w:t>
      </w:r>
      <w:r>
        <w:t>45个贫困村的规划编制。做好中心城区及乡镇</w:t>
      </w:r>
      <w:r>
        <w:rPr>
          <w:rFonts w:hint="eastAsia"/>
        </w:rPr>
        <w:t>挂牌用地规划设计工作，并及时送交国土部门，完成用地规划控制设计</w:t>
      </w:r>
      <w:r>
        <w:t>41块，面积525728.2平方米，</w:t>
      </w:r>
      <w:r>
        <w:rPr>
          <w:rFonts w:hint="eastAsia"/>
        </w:rPr>
        <w:t>其中工业类用地</w:t>
      </w:r>
      <w:r>
        <w:t>8块。</w:t>
      </w:r>
    </w:p>
    <w:p w14:paraId="63ACEF40">
      <w:pPr>
        <w:pStyle w:val="4"/>
        <w:bidi w:val="0"/>
        <w:rPr>
          <w:rFonts w:hint="eastAsia"/>
        </w:rPr>
      </w:pPr>
      <w:r>
        <w:rPr>
          <w:rFonts w:hint="eastAsia"/>
        </w:rPr>
        <w:t>【城市规划管理】</w:t>
      </w:r>
    </w:p>
    <w:p w14:paraId="11257DEA">
      <w:r>
        <w:rPr>
          <w:rFonts w:hint="eastAsia"/>
        </w:rPr>
        <w:t>在《城区总体规划》的指导下，始终坚持将规划工作摆到突出的位置上来抓，依法审批“一书两证”，并做好市政设施施工图设计和测量放线工作，做好全市工程规划报建工作，</w:t>
      </w:r>
      <w:r>
        <w:t>2013年办理工程规划许可项目63项，建筑面积</w:t>
      </w:r>
      <w:r>
        <w:rPr>
          <w:rFonts w:hint="eastAsia"/>
          <w:lang w:eastAsia="zh-CN"/>
        </w:rPr>
        <w:t>：</w:t>
      </w:r>
      <w:r>
        <w:t>457184.2平方米，其中工业类项目16宗，建筑面</w:t>
      </w:r>
      <w:r>
        <w:rPr>
          <w:rFonts w:hint="eastAsia"/>
        </w:rPr>
        <w:t>积</w:t>
      </w:r>
      <w:r>
        <w:t>121239</w:t>
      </w:r>
      <w:r>
        <w:rPr>
          <w:rFonts w:hint="eastAsia"/>
          <w:lang w:val="en-US" w:eastAsia="zh-CN"/>
        </w:rPr>
        <w:t>.</w:t>
      </w:r>
      <w:r>
        <w:t>8平方米，市政工程15项，私人建设4</w:t>
      </w:r>
      <w:r>
        <w:rPr>
          <w:rFonts w:hint="eastAsia"/>
        </w:rPr>
        <w:t>项，面积</w:t>
      </w:r>
      <w:r>
        <w:t>1526平方米。</w:t>
      </w:r>
    </w:p>
    <w:p w14:paraId="7CAF3DB0">
      <w:pPr>
        <w:pStyle w:val="4"/>
        <w:bidi w:val="0"/>
        <w:rPr>
          <w:rFonts w:hint="eastAsia"/>
        </w:rPr>
      </w:pPr>
      <w:r>
        <w:rPr>
          <w:rFonts w:hint="eastAsia"/>
          <w:lang w:eastAsia="zh-CN"/>
        </w:rPr>
        <w:t>【</w:t>
      </w:r>
      <w:r>
        <w:rPr>
          <w:rFonts w:hint="eastAsia"/>
        </w:rPr>
        <w:t>城市档案】</w:t>
      </w:r>
    </w:p>
    <w:p w14:paraId="7864AAB5">
      <w:pPr>
        <w:rPr>
          <w:rFonts w:hint="eastAsia"/>
        </w:rPr>
      </w:pPr>
      <w:r>
        <w:rPr>
          <w:rFonts w:hint="eastAsia"/>
        </w:rPr>
        <w:t>因目前住建局的条件及经费所限，规划档案资料归档只是处于较简单的存放，未能做到整理、归档、存放一整套规范工作程序，住建局也计划争取条件，把该项工作规范化。</w:t>
      </w:r>
    </w:p>
    <w:p w14:paraId="1FDFF30A">
      <w:pPr>
        <w:pStyle w:val="4"/>
        <w:bidi w:val="0"/>
        <w:rPr>
          <w:rFonts w:hint="eastAsia"/>
        </w:rPr>
      </w:pPr>
      <w:r>
        <w:rPr>
          <w:rFonts w:hint="eastAsia"/>
        </w:rPr>
        <w:t>【重点项目】</w:t>
      </w:r>
    </w:p>
    <w:p w14:paraId="23B8A3C7">
      <w:r>
        <w:t>2013年，按照</w:t>
      </w:r>
      <w:r>
        <w:rPr>
          <w:rFonts w:hint="eastAsia"/>
          <w:lang w:eastAsia="zh-CN"/>
        </w:rPr>
        <w:t>市委市政府</w:t>
      </w:r>
      <w:r>
        <w:t>关于重点项</w:t>
      </w:r>
      <w:r>
        <w:rPr>
          <w:rFonts w:hint="eastAsia"/>
        </w:rPr>
        <w:t>目建设的任务目标及进度要求，做好项目规划、选址等工作，推动重点项目的顺利建设。东方（大润发）广场项目，购物中心于</w:t>
      </w:r>
      <w:r>
        <w:t>2013年10月10日已</w:t>
      </w:r>
      <w:r>
        <w:rPr>
          <w:rFonts w:hint="eastAsia"/>
        </w:rPr>
        <w:t>经封顶，正在进行招商工作，计划于</w:t>
      </w:r>
      <w:r>
        <w:t>2014年1月15日前开业，投入工程建设资金约2亿元。大福国</w:t>
      </w:r>
      <w:r>
        <w:rPr>
          <w:rFonts w:hint="eastAsia"/>
        </w:rPr>
        <w:t>际名城项目，一期</w:t>
      </w:r>
      <w:r>
        <w:t>Z1、Z2、</w:t>
      </w:r>
      <w:r>
        <w:rPr>
          <w:rFonts w:hint="eastAsia"/>
          <w:lang w:val="en-US" w:eastAsia="zh-CN"/>
        </w:rPr>
        <w:t>Z</w:t>
      </w:r>
      <w:r>
        <w:t>3、</w:t>
      </w:r>
      <w:r>
        <w:rPr>
          <w:rFonts w:hint="eastAsia"/>
          <w:lang w:val="en-US" w:eastAsia="zh-CN"/>
        </w:rPr>
        <w:t>Z</w:t>
      </w:r>
      <w:r>
        <w:t>4、</w:t>
      </w:r>
      <w:r>
        <w:rPr>
          <w:rFonts w:hint="eastAsia"/>
          <w:lang w:val="en-US" w:eastAsia="zh-CN"/>
        </w:rPr>
        <w:t>Z</w:t>
      </w:r>
      <w:r>
        <w:t>7、</w:t>
      </w:r>
      <w:r>
        <w:rPr>
          <w:rFonts w:hint="eastAsia"/>
          <w:lang w:val="en-US" w:eastAsia="zh-CN"/>
        </w:rPr>
        <w:t>Z</w:t>
      </w:r>
      <w:r>
        <w:t>8六栋</w:t>
      </w:r>
      <w:r>
        <w:rPr>
          <w:rFonts w:hint="eastAsia"/>
        </w:rPr>
        <w:t>商住楼和商业中心已经封顶；</w:t>
      </w:r>
      <w:r>
        <w:t>Z5、</w:t>
      </w:r>
      <w:r>
        <w:rPr>
          <w:rFonts w:hint="eastAsia"/>
          <w:lang w:val="en-US" w:eastAsia="zh-CN"/>
        </w:rPr>
        <w:t>Z</w:t>
      </w:r>
      <w:r>
        <w:t>6楼已完成基</w:t>
      </w:r>
      <w:r>
        <w:rPr>
          <w:rFonts w:hint="eastAsia"/>
        </w:rPr>
        <w:t>础的施工建设；</w:t>
      </w:r>
      <w:r>
        <w:t>2013年完成建筑面积约10.1万平</w:t>
      </w:r>
      <w:r>
        <w:rPr>
          <w:rFonts w:hint="eastAsia"/>
        </w:rPr>
        <w:t>方米，完成土建投资约</w:t>
      </w:r>
      <w:r>
        <w:t>1.12亿元。辅助桥2#桥桩</w:t>
      </w:r>
      <w:r>
        <w:rPr>
          <w:rFonts w:hint="eastAsia"/>
        </w:rPr>
        <w:t>基础全部完成，</w:t>
      </w:r>
      <w:r>
        <w:t>1#桥在建6只桩基础，余8只未完</w:t>
      </w:r>
      <w:r>
        <w:rPr>
          <w:rFonts w:hint="eastAsia"/>
        </w:rPr>
        <w:t>成。位于城区南面的原南雄市雄州森林公园内的雄州公园，整个项目占地面积</w:t>
      </w:r>
      <w:r>
        <w:t>600亩，造价约8000</w:t>
      </w:r>
      <w:r>
        <w:rPr>
          <w:rFonts w:hint="eastAsia"/>
        </w:rPr>
        <w:t>万元，规划建设一个配套完善道路、绿道、公厕停车、休闲亭、台、座椅等配套设施，将自然生态与历史文化融合，具有南雄特色的综合性公园，现已完成总长</w:t>
      </w:r>
      <w:r>
        <w:t>239米，宽42米的园前道路工程建设，</w:t>
      </w:r>
      <w:r>
        <w:rPr>
          <w:rFonts w:hint="eastAsia"/>
        </w:rPr>
        <w:t>包括两侧的人行道、绿化带、停车场工程以及中间宽</w:t>
      </w:r>
      <w:r>
        <w:t>14米的市政道路工程，亮化工程等。</w:t>
      </w:r>
    </w:p>
    <w:p w14:paraId="13B365EF">
      <w:pPr>
        <w:pStyle w:val="3"/>
        <w:bidi w:val="0"/>
        <w:rPr>
          <w:rFonts w:hint="default"/>
          <w:lang w:val="en-US" w:eastAsia="zh-CN"/>
        </w:rPr>
      </w:pPr>
      <w:r>
        <w:rPr>
          <w:rFonts w:hint="eastAsia"/>
          <w:lang w:val="en-US" w:eastAsia="zh-CN"/>
        </w:rPr>
        <w:t>城乡建设</w:t>
      </w:r>
    </w:p>
    <w:p w14:paraId="74C4D0AC">
      <w:pPr>
        <w:pStyle w:val="4"/>
        <w:bidi w:val="0"/>
        <w:rPr>
          <w:rFonts w:hint="eastAsia"/>
        </w:rPr>
      </w:pPr>
      <w:r>
        <w:rPr>
          <w:rFonts w:hint="eastAsia"/>
        </w:rPr>
        <w:t>【概况】</w:t>
      </w:r>
    </w:p>
    <w:p w14:paraId="586E6005">
      <w:pPr>
        <w:rPr>
          <w:rFonts w:hint="eastAsia"/>
        </w:rPr>
      </w:pPr>
      <w:r>
        <w:rPr>
          <w:rFonts w:hint="eastAsia"/>
        </w:rPr>
        <w:t>以建设宜居宜业的粤北门户城市为目标，坚持“高起点规划、高标准建设、高效能管理、高水平经营”的理念，按照城区“北移东扩</w:t>
      </w:r>
      <w:r>
        <w:rPr>
          <w:rFonts w:hint="eastAsia"/>
          <w:lang w:eastAsia="zh-CN"/>
        </w:rPr>
        <w:t>、</w:t>
      </w:r>
      <w:r>
        <w:rPr>
          <w:rFonts w:hint="eastAsia"/>
        </w:rPr>
        <w:t>西建南绿”的发展思路，不断完善城乡基础设施，拉大城市框架，城镇化进程不断加快。</w:t>
      </w:r>
    </w:p>
    <w:p w14:paraId="388E9E9D">
      <w:pPr>
        <w:pStyle w:val="4"/>
        <w:bidi w:val="0"/>
        <w:rPr>
          <w:rFonts w:hint="eastAsia"/>
        </w:rPr>
      </w:pPr>
      <w:r>
        <w:rPr>
          <w:rFonts w:hint="eastAsia"/>
        </w:rPr>
        <w:t>【城乡基础设施建设】</w:t>
      </w:r>
    </w:p>
    <w:p w14:paraId="2DD9BA94">
      <w:r>
        <w:rPr>
          <w:rFonts w:hint="eastAsia"/>
        </w:rPr>
        <w:t>在管道燃气方面，</w:t>
      </w:r>
      <w:r>
        <w:t>2013年</w:t>
      </w:r>
      <w:r>
        <w:rPr>
          <w:rFonts w:hint="eastAsia"/>
        </w:rPr>
        <w:t>佛燃天燃气公司计划投资</w:t>
      </w:r>
      <w:r>
        <w:t>918万元，现已完成一期</w:t>
      </w:r>
      <w:r>
        <w:rPr>
          <w:rFonts w:hint="eastAsia"/>
        </w:rPr>
        <w:t>工业园区、乐华段及城区部分管道燃气敷设，总长约</w:t>
      </w:r>
      <w:r>
        <w:t>20公里，并经过整体验收后接通天然气；</w:t>
      </w:r>
      <w:r>
        <w:rPr>
          <w:rFonts w:hint="eastAsia"/>
          <w:lang w:val="en-US" w:eastAsia="zh-CN"/>
        </w:rPr>
        <w:t>L</w:t>
      </w:r>
      <w:r>
        <w:t>NG</w:t>
      </w:r>
      <w:r>
        <w:rPr>
          <w:rFonts w:hint="eastAsia"/>
        </w:rPr>
        <w:t>气站项目已完成</w:t>
      </w:r>
      <w:r>
        <w:t>LNG站主体工程及气站辅助楼、综</w:t>
      </w:r>
      <w:r>
        <w:rPr>
          <w:rFonts w:hint="eastAsia"/>
        </w:rPr>
        <w:t>合楼等工程，完成楼栋管安装约</w:t>
      </w:r>
      <w:r>
        <w:t>100户。做好凌江</w:t>
      </w:r>
      <w:r>
        <w:rPr>
          <w:rFonts w:hint="eastAsia"/>
        </w:rPr>
        <w:t>河滨绿道规划和施工图设计，并在</w:t>
      </w:r>
      <w:r>
        <w:t>2013年5月完</w:t>
      </w:r>
      <w:r>
        <w:rPr>
          <w:rFonts w:hint="eastAsia"/>
        </w:rPr>
        <w:t>成，同月移交城投公司组织实施，首期工程长度</w:t>
      </w:r>
      <w:r>
        <w:t>2.3公里绿道已完工。做好大润发广场及新八一小</w:t>
      </w:r>
      <w:r>
        <w:rPr>
          <w:rFonts w:hint="eastAsia"/>
        </w:rPr>
        <w:t>学周边等</w:t>
      </w:r>
      <w:r>
        <w:t>7条（A、B、C、D、E、F、G）道路工</w:t>
      </w:r>
      <w:r>
        <w:rPr>
          <w:rFonts w:hint="eastAsia"/>
        </w:rPr>
        <w:t>程，雄州公园、主田路、教育南路、新</w:t>
      </w:r>
      <w:r>
        <w:t>G323线到</w:t>
      </w:r>
      <w:r>
        <w:rPr>
          <w:rFonts w:hint="eastAsia"/>
        </w:rPr>
        <w:t>火车站广场等市政设施施工图设计，并及时移交市城投公司、交通局进行组织施工建设工作。城乡环卫设施方面，积极开展城乡垃圾处理工作，至</w:t>
      </w:r>
      <w:r>
        <w:t>2013</w:t>
      </w:r>
      <w:r>
        <w:rPr>
          <w:rFonts w:hint="eastAsia"/>
        </w:rPr>
        <w:t>年底，雄州街道已建成</w:t>
      </w:r>
      <w:r>
        <w:t>2个转运站，17个乡镇的生</w:t>
      </w:r>
      <w:r>
        <w:rPr>
          <w:rFonts w:hint="eastAsia"/>
        </w:rPr>
        <w:t>活垃圾转运站已有</w:t>
      </w:r>
      <w:r>
        <w:t>14个镇完成建设，占全市的77.8%，剩下4个乡镇也在抓紧建设当中，未完成</w:t>
      </w:r>
      <w:r>
        <w:rPr>
          <w:rFonts w:hint="eastAsia"/>
        </w:rPr>
        <w:t>的占全市</w:t>
      </w:r>
      <w:r>
        <w:t>22.2%，垃圾压缩设备的采购工作已经完</w:t>
      </w:r>
      <w:r>
        <w:rPr>
          <w:rFonts w:hint="eastAsia"/>
        </w:rPr>
        <w:t>成。全市建成垃圾收集点</w:t>
      </w:r>
      <w:r>
        <w:t>1837个，完成率</w:t>
      </w:r>
      <w:r>
        <w:rPr>
          <w:rFonts w:hint="eastAsia"/>
        </w:rPr>
        <w:t>为</w:t>
      </w:r>
      <w:r>
        <w:t>74.6%。</w:t>
      </w:r>
    </w:p>
    <w:p w14:paraId="286D7C08">
      <w:pPr>
        <w:pStyle w:val="4"/>
        <w:bidi w:val="0"/>
        <w:rPr>
          <w:rFonts w:hint="eastAsia"/>
        </w:rPr>
      </w:pPr>
      <w:r>
        <w:rPr>
          <w:rFonts w:hint="eastAsia"/>
        </w:rPr>
        <w:t>【建筑工程质量管理】</w:t>
      </w:r>
    </w:p>
    <w:p w14:paraId="7F5D2E15">
      <w:pPr>
        <w:rPr>
          <w:rFonts w:hint="eastAsia"/>
        </w:rPr>
      </w:pPr>
      <w:r>
        <w:rPr>
          <w:rFonts w:hint="eastAsia"/>
        </w:rPr>
        <w:t>加强建筑工程质量安全监督管理，建立建设工程监督巡</w:t>
      </w:r>
      <w:r>
        <w:rPr>
          <w:rFonts w:hint="eastAsia"/>
          <w:lang w:eastAsia="zh-CN"/>
        </w:rPr>
        <w:t>查</w:t>
      </w:r>
      <w:r>
        <w:rPr>
          <w:rFonts w:hint="eastAsia"/>
        </w:rPr>
        <w:t>和督</w:t>
      </w:r>
      <w:r>
        <w:rPr>
          <w:rFonts w:hint="eastAsia"/>
          <w:lang w:eastAsia="zh-CN"/>
        </w:rPr>
        <w:t>查</w:t>
      </w:r>
      <w:r>
        <w:rPr>
          <w:rFonts w:hint="eastAsia"/>
        </w:rPr>
        <w:t>制度，加大对工程巡</w:t>
      </w:r>
      <w:r>
        <w:rPr>
          <w:rFonts w:hint="eastAsia"/>
          <w:lang w:eastAsia="zh-CN"/>
        </w:rPr>
        <w:t>查</w:t>
      </w:r>
      <w:r>
        <w:rPr>
          <w:rFonts w:hint="eastAsia"/>
        </w:rPr>
        <w:t>和抽</w:t>
      </w:r>
      <w:r>
        <w:rPr>
          <w:rFonts w:hint="eastAsia"/>
          <w:lang w:eastAsia="zh-CN"/>
        </w:rPr>
        <w:t>查</w:t>
      </w:r>
      <w:r>
        <w:rPr>
          <w:rFonts w:hint="eastAsia"/>
        </w:rPr>
        <w:t>的密度和频率，规范监督行为，强化和丰富监督手段，优化工程质量监督程序，使质量管理处于受控状态，全年下发《建设工程安全隐患整改通知书》</w:t>
      </w:r>
      <w:r>
        <w:t>15份，《暂时停工通知书》1份，</w:t>
      </w:r>
      <w:r>
        <w:rPr>
          <w:rFonts w:hint="eastAsia"/>
        </w:rPr>
        <w:t>对于整改不力的工程施工、监理企业、项目经理、安全员及监理人员，按照《广东省建设厅建筑工程安全生产动态管理办法》对其进行扣分，下发扣分通知书</w:t>
      </w:r>
      <w:r>
        <w:t>56份（其中施工企业10份，项目经理15</w:t>
      </w:r>
      <w:r>
        <w:rPr>
          <w:rFonts w:hint="eastAsia"/>
        </w:rPr>
        <w:t>份，专职安全员</w:t>
      </w:r>
      <w:r>
        <w:t>16份，监理企业4份，总监理工</w:t>
      </w:r>
      <w:r>
        <w:rPr>
          <w:rFonts w:hint="eastAsia"/>
        </w:rPr>
        <w:t>程师</w:t>
      </w:r>
      <w:r>
        <w:t>9份，专业监理工程师2份），全年在建工程</w:t>
      </w:r>
      <w:r>
        <w:rPr>
          <w:rFonts w:hint="eastAsia"/>
        </w:rPr>
        <w:t>未发生任何等级安全事故。</w:t>
      </w:r>
    </w:p>
    <w:p w14:paraId="12DFA04F">
      <w:r>
        <w:t>2013年办理受监工程项目52项，建筑面积48.05万平方米，工程造价46754.79万元。竣工验</w:t>
      </w:r>
      <w:r>
        <w:rPr>
          <w:rFonts w:hint="eastAsia"/>
        </w:rPr>
        <w:t>收工程</w:t>
      </w:r>
      <w:r>
        <w:t>54项，面积18.43万平方米，投资19201.79万元，工程合格率为100%。验收工程备</w:t>
      </w:r>
      <w:r>
        <w:rPr>
          <w:rFonts w:hint="eastAsia"/>
        </w:rPr>
        <w:t>案</w:t>
      </w:r>
      <w:r>
        <w:t>49项，备案率为90.7%。</w:t>
      </w:r>
    </w:p>
    <w:p w14:paraId="6258D40E">
      <w:pPr>
        <w:pStyle w:val="4"/>
        <w:bidi w:val="0"/>
        <w:rPr>
          <w:rFonts w:hint="eastAsia"/>
        </w:rPr>
      </w:pPr>
      <w:r>
        <w:rPr>
          <w:rFonts w:hint="eastAsia"/>
        </w:rPr>
        <w:t>【建筑工程安全监管】</w:t>
      </w:r>
    </w:p>
    <w:p w14:paraId="79FE4796">
      <w:r>
        <w:rPr>
          <w:rFonts w:hint="eastAsia"/>
        </w:rPr>
        <w:t>开展好全年质量、安全和文明施工大检</w:t>
      </w:r>
      <w:r>
        <w:rPr>
          <w:rFonts w:hint="eastAsia"/>
          <w:lang w:eastAsia="zh-CN"/>
        </w:rPr>
        <w:t>查</w:t>
      </w:r>
      <w:r>
        <w:rPr>
          <w:rFonts w:hint="eastAsia"/>
        </w:rPr>
        <w:t>，不断规范并完善各责任主体质量行为，要求施工企业严格执行建设工程强制性标准及施工质量验收规范，使质量管理处于受控状态。对违章指挥、违规操作和不具备基本安全生产条例的施工现场和企业，坚决责令整改。</w:t>
      </w:r>
      <w:r>
        <w:t>2013年，先后</w:t>
      </w:r>
      <w:r>
        <w:rPr>
          <w:rFonts w:hint="eastAsia"/>
        </w:rPr>
        <w:t>组织</w:t>
      </w:r>
      <w:r>
        <w:t>3次安全生产大检</w:t>
      </w:r>
      <w:r>
        <w:rPr>
          <w:rFonts w:hint="eastAsia"/>
          <w:lang w:eastAsia="zh-CN"/>
        </w:rPr>
        <w:t>查</w:t>
      </w:r>
      <w:r>
        <w:t>和各种专项检</w:t>
      </w:r>
      <w:r>
        <w:rPr>
          <w:rFonts w:hint="eastAsia"/>
          <w:lang w:eastAsia="zh-CN"/>
        </w:rPr>
        <w:t>查</w:t>
      </w:r>
      <w:r>
        <w:t>，对全市</w:t>
      </w:r>
      <w:r>
        <w:rPr>
          <w:rFonts w:hint="eastAsia"/>
        </w:rPr>
        <w:t>在建工程的安全生产进行地毯式的检</w:t>
      </w:r>
      <w:r>
        <w:rPr>
          <w:rFonts w:hint="eastAsia"/>
          <w:lang w:eastAsia="zh-CN"/>
        </w:rPr>
        <w:t>查</w:t>
      </w:r>
      <w:r>
        <w:rPr>
          <w:rFonts w:hint="eastAsia"/>
        </w:rPr>
        <w:t>。检</w:t>
      </w:r>
      <w:r>
        <w:rPr>
          <w:rFonts w:hint="eastAsia"/>
          <w:lang w:eastAsia="zh-CN"/>
        </w:rPr>
        <w:t>查</w:t>
      </w:r>
      <w:r>
        <w:rPr>
          <w:rFonts w:hint="eastAsia"/>
        </w:rPr>
        <w:t>在建工程项目</w:t>
      </w:r>
      <w:r>
        <w:t>42个，建筑面积21.3万平方米，验收外</w:t>
      </w:r>
      <w:r>
        <w:rPr>
          <w:rFonts w:hint="eastAsia"/>
        </w:rPr>
        <w:t>脚手架</w:t>
      </w:r>
      <w:r>
        <w:t>36座，井字架39台，对检</w:t>
      </w:r>
      <w:r>
        <w:rPr>
          <w:rFonts w:hint="eastAsia"/>
          <w:lang w:eastAsia="zh-CN"/>
        </w:rPr>
        <w:t>查</w:t>
      </w:r>
      <w:r>
        <w:t>中发现的安全</w:t>
      </w:r>
      <w:r>
        <w:rPr>
          <w:rFonts w:hint="eastAsia"/>
        </w:rPr>
        <w:t>隐患，下发整改通知共</w:t>
      </w:r>
      <w:r>
        <w:t>12份。在广东省建设厅建</w:t>
      </w:r>
      <w:r>
        <w:rPr>
          <w:rFonts w:hint="eastAsia"/>
        </w:rPr>
        <w:t>筑施工安全生产动态扣分中，共有施工安全生产动态扣分记录</w:t>
      </w:r>
      <w:r>
        <w:t>30份。</w:t>
      </w:r>
    </w:p>
    <w:p w14:paraId="17560F7B">
      <w:r>
        <w:t>2013年办理施工许可证工程85项，建筑总面</w:t>
      </w:r>
      <w:r>
        <w:rPr>
          <w:rFonts w:hint="eastAsia"/>
        </w:rPr>
        <w:t>积</w:t>
      </w:r>
      <w:r>
        <w:t>64.83万平方米，总投资6.3亿元。竣工验收备</w:t>
      </w:r>
      <w:r>
        <w:rPr>
          <w:rFonts w:hint="eastAsia"/>
        </w:rPr>
        <w:t>案工程</w:t>
      </w:r>
      <w:r>
        <w:t>54项，建筑面积21.27万平方米，合同预</w:t>
      </w:r>
      <w:r>
        <w:rPr>
          <w:rFonts w:hint="eastAsia"/>
        </w:rPr>
        <w:t>算造价</w:t>
      </w:r>
      <w:r>
        <w:t>22698.67万元。工程质量评定合格率100%。备案率100%。</w:t>
      </w:r>
    </w:p>
    <w:p w14:paraId="4135138C">
      <w:pPr>
        <w:pStyle w:val="4"/>
        <w:bidi w:val="0"/>
        <w:rPr>
          <w:rFonts w:hint="eastAsia"/>
        </w:rPr>
      </w:pPr>
      <w:r>
        <w:rPr>
          <w:rFonts w:hint="eastAsia"/>
        </w:rPr>
        <w:t>【推广建筑节能】</w:t>
      </w:r>
    </w:p>
    <w:p w14:paraId="3E3E05B5">
      <w:pPr>
        <w:rPr>
          <w:rFonts w:hint="eastAsia"/>
        </w:rPr>
      </w:pPr>
      <w:r>
        <w:rPr>
          <w:rFonts w:hint="eastAsia"/>
        </w:rPr>
        <w:t>严格实施建筑节能标准，加强工程建设全过程的节能监管。强化新建建筑的设计审</w:t>
      </w:r>
      <w:r>
        <w:rPr>
          <w:rFonts w:hint="eastAsia"/>
          <w:lang w:eastAsia="zh-CN"/>
        </w:rPr>
        <w:t>查</w:t>
      </w:r>
      <w:r>
        <w:rPr>
          <w:rFonts w:hint="eastAsia"/>
        </w:rPr>
        <w:t>、施工许可、质量监督、验收备案等过程监管，严格执行建筑节能设计标准和施工验收标准，确保新建建筑达到节能目标。</w:t>
      </w:r>
      <w:r>
        <w:t>2013年全市有新型墙</w:t>
      </w:r>
      <w:r>
        <w:rPr>
          <w:rFonts w:hint="eastAsia"/>
        </w:rPr>
        <w:t>材企业</w:t>
      </w:r>
      <w:r>
        <w:t>5家，应用新型墙材比例达100%，城区基</w:t>
      </w:r>
      <w:r>
        <w:rPr>
          <w:rFonts w:hint="eastAsia"/>
          <w:lang w:val="en-US" w:eastAsia="zh-CN"/>
        </w:rPr>
        <w:t>本</w:t>
      </w:r>
      <w:r>
        <w:rPr>
          <w:rFonts w:hint="eastAsia"/>
        </w:rPr>
        <w:t>实现</w:t>
      </w:r>
      <w:r>
        <w:rPr>
          <w:rFonts w:hint="eastAsia"/>
          <w:lang w:val="en-US" w:eastAsia="zh-CN"/>
        </w:rPr>
        <w:t>禁</w:t>
      </w:r>
      <w:r>
        <w:rPr>
          <w:rFonts w:hint="eastAsia"/>
        </w:rPr>
        <w:t>实目标；有现预拌混凝土搅拌企业</w:t>
      </w:r>
      <w:r>
        <w:t>1家，</w:t>
      </w:r>
      <w:r>
        <w:rPr>
          <w:rFonts w:hint="eastAsia"/>
        </w:rPr>
        <w:t>全年的商品房开发建筑工地已全部使用商品混凝土，有效地推进了建筑行业的节能减排工作。</w:t>
      </w:r>
    </w:p>
    <w:p w14:paraId="1B148BCF">
      <w:pPr>
        <w:pStyle w:val="3"/>
        <w:bidi w:val="0"/>
        <w:rPr>
          <w:rFonts w:hint="default"/>
          <w:lang w:val="en-US" w:eastAsia="zh-CN"/>
        </w:rPr>
      </w:pPr>
      <w:r>
        <w:rPr>
          <w:rFonts w:hint="eastAsia"/>
          <w:lang w:val="en-US" w:eastAsia="zh-CN"/>
        </w:rPr>
        <w:t>建筑业管理</w:t>
      </w:r>
    </w:p>
    <w:p w14:paraId="494392B3">
      <w:pPr>
        <w:pStyle w:val="4"/>
        <w:bidi w:val="0"/>
        <w:rPr>
          <w:rFonts w:hint="eastAsia"/>
        </w:rPr>
      </w:pPr>
      <w:r>
        <w:rPr>
          <w:rFonts w:hint="eastAsia"/>
        </w:rPr>
        <w:t>【概况】</w:t>
      </w:r>
    </w:p>
    <w:p w14:paraId="565AC627">
      <w:r>
        <w:t>2013年，严格审</w:t>
      </w:r>
      <w:r>
        <w:rPr>
          <w:rFonts w:hint="eastAsia"/>
          <w:lang w:eastAsia="zh-CN"/>
        </w:rPr>
        <w:t>查</w:t>
      </w:r>
      <w:r>
        <w:t>责任主体以及从业人</w:t>
      </w:r>
      <w:r>
        <w:rPr>
          <w:rFonts w:hint="eastAsia"/>
        </w:rPr>
        <w:t>员的市场准入条件，通过与各有关部门签定的建设工程质量、安全生产、文明施工责任书，抓责任落实，完善相关制度，加强对工程质量、安全生产和文明施工的监管，推行建筑节能工作，确保工程实体质量和安全生产工作稳步推进，建筑行业的发展又向前迈出坚实的步伐。全年建筑业持续较快发展，实现增加值</w:t>
      </w:r>
      <w:r>
        <w:t>8.41亿元，其中资质等级及以上</w:t>
      </w:r>
      <w:r>
        <w:rPr>
          <w:rFonts w:hint="eastAsia"/>
        </w:rPr>
        <w:t>建筑企业</w:t>
      </w:r>
      <w:r>
        <w:t>8个，比上年增加4个，实现建筑业增加</w:t>
      </w:r>
      <w:r>
        <w:rPr>
          <w:rFonts w:hint="eastAsia"/>
        </w:rPr>
        <w:t>值</w:t>
      </w:r>
      <w:r>
        <w:t>5.71亿元，完成建筑业总产值17.82亿元，工程</w:t>
      </w:r>
      <w:r>
        <w:rPr>
          <w:rFonts w:hint="eastAsia"/>
        </w:rPr>
        <w:t>结算收入</w:t>
      </w:r>
      <w:r>
        <w:t>15.25亿元，实现利润1.81亿元，上交税</w:t>
      </w:r>
      <w:r>
        <w:rPr>
          <w:rFonts w:hint="eastAsia"/>
        </w:rPr>
        <w:t>金</w:t>
      </w:r>
      <w:r>
        <w:t>1.18亿元。房屋施工面积174.3万平方米，房屋</w:t>
      </w:r>
      <w:r>
        <w:rPr>
          <w:rFonts w:hint="eastAsia"/>
        </w:rPr>
        <w:t>竣工面积</w:t>
      </w:r>
      <w:r>
        <w:t>87.19万平方米。</w:t>
      </w:r>
    </w:p>
    <w:p w14:paraId="530ABE0F">
      <w:pPr>
        <w:pStyle w:val="4"/>
        <w:bidi w:val="0"/>
        <w:rPr>
          <w:rFonts w:hint="eastAsia"/>
        </w:rPr>
      </w:pPr>
      <w:r>
        <w:rPr>
          <w:rFonts w:hint="eastAsia"/>
        </w:rPr>
        <w:t>【建筑设计】</w:t>
      </w:r>
    </w:p>
    <w:p w14:paraId="529D5370">
      <w:r>
        <w:t>2013年，南雄市建筑设计院有专业</w:t>
      </w:r>
      <w:r>
        <w:rPr>
          <w:rFonts w:hint="eastAsia"/>
        </w:rPr>
        <w:t>技术人员</w:t>
      </w:r>
      <w:r>
        <w:t>23人，其中高级工程师4人，中级工程</w:t>
      </w:r>
      <w:r>
        <w:rPr>
          <w:rFonts w:hint="eastAsia"/>
        </w:rPr>
        <w:t>师</w:t>
      </w:r>
      <w:r>
        <w:t>15人，助理工程师2人，技术人员3人；一级注</w:t>
      </w:r>
      <w:r>
        <w:rPr>
          <w:rFonts w:hint="eastAsia"/>
        </w:rPr>
        <w:t>册结构师</w:t>
      </w:r>
      <w:r>
        <w:t>1人，二级注册建筑师5人，二级注册结</w:t>
      </w:r>
      <w:r>
        <w:rPr>
          <w:rFonts w:hint="eastAsia"/>
        </w:rPr>
        <w:t>构师</w:t>
      </w:r>
      <w:r>
        <w:t>2人。完成工程设计项目共69项工程；地质勘</w:t>
      </w:r>
      <w:r>
        <w:rPr>
          <w:rFonts w:hint="eastAsia"/>
        </w:rPr>
        <w:t>探项目</w:t>
      </w:r>
      <w:r>
        <w:t>34个，钻探完成5751.40米，桩基动测21</w:t>
      </w:r>
      <w:r>
        <w:rPr>
          <w:rFonts w:hint="eastAsia"/>
        </w:rPr>
        <w:t>宗，动测桩量</w:t>
      </w:r>
      <w:r>
        <w:t>1235根，桩基抽芯18桩，抽芯完成178米。</w:t>
      </w:r>
    </w:p>
    <w:p w14:paraId="64E5D1BD">
      <w:pPr>
        <w:pStyle w:val="4"/>
        <w:bidi w:val="0"/>
        <w:rPr>
          <w:rFonts w:hint="eastAsia"/>
        </w:rPr>
      </w:pPr>
      <w:r>
        <w:rPr>
          <w:rFonts w:hint="eastAsia"/>
        </w:rPr>
        <w:t>【建筑企业】</w:t>
      </w:r>
    </w:p>
    <w:p w14:paraId="4131AE47">
      <w:pPr>
        <w:rPr>
          <w:rFonts w:hint="eastAsia"/>
          <w:lang w:eastAsia="zh-CN"/>
        </w:rPr>
      </w:pPr>
      <w:r>
        <w:t>2013年，全市施工企业资质中，房</w:t>
      </w:r>
      <w:r>
        <w:rPr>
          <w:rFonts w:hint="eastAsia"/>
        </w:rPr>
        <w:t>屋建筑工程施工总承包二级企业</w:t>
      </w:r>
      <w:r>
        <w:t>1家，为南雄市市</w:t>
      </w:r>
      <w:r>
        <w:rPr>
          <w:rFonts w:hint="eastAsia"/>
        </w:rPr>
        <w:t>政工程公司；房屋建筑工程施工总承包叁级企业</w:t>
      </w:r>
      <w:r>
        <w:t>3</w:t>
      </w:r>
      <w:r>
        <w:rPr>
          <w:rFonts w:hint="eastAsia"/>
        </w:rPr>
        <w:t>家，为南雄市建筑安装工程公司，南雄市雄州建筑公司，南雄市乐达建筑工程有限公司。办理外地建筑业登记备案</w:t>
      </w:r>
      <w:r>
        <w:t>19家次。其中外地建筑施工企业2</w:t>
      </w:r>
      <w:r>
        <w:rPr>
          <w:rFonts w:hint="eastAsia"/>
        </w:rPr>
        <w:t>家次，监理企业</w:t>
      </w:r>
      <w:r>
        <w:t>4家次，勘察设计企业12家次，</w:t>
      </w:r>
      <w:r>
        <w:rPr>
          <w:rFonts w:hint="eastAsia"/>
        </w:rPr>
        <w:t>检测</w:t>
      </w:r>
      <w:r>
        <w:t>1家次</w:t>
      </w:r>
      <w:r>
        <w:rPr>
          <w:rFonts w:hint="eastAsia"/>
          <w:lang w:eastAsia="zh-CN"/>
        </w:rPr>
        <w:t>。</w:t>
      </w:r>
    </w:p>
    <w:p w14:paraId="5C1956BF">
      <w:pPr>
        <w:pStyle w:val="3"/>
        <w:bidi w:val="0"/>
        <w:rPr>
          <w:rFonts w:hint="default"/>
          <w:lang w:val="en-US" w:eastAsia="zh-CN"/>
        </w:rPr>
      </w:pPr>
      <w:r>
        <w:rPr>
          <w:rFonts w:hint="eastAsia"/>
          <w:lang w:val="en-US" w:eastAsia="zh-CN"/>
        </w:rPr>
        <w:t>住房保障</w:t>
      </w:r>
    </w:p>
    <w:p w14:paraId="1EA627BA">
      <w:pPr>
        <w:pStyle w:val="4"/>
        <w:bidi w:val="0"/>
        <w:rPr>
          <w:rFonts w:hint="eastAsia"/>
        </w:rPr>
      </w:pPr>
      <w:r>
        <w:rPr>
          <w:rFonts w:hint="eastAsia"/>
        </w:rPr>
        <w:t>【概况】</w:t>
      </w:r>
    </w:p>
    <w:p w14:paraId="0F94B760">
      <w:pPr>
        <w:rPr>
          <w:rFonts w:hint="eastAsia"/>
        </w:rPr>
      </w:pPr>
      <w:r>
        <w:rPr>
          <w:rFonts w:hint="eastAsia"/>
        </w:rPr>
        <w:t>保障性住房建设是一项重要的民生工程、德政工程，市委、市政府历来高度重视。</w:t>
      </w:r>
      <w:r>
        <w:t>2013</w:t>
      </w:r>
      <w:r>
        <w:rPr>
          <w:rFonts w:hint="eastAsia"/>
        </w:rPr>
        <w:t>年，以解决城镇低收入家庭住房困难问题为目标</w:t>
      </w:r>
      <w:r>
        <w:rPr>
          <w:rFonts w:hint="eastAsia"/>
          <w:lang w:eastAsia="zh-CN"/>
        </w:rPr>
        <w:t>，</w:t>
      </w:r>
      <w:r>
        <w:rPr>
          <w:rFonts w:hint="eastAsia"/>
        </w:rPr>
        <w:t>始终把保障性住房建设工作作为解决民生问题、改善民生质量、构建和谐社会的重点来抓，全力推进保障性住房建设，取得良好的成效。</w:t>
      </w:r>
    </w:p>
    <w:p w14:paraId="7E314B45">
      <w:pPr>
        <w:pStyle w:val="4"/>
        <w:bidi w:val="0"/>
        <w:rPr>
          <w:rFonts w:hint="eastAsia"/>
        </w:rPr>
      </w:pPr>
      <w:r>
        <w:rPr>
          <w:rFonts w:hint="eastAsia"/>
        </w:rPr>
        <w:t>【保障性住房建设】</w:t>
      </w:r>
    </w:p>
    <w:p w14:paraId="1177B9A2">
      <w:r>
        <w:t>1、陵园路廉租房：陵园路100套廉租房现在已经全面完工，并完成备案和配</w:t>
      </w:r>
      <w:r>
        <w:rPr>
          <w:rFonts w:hint="eastAsia"/>
        </w:rPr>
        <w:t>租工作。</w:t>
      </w:r>
      <w:r>
        <w:t>2、陵园路公共租赁住房：在建54套陵园</w:t>
      </w:r>
      <w:r>
        <w:rPr>
          <w:rFonts w:hint="eastAsia"/>
        </w:rPr>
        <w:t>路公租房现基本完工，投入资金约</w:t>
      </w:r>
      <w:r>
        <w:t>370万元，现正</w:t>
      </w:r>
      <w:r>
        <w:rPr>
          <w:rFonts w:hint="eastAsia"/>
        </w:rPr>
        <w:t>进行室内的装饰和水电安装工作，预计春节前可全面完工。</w:t>
      </w:r>
      <w:r>
        <w:t>3、陵园路公租房二期项目：陵园路公租</w:t>
      </w:r>
      <w:r>
        <w:rPr>
          <w:rFonts w:hint="eastAsia"/>
        </w:rPr>
        <w:t>房二期项目与陵园路公租房项目同一位置，用地面积</w:t>
      </w:r>
      <w:r>
        <w:t>420平方米，总建筑面积2587平方米，工程总</w:t>
      </w:r>
      <w:r>
        <w:rPr>
          <w:rFonts w:hint="eastAsia"/>
        </w:rPr>
        <w:t>投资约</w:t>
      </w:r>
      <w:r>
        <w:t>550万元。目前工程已开工建设。</w:t>
      </w:r>
    </w:p>
    <w:p w14:paraId="5674F3E5">
      <w:pPr>
        <w:pStyle w:val="4"/>
        <w:bidi w:val="0"/>
        <w:rPr>
          <w:rFonts w:hint="eastAsia"/>
        </w:rPr>
      </w:pPr>
      <w:r>
        <w:rPr>
          <w:rFonts w:hint="eastAsia"/>
        </w:rPr>
        <w:t>【保障性住房分配】</w:t>
      </w:r>
    </w:p>
    <w:p w14:paraId="74181FCE">
      <w:pPr>
        <w:rPr>
          <w:rFonts w:hint="eastAsia"/>
        </w:rPr>
      </w:pPr>
      <w:r>
        <w:t>2013年廉租房分配共受理申</w:t>
      </w:r>
      <w:r>
        <w:rPr>
          <w:rFonts w:hint="eastAsia"/>
        </w:rPr>
        <w:t>请</w:t>
      </w:r>
      <w:r>
        <w:t>65人，已有61人通过审核；公共租赁住房分配</w:t>
      </w:r>
      <w:r>
        <w:rPr>
          <w:rFonts w:hint="eastAsia"/>
        </w:rPr>
        <w:t>受理申请</w:t>
      </w:r>
      <w:r>
        <w:t>225人，通过材料审核、相关部门</w:t>
      </w:r>
      <w:r>
        <w:rPr>
          <w:rFonts w:hint="eastAsia"/>
          <w:lang w:eastAsia="zh-CN"/>
        </w:rPr>
        <w:t>查</w:t>
      </w:r>
      <w:r>
        <w:t>询</w:t>
      </w:r>
      <w:r>
        <w:rPr>
          <w:rFonts w:hint="eastAsia"/>
          <w:lang w:eastAsia="zh-CN"/>
        </w:rPr>
        <w:t>、</w:t>
      </w:r>
      <w:r>
        <w:rPr>
          <w:rFonts w:hint="eastAsia"/>
        </w:rPr>
        <w:t>入户调</w:t>
      </w:r>
      <w:r>
        <w:rPr>
          <w:rFonts w:hint="eastAsia"/>
          <w:lang w:eastAsia="zh-CN"/>
        </w:rPr>
        <w:t>查</w:t>
      </w:r>
      <w:r>
        <w:rPr>
          <w:rFonts w:hint="eastAsia"/>
        </w:rPr>
        <w:t>等多种方式核实，有</w:t>
      </w:r>
      <w:r>
        <w:t>184人通过资格审</w:t>
      </w:r>
      <w:r>
        <w:rPr>
          <w:rFonts w:hint="eastAsia"/>
        </w:rPr>
        <w:t>核，并分别于</w:t>
      </w:r>
      <w:r>
        <w:t>7月23日和11月13日对合资格的廉</w:t>
      </w:r>
      <w:r>
        <w:rPr>
          <w:rFonts w:hint="eastAsia"/>
        </w:rPr>
        <w:t>租房和公租房申请家庭进行公开摇号（抽签）配租，目前第一批公租房和廉租房租户已经入住，解决了部分中低收入住房困难问题，对维护社会稳定，促进南雄市社会经济健康发展具有积极作用。</w:t>
      </w:r>
    </w:p>
    <w:p w14:paraId="7BF2C9F1">
      <w:pPr>
        <w:pStyle w:val="3"/>
        <w:bidi w:val="0"/>
        <w:rPr>
          <w:rFonts w:hint="default"/>
          <w:lang w:val="en-US" w:eastAsia="zh-CN"/>
        </w:rPr>
      </w:pPr>
      <w:r>
        <w:rPr>
          <w:rFonts w:hint="eastAsia"/>
          <w:lang w:val="en-US" w:eastAsia="zh-CN"/>
        </w:rPr>
        <w:t>房地产监管</w:t>
      </w:r>
    </w:p>
    <w:p w14:paraId="48B37B92">
      <w:pPr>
        <w:pStyle w:val="4"/>
        <w:bidi w:val="0"/>
        <w:rPr>
          <w:rFonts w:hint="eastAsia"/>
        </w:rPr>
      </w:pPr>
      <w:r>
        <w:rPr>
          <w:rFonts w:hint="eastAsia"/>
        </w:rPr>
        <w:t>【概况】</w:t>
      </w:r>
    </w:p>
    <w:p w14:paraId="3907802D">
      <w:pPr>
        <w:rPr>
          <w:rFonts w:hint="eastAsia"/>
          <w:lang w:eastAsia="zh-CN"/>
        </w:rPr>
      </w:pPr>
      <w:r>
        <w:t>2013年，加大工作力度，严把商品房</w:t>
      </w:r>
      <w:r>
        <w:rPr>
          <w:rFonts w:hint="eastAsia"/>
        </w:rPr>
        <w:t>预、现售关口，增加开发商销售的透明度，保障市场健康发展，全年核发预售许可证</w:t>
      </w:r>
      <w:r>
        <w:t>16宗，预售面</w:t>
      </w:r>
      <w:r>
        <w:rPr>
          <w:rFonts w:hint="eastAsia"/>
        </w:rPr>
        <w:t>积</w:t>
      </w:r>
      <w:r>
        <w:t>224775.73平方米；现售备案登记2宗，现售面</w:t>
      </w:r>
      <w:r>
        <w:rPr>
          <w:rFonts w:hint="eastAsia"/>
        </w:rPr>
        <w:t>积</w:t>
      </w:r>
      <w:r>
        <w:t>12970.2平方米；商品房销售面积约12.53万平</w:t>
      </w:r>
      <w:r>
        <w:rPr>
          <w:rFonts w:hint="eastAsia"/>
        </w:rPr>
        <w:t>方米，成交</w:t>
      </w:r>
      <w:r>
        <w:t>1176套，销售额约为3.71亿元；完成28家房地产开发企业的资质年检，核发暂定资质3家</w:t>
      </w:r>
      <w:r>
        <w:rPr>
          <w:rFonts w:hint="eastAsia"/>
          <w:lang w:eastAsia="zh-CN"/>
        </w:rPr>
        <w:t>。</w:t>
      </w:r>
    </w:p>
    <w:p w14:paraId="166D6973">
      <w:pPr>
        <w:pStyle w:val="4"/>
        <w:bidi w:val="0"/>
        <w:rPr>
          <w:rFonts w:hint="eastAsia"/>
        </w:rPr>
      </w:pPr>
      <w:r>
        <w:rPr>
          <w:rFonts w:hint="eastAsia"/>
        </w:rPr>
        <w:t>【住宅专项维修资金管理】</w:t>
      </w:r>
    </w:p>
    <w:p w14:paraId="189B3407">
      <w:r>
        <w:rPr>
          <w:rFonts w:hint="eastAsia"/>
        </w:rPr>
        <w:t>做好住宅专项维修资金管理的归集和</w:t>
      </w:r>
      <w:r>
        <w:t>2013年下半年后办理预售楼盘住</w:t>
      </w:r>
      <w:r>
        <w:rPr>
          <w:rFonts w:hint="eastAsia"/>
        </w:rPr>
        <w:t>宅专项维修资金的缴存工作。</w:t>
      </w:r>
      <w:r>
        <w:t>1、针对部份开发商</w:t>
      </w:r>
      <w:r>
        <w:rPr>
          <w:rFonts w:hint="eastAsia"/>
        </w:rPr>
        <w:t>早期收取的电梯维修资金未</w:t>
      </w:r>
      <w:r>
        <w:rPr>
          <w:rFonts w:hint="eastAsia"/>
          <w:lang w:eastAsia="zh-CN"/>
        </w:rPr>
        <w:t>纳入</w:t>
      </w:r>
      <w:r>
        <w:rPr>
          <w:rFonts w:hint="eastAsia"/>
        </w:rPr>
        <w:t>监控的问题，进</w:t>
      </w:r>
      <w:r>
        <w:rPr>
          <w:rFonts w:hint="eastAsia"/>
          <w:lang w:val="en-US" w:eastAsia="zh-CN"/>
        </w:rPr>
        <w:t>一</w:t>
      </w:r>
      <w:r>
        <w:rPr>
          <w:rFonts w:hint="eastAsia"/>
        </w:rPr>
        <w:t>步规范住宅专项维修资金的管理，在两家商业银行建立了</w:t>
      </w:r>
      <w:r>
        <w:rPr>
          <w:rFonts w:hint="eastAsia"/>
          <w:lang w:eastAsia="zh-CN"/>
        </w:rPr>
        <w:t>专门账户</w:t>
      </w:r>
      <w:r>
        <w:rPr>
          <w:rFonts w:hint="eastAsia"/>
        </w:rPr>
        <w:t>，并对开发商早期收取的电梯维修资金进行了归集，对</w:t>
      </w:r>
      <w:r>
        <w:t>5家收取电梯维修资金的开发</w:t>
      </w:r>
      <w:r>
        <w:rPr>
          <w:rFonts w:hint="eastAsia"/>
        </w:rPr>
        <w:t>商发出整改通知，并要求将收取的电梯维修资金存入住宅专项维修资金专户，纳入管理，目前已经有</w:t>
      </w:r>
      <w:r>
        <w:t>80多万元资金进入专项</w:t>
      </w:r>
      <w:r>
        <w:rPr>
          <w:rFonts w:hint="eastAsia"/>
          <w:lang w:val="en-US" w:eastAsia="zh-CN"/>
        </w:rPr>
        <w:t>账</w:t>
      </w:r>
      <w:r>
        <w:t>户。2、对2013年下半年</w:t>
      </w:r>
      <w:r>
        <w:rPr>
          <w:rFonts w:hint="eastAsia"/>
        </w:rPr>
        <w:t>后办理预售楼盘的住宅专项维修资金进行缴存，目前已经有已有翠竹居进行缴存，大福名城、龙祥园</w:t>
      </w:r>
      <w:r>
        <w:t>A栋等楼盘也已进行缴存的前期工作的。</w:t>
      </w:r>
    </w:p>
    <w:p w14:paraId="6D0FC1DD">
      <w:pPr>
        <w:pStyle w:val="4"/>
        <w:bidi w:val="0"/>
        <w:rPr>
          <w:rFonts w:hint="eastAsia"/>
        </w:rPr>
      </w:pPr>
      <w:r>
        <w:rPr>
          <w:rFonts w:hint="eastAsia"/>
          <w:lang w:eastAsia="zh-CN"/>
        </w:rPr>
        <w:t>【</w:t>
      </w:r>
      <w:r>
        <w:rPr>
          <w:rFonts w:hint="eastAsia"/>
        </w:rPr>
        <w:t>房屋登记】</w:t>
      </w:r>
    </w:p>
    <w:p w14:paraId="5D0D8BC6">
      <w:r>
        <w:rPr>
          <w:rFonts w:hint="eastAsia"/>
        </w:rPr>
        <w:t>贯彻执行国家、省、市房地产的有关政策、法律法规，严格执行《房屋登记办法》，加强房政管理，推行优质服务，制订服务重点项目工作制度，对市重点项目、招商引资项目推行绿色通道、急事急办，不受休息时间限制，随时受理随时办证，提倡上门服务，全程跟踪，直至受理事件办结。</w:t>
      </w:r>
      <w:r>
        <w:t>2013年办理房产权证3195宗，面积47</w:t>
      </w:r>
      <w:r>
        <w:rPr>
          <w:rFonts w:hint="eastAsia"/>
          <w:lang w:val="en-US" w:eastAsia="zh-CN"/>
        </w:rPr>
        <w:t>.</w:t>
      </w:r>
      <w:r>
        <w:t>61</w:t>
      </w:r>
      <w:r>
        <w:rPr>
          <w:rFonts w:hint="eastAsia"/>
        </w:rPr>
        <w:t>万平方米；（其中商品房住宅</w:t>
      </w:r>
      <w:r>
        <w:t>1296宗、非住宅564</w:t>
      </w:r>
      <w:r>
        <w:rPr>
          <w:rFonts w:hint="eastAsia"/>
        </w:rPr>
        <w:t>宗、单位新建</w:t>
      </w:r>
      <w:r>
        <w:t>122宗、个人新建20宗、其它登记222宗、二手房交易971宗）。在完成发证任务的同</w:t>
      </w:r>
      <w:r>
        <w:rPr>
          <w:rFonts w:hint="eastAsia"/>
        </w:rPr>
        <w:t>时还办理房产抵押</w:t>
      </w:r>
      <w:r>
        <w:t>1108宗，面积53.85万平方</w:t>
      </w:r>
      <w:r>
        <w:rPr>
          <w:rFonts w:hint="eastAsia"/>
          <w:lang w:val="en-US" w:eastAsia="zh-CN"/>
        </w:rPr>
        <w:t>米</w:t>
      </w:r>
      <w:r>
        <w:t>；</w:t>
      </w:r>
      <w:r>
        <w:rPr>
          <w:rFonts w:hint="eastAsia"/>
        </w:rPr>
        <w:t>房产按揭</w:t>
      </w:r>
      <w:r>
        <w:t>866宗面积9.97万平方米；房地产交易</w:t>
      </w:r>
      <w:r>
        <w:rPr>
          <w:rFonts w:hint="eastAsia"/>
        </w:rPr>
        <w:t>与权属登记规范化逐步完善，产权档案数字化管理，全年对外</w:t>
      </w:r>
      <w:r>
        <w:rPr>
          <w:rFonts w:hint="eastAsia"/>
          <w:lang w:eastAsia="zh-CN"/>
        </w:rPr>
        <w:t>查</w:t>
      </w:r>
      <w:r>
        <w:rPr>
          <w:rFonts w:hint="eastAsia"/>
        </w:rPr>
        <w:t>询档案</w:t>
      </w:r>
      <w:r>
        <w:t>8481宗，整理归档产权档</w:t>
      </w:r>
      <w:r>
        <w:rPr>
          <w:rFonts w:hint="eastAsia"/>
        </w:rPr>
        <w:t>案</w:t>
      </w:r>
      <w:r>
        <w:t>4</w:t>
      </w:r>
      <w:r>
        <w:rPr>
          <w:rFonts w:hint="eastAsia"/>
          <w:lang w:val="en-US" w:eastAsia="zh-CN"/>
        </w:rPr>
        <w:t>3</w:t>
      </w:r>
      <w:r>
        <w:t>37份。取得良好的社会效益和经济效益。</w:t>
      </w:r>
    </w:p>
    <w:p w14:paraId="4D228209">
      <w:pPr>
        <w:pStyle w:val="4"/>
        <w:bidi w:val="0"/>
        <w:rPr>
          <w:rFonts w:hint="eastAsia"/>
        </w:rPr>
      </w:pPr>
      <w:r>
        <w:rPr>
          <w:rFonts w:hint="eastAsia"/>
        </w:rPr>
        <w:t>【公房管理】</w:t>
      </w:r>
    </w:p>
    <w:p w14:paraId="4152EBC5">
      <w:r>
        <w:rPr>
          <w:rFonts w:hint="eastAsia"/>
        </w:rPr>
        <w:t>按照有关规定，实施直管公有住房的建设、申请、审批、分配安置、维护、租金收缴等工作。直管公房管理以“保安全”和“促增值</w:t>
      </w:r>
      <w:r>
        <w:rPr>
          <w:rFonts w:hint="eastAsia"/>
          <w:lang w:eastAsia="zh-CN"/>
        </w:rPr>
        <w:t>”</w:t>
      </w:r>
      <w:r>
        <w:rPr>
          <w:rFonts w:hint="eastAsia"/>
        </w:rPr>
        <w:t>作为工作目标，抓好安全生产工作，分解落实安全生产工作职责，层层落实抓落实，</w:t>
      </w:r>
      <w:r>
        <w:t>2013年雨季汛</w:t>
      </w:r>
      <w:r>
        <w:rPr>
          <w:rFonts w:hint="eastAsia"/>
        </w:rPr>
        <w:t>期，房管所组织危房巡</w:t>
      </w:r>
      <w:r>
        <w:rPr>
          <w:rFonts w:hint="eastAsia"/>
          <w:lang w:eastAsia="zh-CN"/>
        </w:rPr>
        <w:t>查</w:t>
      </w:r>
      <w:r>
        <w:rPr>
          <w:rFonts w:hint="eastAsia"/>
        </w:rPr>
        <w:t>突击队，队员</w:t>
      </w:r>
      <w:r>
        <w:t>18人，分</w:t>
      </w:r>
      <w:r>
        <w:rPr>
          <w:rFonts w:hint="eastAsia"/>
        </w:rPr>
        <w:t>三班全日</w:t>
      </w:r>
      <w:r>
        <w:t>24小时下街巡</w:t>
      </w:r>
      <w:r>
        <w:rPr>
          <w:rFonts w:hint="eastAsia"/>
          <w:lang w:eastAsia="zh-CN"/>
        </w:rPr>
        <w:t>查</w:t>
      </w:r>
      <w:r>
        <w:t>危房，有险情及时排除</w:t>
      </w:r>
      <w:r>
        <w:rPr>
          <w:rFonts w:hint="eastAsia"/>
          <w:lang w:eastAsia="zh-CN"/>
        </w:rPr>
        <w:t>，</w:t>
      </w:r>
      <w:r>
        <w:t>3月底至4月底时间持续一个月。全年开展各类房</w:t>
      </w:r>
      <w:r>
        <w:rPr>
          <w:rFonts w:hint="eastAsia"/>
        </w:rPr>
        <w:t>屋维修</w:t>
      </w:r>
      <w:r>
        <w:t>25户，直管公房未发生一起安全事故。抓</w:t>
      </w:r>
      <w:r>
        <w:rPr>
          <w:rFonts w:hint="eastAsia"/>
        </w:rPr>
        <w:t>好直管公房管理和租金增收工作，为扭转了私自转租的局面，</w:t>
      </w:r>
      <w:r>
        <w:t>2013年5-8月集中清理公房私转81</w:t>
      </w:r>
      <w:r>
        <w:rPr>
          <w:rFonts w:hint="eastAsia"/>
        </w:rPr>
        <w:t>户，其中办理新户新租</w:t>
      </w:r>
      <w:r>
        <w:t>37户。公房非住宅实行招</w:t>
      </w:r>
      <w:r>
        <w:rPr>
          <w:rFonts w:hint="eastAsia"/>
        </w:rPr>
        <w:t>租机制，更好实现直管公房国有资产的保值增值，</w:t>
      </w:r>
      <w:r>
        <w:t>2013年教育南路新增出租房105户。全年房租上收</w:t>
      </w:r>
      <w:r>
        <w:rPr>
          <w:rFonts w:hint="eastAsia"/>
        </w:rPr>
        <w:t>率</w:t>
      </w:r>
      <w:r>
        <w:t>98%，旧房危房维修面积978平方米，维修费用12.3万元。</w:t>
      </w:r>
    </w:p>
    <w:p w14:paraId="2711E2FF">
      <w:pPr>
        <w:pStyle w:val="4"/>
        <w:bidi w:val="0"/>
        <w:rPr>
          <w:rFonts w:hint="eastAsia"/>
        </w:rPr>
      </w:pPr>
      <w:r>
        <w:rPr>
          <w:rFonts w:hint="eastAsia"/>
        </w:rPr>
        <w:t>【白蚊防治】</w:t>
      </w:r>
    </w:p>
    <w:p w14:paraId="28BEB97E">
      <w:r>
        <w:rPr>
          <w:rFonts w:hint="eastAsia"/>
        </w:rPr>
        <w:t>白蚁防治所工作开展顺利，发展势头良好，</w:t>
      </w:r>
      <w:r>
        <w:t>2013年加强白蚁防治规范化管理，建立完</w:t>
      </w:r>
      <w:r>
        <w:rPr>
          <w:rFonts w:hint="eastAsia"/>
        </w:rPr>
        <w:t>整的工程档案，向社会公布服务内容、服务标准。同时通过宣传，使乡镇、农村白蚁得到有效防治，全年白蚁预防防治业务</w:t>
      </w:r>
      <w:r>
        <w:t>21宗，面积414102平方米。</w:t>
      </w:r>
    </w:p>
    <w:p w14:paraId="2597F448">
      <w:pPr>
        <w:pStyle w:val="3"/>
        <w:bidi w:val="0"/>
        <w:rPr>
          <w:rFonts w:hint="default"/>
          <w:lang w:val="en-US" w:eastAsia="zh-CN"/>
        </w:rPr>
      </w:pPr>
      <w:r>
        <w:rPr>
          <w:rFonts w:hint="eastAsia"/>
          <w:lang w:val="en-US" w:eastAsia="zh-CN"/>
        </w:rPr>
        <w:t>燃气安全管理</w:t>
      </w:r>
    </w:p>
    <w:p w14:paraId="2FD1FB06">
      <w:pPr>
        <w:pStyle w:val="4"/>
        <w:bidi w:val="0"/>
        <w:rPr>
          <w:rFonts w:hint="eastAsia"/>
        </w:rPr>
      </w:pPr>
      <w:r>
        <w:rPr>
          <w:rFonts w:hint="eastAsia"/>
          <w:lang w:eastAsia="zh-CN"/>
        </w:rPr>
        <w:t>【</w:t>
      </w:r>
      <w:r>
        <w:rPr>
          <w:rFonts w:hint="eastAsia"/>
        </w:rPr>
        <w:t>概况】</w:t>
      </w:r>
    </w:p>
    <w:p w14:paraId="4FB10584">
      <w:pPr>
        <w:rPr>
          <w:rFonts w:hint="eastAsia"/>
        </w:rPr>
      </w:pPr>
      <w:r>
        <w:t>2013年，坚持牢固树立“责任重于泰</w:t>
      </w:r>
      <w:r>
        <w:rPr>
          <w:rFonts w:hint="eastAsia"/>
        </w:rPr>
        <w:t>山”的意识，针对薄弱环节和突出问题，研究和制定行之有效的措施，加强对各燃气企业、气站巡</w:t>
      </w:r>
      <w:r>
        <w:rPr>
          <w:rFonts w:hint="eastAsia"/>
          <w:lang w:eastAsia="zh-CN"/>
        </w:rPr>
        <w:t>查</w:t>
      </w:r>
      <w:r>
        <w:rPr>
          <w:rFonts w:hint="eastAsia"/>
        </w:rPr>
        <w:t>检</w:t>
      </w:r>
      <w:r>
        <w:rPr>
          <w:rFonts w:hint="eastAsia"/>
          <w:lang w:eastAsia="zh-CN"/>
        </w:rPr>
        <w:t>查</w:t>
      </w:r>
      <w:r>
        <w:rPr>
          <w:rFonts w:hint="eastAsia"/>
        </w:rPr>
        <w:t>工作，切实抓好燃气安</w:t>
      </w:r>
      <w:r>
        <w:rPr>
          <w:rFonts w:hint="eastAsia"/>
          <w:lang w:eastAsia="zh-CN"/>
        </w:rPr>
        <w:t>全</w:t>
      </w:r>
      <w:r>
        <w:rPr>
          <w:rFonts w:hint="eastAsia"/>
        </w:rPr>
        <w:t>生产管理工作。</w:t>
      </w:r>
    </w:p>
    <w:p w14:paraId="04F241F3">
      <w:pPr>
        <w:pStyle w:val="4"/>
        <w:bidi w:val="0"/>
        <w:rPr>
          <w:rFonts w:hint="eastAsia"/>
        </w:rPr>
      </w:pPr>
      <w:r>
        <w:rPr>
          <w:rFonts w:hint="eastAsia"/>
        </w:rPr>
        <w:t>【加强监管】</w:t>
      </w:r>
    </w:p>
    <w:p w14:paraId="123B8375">
      <w:pPr>
        <w:rPr>
          <w:rFonts w:hint="eastAsia"/>
        </w:rPr>
      </w:pPr>
      <w:r>
        <w:rPr>
          <w:rFonts w:hint="eastAsia"/>
        </w:rPr>
        <w:t>加强对各燃气企业、气站巡</w:t>
      </w:r>
      <w:r>
        <w:rPr>
          <w:rFonts w:hint="eastAsia"/>
          <w:lang w:eastAsia="zh-CN"/>
        </w:rPr>
        <w:t>查</w:t>
      </w:r>
      <w:r>
        <w:rPr>
          <w:rFonts w:hint="eastAsia"/>
        </w:rPr>
        <w:t>检</w:t>
      </w:r>
      <w:r>
        <w:rPr>
          <w:rFonts w:hint="eastAsia"/>
          <w:lang w:eastAsia="zh-CN"/>
        </w:rPr>
        <w:t>查</w:t>
      </w:r>
      <w:r>
        <w:rPr>
          <w:rFonts w:hint="eastAsia"/>
        </w:rPr>
        <w:t>工作，与各燃气企业的负责人签订《燃气安全生产责任书》，切实抓好燃气安全管理。加强燃气安全知识宣传工作，针对燃气事故的多发期，采取电视宣传、上街设点咨询、派发宣传资料等形式做好</w:t>
      </w:r>
      <w:r>
        <w:rPr>
          <w:rFonts w:hint="eastAsia"/>
          <w:lang w:val="en-US" w:eastAsia="zh-CN"/>
        </w:rPr>
        <w:t>宣</w:t>
      </w:r>
      <w:r>
        <w:rPr>
          <w:rFonts w:hint="eastAsia"/>
        </w:rPr>
        <w:t>传教育，组织燃气企业开展燃气安全知识咨询宣传活动。坚持每月、每季到气站进行燃气安全检</w:t>
      </w:r>
      <w:r>
        <w:rPr>
          <w:rFonts w:hint="eastAsia"/>
          <w:lang w:eastAsia="zh-CN"/>
        </w:rPr>
        <w:t>查</w:t>
      </w:r>
      <w:r>
        <w:rPr>
          <w:rFonts w:hint="eastAsia"/>
        </w:rPr>
        <w:t>监督工作，并督促企业领导、安全负责人，操作人员认真贯彻执行燃气安全技术规范和规程，有效地堵塞安全事故漏洞，确保全市燃气行业继续保持零伤亡事故的成绩。</w:t>
      </w:r>
    </w:p>
    <w:p w14:paraId="27C287CC">
      <w:pPr>
        <w:pStyle w:val="4"/>
        <w:bidi w:val="0"/>
        <w:rPr>
          <w:rFonts w:hint="eastAsia"/>
        </w:rPr>
      </w:pPr>
      <w:r>
        <w:rPr>
          <w:rFonts w:hint="eastAsia"/>
        </w:rPr>
        <w:t>【开展违法调</w:t>
      </w:r>
      <w:r>
        <w:rPr>
          <w:rFonts w:hint="eastAsia"/>
          <w:lang w:eastAsia="zh-CN"/>
        </w:rPr>
        <w:t>查</w:t>
      </w:r>
      <w:r>
        <w:rPr>
          <w:rFonts w:hint="eastAsia"/>
        </w:rPr>
        <w:t>工作】</w:t>
      </w:r>
    </w:p>
    <w:p w14:paraId="2A3E27B1">
      <w:pPr>
        <w:rPr>
          <w:rFonts w:hint="eastAsia"/>
        </w:rPr>
      </w:pPr>
      <w:r>
        <w:rPr>
          <w:rFonts w:hint="eastAsia"/>
        </w:rPr>
        <w:t>开展对信誉燃气有限公司经营期间违法行为</w:t>
      </w:r>
      <w:r>
        <w:rPr>
          <w:rFonts w:hint="eastAsia"/>
          <w:lang w:eastAsia="zh-CN"/>
        </w:rPr>
        <w:t>查</w:t>
      </w:r>
      <w:r>
        <w:rPr>
          <w:rFonts w:hint="eastAsia"/>
        </w:rPr>
        <w:t>处工作，对信誉燃气有限公司在江景庭小区超经营范为的违法行为进行现场调</w:t>
      </w:r>
      <w:r>
        <w:rPr>
          <w:rFonts w:hint="eastAsia"/>
          <w:lang w:eastAsia="zh-CN"/>
        </w:rPr>
        <w:t>查</w:t>
      </w:r>
      <w:r>
        <w:rPr>
          <w:rFonts w:hint="eastAsia"/>
        </w:rPr>
        <w:t>，询问笔录，拍照取证，搜集有关材料工作。调</w:t>
      </w:r>
      <w:r>
        <w:rPr>
          <w:rFonts w:hint="eastAsia"/>
          <w:lang w:eastAsia="zh-CN"/>
        </w:rPr>
        <w:t>查</w:t>
      </w:r>
      <w:r>
        <w:rPr>
          <w:rFonts w:hint="eastAsia"/>
        </w:rPr>
        <w:t>了解江景庭小区内住户</w:t>
      </w:r>
      <w:r>
        <w:t>605户，含步梯10栋，401户、电梯3栋，204户；其中，步梯10栋燃气</w:t>
      </w:r>
      <w:r>
        <w:rPr>
          <w:rFonts w:hint="eastAsia"/>
        </w:rPr>
        <w:t>管道只铺设到楼地面，尚未立管安装；电梯</w:t>
      </w:r>
      <w:r>
        <w:t>3栋管</w:t>
      </w:r>
      <w:r>
        <w:rPr>
          <w:rFonts w:hint="eastAsia"/>
        </w:rPr>
        <w:t>线已立管安装到住户门口，且已供气的住户有</w:t>
      </w:r>
      <w:r>
        <w:t>60</w:t>
      </w:r>
      <w:r>
        <w:rPr>
          <w:rFonts w:hint="eastAsia"/>
        </w:rPr>
        <w:t>多户，为进一步</w:t>
      </w:r>
      <w:r>
        <w:rPr>
          <w:rFonts w:hint="eastAsia"/>
          <w:lang w:eastAsia="zh-CN"/>
        </w:rPr>
        <w:t>查</w:t>
      </w:r>
      <w:r>
        <w:rPr>
          <w:rFonts w:hint="eastAsia"/>
        </w:rPr>
        <w:t>处该公司的违法事实，对江景庭小区</w:t>
      </w:r>
      <w:r>
        <w:t>1栋1201房户主黄彩金家进行</w:t>
      </w:r>
      <w:r>
        <w:rPr>
          <w:rFonts w:hint="eastAsia"/>
          <w:lang w:val="en-US" w:eastAsia="zh-CN"/>
        </w:rPr>
        <w:t>入</w:t>
      </w:r>
      <w:r>
        <w:t>户调</w:t>
      </w:r>
      <w:r>
        <w:rPr>
          <w:rFonts w:hint="eastAsia"/>
          <w:lang w:eastAsia="zh-CN"/>
        </w:rPr>
        <w:t>查</w:t>
      </w:r>
      <w:r>
        <w:t>，核</w:t>
      </w:r>
      <w:r>
        <w:rPr>
          <w:rFonts w:hint="eastAsia"/>
        </w:rPr>
        <w:t>实南雄信誉有限公司存在燃气超经营许可范围的违法行为活动，住建局将依照《广东省燃气管理条例》作出相应的处罚。</w:t>
      </w:r>
    </w:p>
    <w:p w14:paraId="6C3E72B8">
      <w:pPr>
        <w:jc w:val="right"/>
        <w:rPr>
          <w:rFonts w:hint="eastAsia"/>
          <w:b/>
          <w:bCs/>
        </w:rPr>
      </w:pPr>
      <w:r>
        <w:rPr>
          <w:rFonts w:hint="eastAsia"/>
          <w:b/>
          <w:bCs/>
        </w:rPr>
        <w:t>（钟永汕）</w:t>
      </w:r>
    </w:p>
    <w:p w14:paraId="61D1493F">
      <w:pPr>
        <w:pStyle w:val="10"/>
        <w:bidi w:val="0"/>
        <w:rPr>
          <w:b/>
          <w:bCs/>
        </w:rPr>
      </w:pPr>
      <w:r>
        <w:rPr>
          <w:rFonts w:hint="eastAsia"/>
          <w:b/>
          <w:bCs/>
        </w:rPr>
        <w:t>附：</w:t>
      </w:r>
      <w:r>
        <w:rPr>
          <w:b/>
          <w:bCs/>
        </w:rPr>
        <w:t>2013年市住建局领导班子成员名单</w:t>
      </w:r>
    </w:p>
    <w:p w14:paraId="0F64A1DA">
      <w:pPr>
        <w:pStyle w:val="10"/>
        <w:bidi w:val="0"/>
      </w:pPr>
      <w:r>
        <w:rPr>
          <w:rFonts w:hint="eastAsia"/>
          <w:b/>
          <w:bCs/>
        </w:rPr>
        <w:t>局</w:t>
      </w:r>
      <w:r>
        <w:rPr>
          <w:rFonts w:hint="eastAsia"/>
          <w:b/>
          <w:bCs/>
          <w:lang w:val="en-US" w:eastAsia="zh-CN"/>
        </w:rPr>
        <w:t xml:space="preserve">    </w:t>
      </w:r>
      <w:r>
        <w:rPr>
          <w:rFonts w:hint="eastAsia"/>
          <w:b/>
          <w:bCs/>
        </w:rPr>
        <w:t>长</w:t>
      </w:r>
      <w:r>
        <w:rPr>
          <w:rFonts w:hint="eastAsia"/>
        </w:rPr>
        <w:t>：吴良彬（</w:t>
      </w:r>
      <w:r>
        <w:t>9月任）</w:t>
      </w:r>
    </w:p>
    <w:p w14:paraId="36E1390F">
      <w:pPr>
        <w:pStyle w:val="10"/>
        <w:bidi w:val="0"/>
        <w:ind w:firstLine="1050" w:firstLineChars="500"/>
      </w:pPr>
      <w:r>
        <w:rPr>
          <w:rFonts w:hint="eastAsia"/>
        </w:rPr>
        <w:t>李传忠（任至</w:t>
      </w:r>
      <w:r>
        <w:t>9月）</w:t>
      </w:r>
    </w:p>
    <w:p w14:paraId="53B0F658">
      <w:pPr>
        <w:pStyle w:val="10"/>
        <w:bidi w:val="0"/>
        <w:rPr>
          <w:rFonts w:hint="eastAsia"/>
        </w:rPr>
      </w:pPr>
      <w:r>
        <w:rPr>
          <w:rFonts w:hint="eastAsia"/>
          <w:b/>
          <w:bCs/>
        </w:rPr>
        <w:t>副</w:t>
      </w:r>
      <w:r>
        <w:rPr>
          <w:rFonts w:hint="eastAsia"/>
          <w:b/>
          <w:bCs/>
          <w:lang w:val="en-US" w:eastAsia="zh-CN"/>
        </w:rPr>
        <w:t xml:space="preserve"> </w:t>
      </w:r>
      <w:r>
        <w:rPr>
          <w:rFonts w:hint="eastAsia"/>
          <w:b/>
          <w:bCs/>
        </w:rPr>
        <w:t>局</w:t>
      </w:r>
      <w:r>
        <w:rPr>
          <w:rFonts w:hint="eastAsia"/>
          <w:b/>
          <w:bCs/>
          <w:lang w:val="en-US" w:eastAsia="zh-CN"/>
        </w:rPr>
        <w:t xml:space="preserve"> </w:t>
      </w:r>
      <w:r>
        <w:rPr>
          <w:rFonts w:hint="eastAsia"/>
          <w:b/>
          <w:bCs/>
        </w:rPr>
        <w:t>长：</w:t>
      </w:r>
      <w:r>
        <w:rPr>
          <w:rFonts w:hint="eastAsia"/>
        </w:rPr>
        <w:t>刘志军</w:t>
      </w:r>
      <w:r>
        <w:rPr>
          <w:rFonts w:hint="eastAsia"/>
          <w:lang w:val="en-US" w:eastAsia="zh-CN"/>
        </w:rPr>
        <w:t xml:space="preserve">   </w:t>
      </w:r>
      <w:r>
        <w:rPr>
          <w:rFonts w:hint="eastAsia"/>
        </w:rPr>
        <w:t>黄长江</w:t>
      </w:r>
      <w:r>
        <w:rPr>
          <w:rFonts w:hint="eastAsia"/>
          <w:lang w:val="en-US" w:eastAsia="zh-CN"/>
        </w:rPr>
        <w:t xml:space="preserve">   </w:t>
      </w:r>
      <w:r>
        <w:rPr>
          <w:rFonts w:hint="eastAsia"/>
        </w:rPr>
        <w:t>赖书琳</w:t>
      </w:r>
    </w:p>
    <w:p w14:paraId="5AA320CC">
      <w:pPr>
        <w:pStyle w:val="10"/>
        <w:bidi w:val="0"/>
        <w:rPr>
          <w:rFonts w:hint="eastAsia"/>
        </w:rPr>
      </w:pPr>
      <w:r>
        <w:rPr>
          <w:rFonts w:hint="eastAsia"/>
          <w:b/>
          <w:bCs/>
        </w:rPr>
        <w:t>纪检组长：</w:t>
      </w:r>
      <w:r>
        <w:rPr>
          <w:rFonts w:hint="eastAsia"/>
        </w:rPr>
        <w:t>梁东宁</w:t>
      </w:r>
    </w:p>
    <w:p w14:paraId="05B68DE0">
      <w:pPr>
        <w:pStyle w:val="10"/>
        <w:bidi w:val="0"/>
        <w:rPr>
          <w:rFonts w:hint="eastAsia"/>
        </w:rPr>
      </w:pPr>
      <w:r>
        <w:rPr>
          <w:rFonts w:hint="eastAsia"/>
          <w:b/>
          <w:bCs/>
        </w:rPr>
        <w:t>工会主席：</w:t>
      </w:r>
      <w:r>
        <w:rPr>
          <w:rFonts w:hint="eastAsia"/>
        </w:rPr>
        <w:t>张</w:t>
      </w:r>
      <w:r>
        <w:rPr>
          <w:rFonts w:hint="eastAsia"/>
          <w:lang w:val="en-US" w:eastAsia="zh-CN"/>
        </w:rPr>
        <w:t xml:space="preserve">  </w:t>
      </w:r>
      <w:r>
        <w:rPr>
          <w:rFonts w:hint="eastAsia"/>
        </w:rPr>
        <w:t>明</w:t>
      </w:r>
    </w:p>
    <w:p w14:paraId="4388D1F8">
      <w:pPr>
        <w:pStyle w:val="3"/>
        <w:bidi w:val="0"/>
        <w:rPr>
          <w:rFonts w:hint="default"/>
          <w:lang w:val="en-US" w:eastAsia="zh-CN"/>
        </w:rPr>
      </w:pPr>
      <w:r>
        <w:rPr>
          <w:rFonts w:hint="eastAsia"/>
          <w:lang w:val="en-US" w:eastAsia="zh-CN"/>
        </w:rPr>
        <w:t>环境保护</w:t>
      </w:r>
    </w:p>
    <w:p w14:paraId="5B499F7C">
      <w:pPr>
        <w:pStyle w:val="4"/>
        <w:bidi w:val="0"/>
        <w:rPr>
          <w:rFonts w:hint="eastAsia"/>
        </w:rPr>
      </w:pPr>
      <w:r>
        <w:rPr>
          <w:rFonts w:hint="eastAsia"/>
        </w:rPr>
        <w:t>【概况】</w:t>
      </w:r>
    </w:p>
    <w:p w14:paraId="2FA64138">
      <w:r>
        <w:rPr>
          <w:rFonts w:hint="eastAsia"/>
        </w:rPr>
        <w:t>南雄市环境保护局是南雄市政府组成部门，其职责只要是：履行贯彻执行国家环保法律法规，编制落实环保规划，发布环保信息，监管防治环境污染，组织环境综合整治与环保执法，承担落实污染减排和各种环保考核任务。于</w:t>
      </w:r>
      <w:r>
        <w:t>1981年5月</w:t>
      </w:r>
      <w:r>
        <w:rPr>
          <w:rFonts w:hint="eastAsia"/>
        </w:rPr>
        <w:t>成立，目前核有行政编制</w:t>
      </w:r>
      <w:r>
        <w:t>8名，后勤编1名，其中</w:t>
      </w:r>
      <w:r>
        <w:rPr>
          <w:rFonts w:hint="eastAsia"/>
        </w:rPr>
        <w:t>局长</w:t>
      </w:r>
      <w:r>
        <w:t>1名，副局长职数3名，行政执法专项编10</w:t>
      </w:r>
      <w:r>
        <w:rPr>
          <w:rFonts w:hint="eastAsia"/>
        </w:rPr>
        <w:t>名。内设人事秘书股、规划审批股、污染控制股</w:t>
      </w:r>
      <w:r>
        <w:rPr>
          <w:rFonts w:hint="eastAsia"/>
          <w:lang w:eastAsia="zh-CN"/>
        </w:rPr>
        <w:t>、</w:t>
      </w:r>
      <w:r>
        <w:rPr>
          <w:rFonts w:hint="eastAsia"/>
        </w:rPr>
        <w:t>环境应急与监察股（外挂环境监察分局）</w:t>
      </w:r>
      <w:r>
        <w:t>4个股</w:t>
      </w:r>
      <w:r>
        <w:rPr>
          <w:rFonts w:hint="eastAsia"/>
        </w:rPr>
        <w:t>室，管理</w:t>
      </w:r>
      <w:r>
        <w:t>2个股级事业单位：环境监测站、广东省</w:t>
      </w:r>
      <w:r>
        <w:rPr>
          <w:rFonts w:hint="eastAsia"/>
        </w:rPr>
        <w:t>地表水水质自动监测系统南雄昆仑子站。其中核有监测站事业编制</w:t>
      </w:r>
      <w:r>
        <w:t>20名、昆仑子站事业编制6名。</w:t>
      </w:r>
    </w:p>
    <w:p w14:paraId="623043DD">
      <w:pPr>
        <w:pStyle w:val="4"/>
        <w:bidi w:val="0"/>
        <w:rPr>
          <w:rFonts w:hint="eastAsia"/>
        </w:rPr>
      </w:pPr>
      <w:r>
        <w:rPr>
          <w:rFonts w:hint="eastAsia"/>
          <w:lang w:eastAsia="zh-CN"/>
        </w:rPr>
        <w:t>【</w:t>
      </w:r>
      <w:r>
        <w:rPr>
          <w:rFonts w:hint="eastAsia"/>
        </w:rPr>
        <w:t>环境管理】</w:t>
      </w:r>
    </w:p>
    <w:p w14:paraId="59313F64">
      <w:r>
        <w:rPr>
          <w:rFonts w:hint="eastAsia"/>
        </w:rPr>
        <w:t>严格执行建设项目环评制度、“三同时”制度和排污许可制度，把好项目准入关口，从源头上控制和管好新增污染源。</w:t>
      </w:r>
      <w:r>
        <w:t>2013年审批建设项</w:t>
      </w:r>
      <w:r>
        <w:rPr>
          <w:rFonts w:hint="eastAsia"/>
        </w:rPr>
        <w:t>目</w:t>
      </w:r>
      <w:r>
        <w:t>58个，换发《排污许可证》37份，通过环保</w:t>
      </w:r>
      <w:r>
        <w:rPr>
          <w:rFonts w:hint="eastAsia"/>
        </w:rPr>
        <w:t>“三同时”竣工验收的项目</w:t>
      </w:r>
      <w:r>
        <w:t>6个。按计划推进2012</w:t>
      </w:r>
      <w:r>
        <w:rPr>
          <w:rFonts w:hint="eastAsia"/>
        </w:rPr>
        <w:t>年</w:t>
      </w:r>
      <w:r>
        <w:t>1600多万元到位专项资金用于城市配套管网工</w:t>
      </w:r>
      <w:r>
        <w:rPr>
          <w:rFonts w:hint="eastAsia"/>
        </w:rPr>
        <w:t>程、蛇岭水库环境综合整</w:t>
      </w:r>
      <w:r>
        <w:rPr>
          <w:rFonts w:hint="eastAsia"/>
          <w:lang w:val="en-US" w:eastAsia="zh-CN"/>
        </w:rPr>
        <w:t>治</w:t>
      </w:r>
      <w:r>
        <w:rPr>
          <w:rFonts w:hint="eastAsia"/>
        </w:rPr>
        <w:t>、监测站站房扩建项目建设工作。</w:t>
      </w:r>
      <w:r>
        <w:t>2013年争取到中央、省环保专项资金906万元。</w:t>
      </w:r>
    </w:p>
    <w:p w14:paraId="5EA044D7">
      <w:pPr>
        <w:pStyle w:val="4"/>
        <w:bidi w:val="0"/>
        <w:rPr>
          <w:rFonts w:hint="eastAsia"/>
        </w:rPr>
      </w:pPr>
      <w:r>
        <w:rPr>
          <w:rFonts w:hint="eastAsia"/>
        </w:rPr>
        <w:t>【环保服务】</w:t>
      </w:r>
    </w:p>
    <w:p w14:paraId="30F7F747">
      <w:pPr>
        <w:rPr>
          <w:rFonts w:hint="eastAsia"/>
        </w:rPr>
      </w:pPr>
      <w:r>
        <w:t>2013年，围绕园区扩园项目和市重</w:t>
      </w:r>
      <w:r>
        <w:rPr>
          <w:rFonts w:hint="eastAsia"/>
        </w:rPr>
        <w:t>点项目建设，全力推进扩园项目环评并获得省环保厅批复，协助园区成功扩园。帮助华电协调解决公众参与和热冷负荷缺口等环评过程中遇到的实际</w:t>
      </w:r>
      <w:r>
        <w:rPr>
          <w:rFonts w:hint="eastAsia"/>
          <w:lang w:val="en-US" w:eastAsia="zh-CN"/>
        </w:rPr>
        <w:t>问</w:t>
      </w:r>
      <w:r>
        <w:rPr>
          <w:rFonts w:hint="eastAsia"/>
        </w:rPr>
        <w:t>题，协调解决一期园区超批复产能、污水处理厂竣工验收、企业危废转移处理等问题。加强挂点联系企业的跟踪服务，重点帮助园区企业解决在环评及建设过程中存在的环保问题，促进其尽快动工建设、投产见效。协助完成园区扩园污水处理厂的可研及设计工作，加快推进其建设进程。</w:t>
      </w:r>
    </w:p>
    <w:p w14:paraId="066A02C1">
      <w:pPr>
        <w:pStyle w:val="4"/>
        <w:bidi w:val="0"/>
        <w:rPr>
          <w:rFonts w:hint="eastAsia"/>
        </w:rPr>
      </w:pPr>
      <w:r>
        <w:rPr>
          <w:rFonts w:hint="eastAsia"/>
        </w:rPr>
        <w:t>【生态环境质量考核】</w:t>
      </w:r>
    </w:p>
    <w:p w14:paraId="36BC7D78">
      <w:pPr>
        <w:rPr>
          <w:rFonts w:hint="eastAsia"/>
        </w:rPr>
      </w:pPr>
      <w:r>
        <w:rPr>
          <w:rFonts w:hint="eastAsia"/>
        </w:rPr>
        <w:t>成立南雄市“国家重点功能区县域生态环境质量考核工作”领导小组，多次召开专题会议，对考核工作进行全面部署，并把任务分解到各成员单位。市环保局负责考核工作的牵头协调和组织实施，审核各成员单位报送的数据资料，做好迎接考核工作。经考核，</w:t>
      </w:r>
      <w:r>
        <w:t>2013年，南雄市</w:t>
      </w:r>
      <w:r>
        <w:rPr>
          <w:rFonts w:hint="eastAsia"/>
        </w:rPr>
        <w:t>生态环境质量评价等次为中等。</w:t>
      </w:r>
    </w:p>
    <w:p w14:paraId="6DF7450E">
      <w:pPr>
        <w:pStyle w:val="4"/>
        <w:bidi w:val="0"/>
        <w:rPr>
          <w:rFonts w:hint="eastAsia"/>
        </w:rPr>
      </w:pPr>
      <w:r>
        <w:rPr>
          <w:rFonts w:hint="eastAsia"/>
        </w:rPr>
        <w:t>【污染治理】</w:t>
      </w:r>
    </w:p>
    <w:p w14:paraId="1B305F3E">
      <w:pPr>
        <w:rPr>
          <w:rFonts w:hint="eastAsia"/>
        </w:rPr>
      </w:pPr>
      <w:r>
        <w:rPr>
          <w:rFonts w:hint="eastAsia"/>
        </w:rPr>
        <w:t>按中央专项资金</w:t>
      </w:r>
      <w:r>
        <w:t>1000万元项目安</w:t>
      </w:r>
      <w:r>
        <w:rPr>
          <w:rFonts w:hint="eastAsia"/>
        </w:rPr>
        <w:t>排，完成小岛片区、雄州片区、城市综合体区域的城市污水处理配套管网建设工作，建成雨污管网系统</w:t>
      </w:r>
      <w:r>
        <w:t>6.93公里，城镇污水处理费征收标准达到0.8</w:t>
      </w:r>
      <w:r>
        <w:rPr>
          <w:rFonts w:hint="eastAsia"/>
        </w:rPr>
        <w:t>元</w:t>
      </w:r>
      <w:r>
        <w:t>/吨；乌迳、黄坑、珠玑3个中心镇的污水处理</w:t>
      </w:r>
      <w:r>
        <w:rPr>
          <w:rFonts w:hint="eastAsia"/>
        </w:rPr>
        <w:t>厂建设项目已完成征地、可研、环评和设计工作，进入项目实施阶段。按照减排要求完成</w:t>
      </w:r>
      <w:r>
        <w:t>30家规模</w:t>
      </w:r>
      <w:r>
        <w:rPr>
          <w:rFonts w:hint="eastAsia"/>
        </w:rPr>
        <w:t>化畜禽养殖场的环境综合整治和减排台帐建立上报工作。拆除南雄市彤置富水泥建材投资有限公司立窑水泥生产线主体生产设备和依法关停，加强对广东绿洲纸模包装制品有限公司</w:t>
      </w:r>
      <w:r>
        <w:t>4.3蒸吨/小时燃煤</w:t>
      </w:r>
      <w:r>
        <w:rPr>
          <w:rFonts w:hint="eastAsia"/>
        </w:rPr>
        <w:t>锅炉的日常检</w:t>
      </w:r>
      <w:r>
        <w:rPr>
          <w:rFonts w:hint="eastAsia"/>
          <w:lang w:eastAsia="zh-CN"/>
        </w:rPr>
        <w:t>查</w:t>
      </w:r>
      <w:r>
        <w:rPr>
          <w:rFonts w:hint="eastAsia"/>
        </w:rPr>
        <w:t>，督促其拆除未依法取得使用登记证明的工业锅炉。加强珠玑纸业和城市污水处理厂两国控企业的日常核</w:t>
      </w:r>
      <w:r>
        <w:rPr>
          <w:rFonts w:hint="eastAsia"/>
          <w:lang w:eastAsia="zh-CN"/>
        </w:rPr>
        <w:t>查</w:t>
      </w:r>
      <w:r>
        <w:rPr>
          <w:rFonts w:hint="eastAsia"/>
        </w:rPr>
        <w:t>，督促其污水处理设施在线监控系统的稳定有效运行。</w:t>
      </w:r>
    </w:p>
    <w:p w14:paraId="4FAF155D">
      <w:pPr>
        <w:pStyle w:val="4"/>
        <w:bidi w:val="0"/>
        <w:rPr>
          <w:rFonts w:hint="eastAsia"/>
        </w:rPr>
      </w:pPr>
      <w:r>
        <w:rPr>
          <w:rFonts w:hint="eastAsia"/>
        </w:rPr>
        <w:t>【环境执法】</w:t>
      </w:r>
    </w:p>
    <w:p w14:paraId="5E717888">
      <w:r>
        <w:rPr>
          <w:rFonts w:hint="eastAsia"/>
        </w:rPr>
        <w:t>加大环保执法监管力度，督促排污企业外排污染物达标排放。建立健全每月定期监察制度，加强对重点流域、区域、行业和企业的日常监管，加大对南雄松林树脂有限公司未验先投等环境违法行为的</w:t>
      </w:r>
      <w:r>
        <w:rPr>
          <w:rFonts w:hint="eastAsia"/>
          <w:lang w:eastAsia="zh-CN"/>
        </w:rPr>
        <w:t>查</w:t>
      </w:r>
      <w:r>
        <w:rPr>
          <w:rFonts w:hint="eastAsia"/>
        </w:rPr>
        <w:t>处力度，依法关停</w:t>
      </w:r>
      <w:r>
        <w:t>2家非法炼铜和</w:t>
      </w:r>
      <w:r>
        <w:rPr>
          <w:rFonts w:hint="eastAsia"/>
        </w:rPr>
        <w:t>炼铝锭企业。加强突发环境安全事故的应急演练，参与及时处置</w:t>
      </w:r>
      <w:r>
        <w:rPr>
          <w:rFonts w:hint="eastAsia"/>
          <w:lang w:eastAsia="zh-CN"/>
        </w:rPr>
        <w:t>高</w:t>
      </w:r>
      <w:r>
        <w:rPr>
          <w:rFonts w:hint="eastAsia"/>
        </w:rPr>
        <w:t>速路</w:t>
      </w:r>
      <w:r>
        <w:t>S</w:t>
      </w:r>
      <w:r>
        <w:rPr>
          <w:rFonts w:hint="eastAsia"/>
          <w:lang w:val="en-US" w:eastAsia="zh-CN"/>
        </w:rPr>
        <w:t>1</w:t>
      </w:r>
      <w:r>
        <w:t>0线梅岭段过境车辆运输货</w:t>
      </w:r>
      <w:r>
        <w:rPr>
          <w:rFonts w:hint="eastAsia"/>
        </w:rPr>
        <w:t>物自燃、园区内三本化学科技有限公司因静电引发火灾的突发性事故。全年出动执法人员</w:t>
      </w:r>
      <w:r>
        <w:t>654人</w:t>
      </w:r>
      <w:r>
        <w:rPr>
          <w:rFonts w:hint="eastAsia"/>
        </w:rPr>
        <w:t>（次），检</w:t>
      </w:r>
      <w:r>
        <w:rPr>
          <w:rFonts w:hint="eastAsia"/>
          <w:lang w:eastAsia="zh-CN"/>
        </w:rPr>
        <w:t>查</w:t>
      </w:r>
      <w:r>
        <w:rPr>
          <w:rFonts w:hint="eastAsia"/>
        </w:rPr>
        <w:t>企业</w:t>
      </w:r>
      <w:r>
        <w:t>327家（次），下达限期整改通知81份，限期治理项目1项，下达停产通知3份，立</w:t>
      </w:r>
      <w:r>
        <w:rPr>
          <w:rFonts w:hint="eastAsia"/>
        </w:rPr>
        <w:t>案</w:t>
      </w:r>
      <w:r>
        <w:t>1宗。</w:t>
      </w:r>
    </w:p>
    <w:p w14:paraId="5C341A6D">
      <w:pPr>
        <w:pStyle w:val="4"/>
        <w:bidi w:val="0"/>
        <w:rPr>
          <w:rFonts w:hint="eastAsia"/>
        </w:rPr>
      </w:pPr>
      <w:r>
        <w:rPr>
          <w:rFonts w:hint="eastAsia"/>
        </w:rPr>
        <w:t>【环境信访维稳】</w:t>
      </w:r>
    </w:p>
    <w:p w14:paraId="1C589D2D">
      <w:pPr>
        <w:rPr>
          <w:rFonts w:hint="eastAsia"/>
        </w:rPr>
      </w:pPr>
      <w:r>
        <w:rPr>
          <w:rFonts w:hint="eastAsia"/>
        </w:rPr>
        <w:t>采取就地解决问题与疏导教育相结合的方式，全年受理人大议案、政协提案</w:t>
      </w:r>
      <w:r>
        <w:t>2</w:t>
      </w:r>
      <w:r>
        <w:rPr>
          <w:rFonts w:hint="eastAsia"/>
        </w:rPr>
        <w:t>件，群众来信、来电和来访</w:t>
      </w:r>
      <w:r>
        <w:t>169宗，办结率为100%。配合市人大做好珠玑纸业排污管控的询问</w:t>
      </w:r>
      <w:r>
        <w:rPr>
          <w:rFonts w:hint="eastAsia"/>
        </w:rPr>
        <w:t>工作，督促其进一步全面完善污染治理设施建设，重点解决市民反映强烈的废臭气污染环境问题。</w:t>
      </w:r>
    </w:p>
    <w:p w14:paraId="40F76851">
      <w:pPr>
        <w:pStyle w:val="4"/>
        <w:bidi w:val="0"/>
        <w:rPr>
          <w:rFonts w:hint="eastAsia"/>
        </w:rPr>
      </w:pPr>
      <w:r>
        <w:rPr>
          <w:rFonts w:hint="eastAsia"/>
        </w:rPr>
        <w:t>【环境监测】</w:t>
      </w:r>
    </w:p>
    <w:p w14:paraId="79B189FC">
      <w:pPr>
        <w:rPr>
          <w:rFonts w:hint="eastAsia"/>
        </w:rPr>
      </w:pPr>
      <w:r>
        <w:rPr>
          <w:rFonts w:hint="eastAsia"/>
        </w:rPr>
        <w:t>充分发挥环境监测“耳目”和“哨兵”作用，为环境监管提供科学准确的数据。完成辖区内饮用水源、江河水质、大气自然降尘和酸雨的常规监测。完成对南雄市排污企业的监督监测和项目环评现场等各种类型委托监测。强化监测站内部管理，顺利通过广东省实验室资质认定机构的现场监督评审，提升环境监测能力。</w:t>
      </w:r>
    </w:p>
    <w:p w14:paraId="4C2D4FB9">
      <w:pPr>
        <w:pStyle w:val="4"/>
        <w:bidi w:val="0"/>
        <w:rPr>
          <w:rFonts w:hint="eastAsia"/>
        </w:rPr>
      </w:pPr>
      <w:r>
        <w:rPr>
          <w:rFonts w:hint="eastAsia"/>
        </w:rPr>
        <w:t>【环保宣传】</w:t>
      </w:r>
    </w:p>
    <w:p w14:paraId="7A3492ED">
      <w:r>
        <w:rPr>
          <w:rFonts w:hint="eastAsia"/>
        </w:rPr>
        <w:t>扩大宣传效果。在学校、园区、社区等人口集聚区建设环保宣传橱窗并定期更新环保宣传内容；利用</w:t>
      </w:r>
      <w:r>
        <w:t>6.5世界环境日、环保执法深入基</w:t>
      </w:r>
      <w:r>
        <w:rPr>
          <w:rFonts w:hint="eastAsia"/>
        </w:rPr>
        <w:t>层、进企业和学校、“扶贫双到”环保宣传进农村</w:t>
      </w:r>
      <w:r>
        <w:rPr>
          <w:rFonts w:hint="eastAsia"/>
          <w:lang w:eastAsia="zh-CN"/>
        </w:rPr>
        <w:t>、</w:t>
      </w:r>
      <w:r>
        <w:t>12</w:t>
      </w:r>
      <w:r>
        <w:rPr>
          <w:rFonts w:hint="eastAsia" w:ascii="宋体" w:hAnsi="宋体" w:cs="宋体"/>
        </w:rPr>
        <w:t>·</w:t>
      </w:r>
      <w:r>
        <w:t>4环保法制进社区的机会，以电视、短信、标</w:t>
      </w:r>
      <w:r>
        <w:rPr>
          <w:rFonts w:hint="eastAsia"/>
        </w:rPr>
        <w:t>语、上街咨询、发放科普读物等多种形式，普及环保知识，宣传环保法规，累计发放环保宣传资料</w:t>
      </w:r>
      <w:r>
        <w:t>900多份。</w:t>
      </w:r>
    </w:p>
    <w:p w14:paraId="02727ECD">
      <w:pPr>
        <w:pStyle w:val="3"/>
        <w:bidi w:val="0"/>
        <w:rPr>
          <w:rFonts w:hint="default"/>
          <w:lang w:val="en-US" w:eastAsia="zh-CN"/>
        </w:rPr>
      </w:pPr>
      <w:r>
        <w:rPr>
          <w:rFonts w:hint="eastAsia"/>
          <w:lang w:val="en-US" w:eastAsia="zh-CN"/>
        </w:rPr>
        <w:t>环境质量</w:t>
      </w:r>
    </w:p>
    <w:p w14:paraId="675F626F">
      <w:pPr>
        <w:pStyle w:val="4"/>
        <w:bidi w:val="0"/>
        <w:rPr>
          <w:rFonts w:hint="eastAsia"/>
        </w:rPr>
      </w:pPr>
      <w:r>
        <w:rPr>
          <w:rFonts w:hint="eastAsia"/>
        </w:rPr>
        <w:t>【概况】</w:t>
      </w:r>
    </w:p>
    <w:p w14:paraId="078118F4">
      <w:pPr>
        <w:rPr>
          <w:rFonts w:hint="eastAsia"/>
          <w:lang w:eastAsia="zh-CN"/>
        </w:rPr>
      </w:pPr>
      <w:r>
        <w:t>2013年全市环境质量总体良好，呈现经</w:t>
      </w:r>
      <w:r>
        <w:rPr>
          <w:rFonts w:hint="eastAsia"/>
        </w:rPr>
        <w:t>济建设与环境保护协调发展势头。城市空气质量优于《环境空气质量标准》（</w:t>
      </w:r>
      <w:r>
        <w:t>GB3095-1996）二级标</w:t>
      </w:r>
      <w:r>
        <w:rPr>
          <w:rFonts w:hint="eastAsia"/>
        </w:rPr>
        <w:t>准，降尘优于广州地区暂行标准，全年达到空气质量优良等级的天数比例为</w:t>
      </w:r>
      <w:r>
        <w:t>98.04%，空气中主要污</w:t>
      </w:r>
      <w:r>
        <w:rPr>
          <w:rFonts w:hint="eastAsia"/>
        </w:rPr>
        <w:t>染物（可吸入颗粒物、</w:t>
      </w:r>
      <w:r>
        <w:t>SO2、NO2）年平均值达到</w:t>
      </w:r>
      <w:r>
        <w:rPr>
          <w:rFonts w:hint="eastAsia"/>
        </w:rPr>
        <w:t>优于国家二级标准，饮用水源水质达标率</w:t>
      </w:r>
      <w:r>
        <w:t>100%，</w:t>
      </w:r>
      <w:r>
        <w:rPr>
          <w:rFonts w:hint="eastAsia"/>
        </w:rPr>
        <w:t>河流水质达标率</w:t>
      </w:r>
      <w:r>
        <w:t>100%。城市区域环境噪声与交通</w:t>
      </w:r>
      <w:r>
        <w:rPr>
          <w:rFonts w:hint="eastAsia"/>
        </w:rPr>
        <w:t>干线噪声平均值达标率</w:t>
      </w:r>
      <w:r>
        <w:t>100%，分别50.1dB（A）</w:t>
      </w:r>
      <w:r>
        <w:rPr>
          <w:rFonts w:hint="eastAsia"/>
          <w:lang w:eastAsia="zh-CN"/>
        </w:rPr>
        <w:t>（</w:t>
      </w:r>
      <w:r>
        <w:rPr>
          <w:rFonts w:hint="eastAsia"/>
        </w:rPr>
        <w:t>低于</w:t>
      </w:r>
      <w:r>
        <w:t>1类区昼间55dB（A）的标准：1类声环境</w:t>
      </w:r>
      <w:r>
        <w:rPr>
          <w:rFonts w:hint="eastAsia"/>
        </w:rPr>
        <w:t>功能区：指以居民住宅、医疗卫生、文化教育、科研设计、行政办公为主要功能，需要保持安静的区域。），</w:t>
      </w:r>
      <w:r>
        <w:t>69.5dB（A）（低于4a类区（交通干线）</w:t>
      </w:r>
      <w:r>
        <w:rPr>
          <w:rFonts w:hint="eastAsia"/>
        </w:rPr>
        <w:t>环境噪声昼间标准值</w:t>
      </w:r>
      <w:r>
        <w:t>70.0dB（A）要求），达到</w:t>
      </w:r>
      <w:r>
        <w:rPr>
          <w:rFonts w:hint="eastAsia"/>
        </w:rPr>
        <w:t>《声环境质量标准》（</w:t>
      </w:r>
      <w:r>
        <w:t>GB3096-2008）要求，见表1—A、B</w:t>
      </w:r>
      <w:r>
        <w:rPr>
          <w:rFonts w:hint="eastAsia"/>
          <w:lang w:eastAsia="zh-CN"/>
        </w:rPr>
        <w:t>。</w:t>
      </w:r>
    </w:p>
    <w:p w14:paraId="0F4705D6">
      <w:pPr>
        <w:pStyle w:val="4"/>
        <w:bidi w:val="0"/>
        <w:rPr>
          <w:rFonts w:hint="eastAsia"/>
        </w:rPr>
      </w:pPr>
      <w:r>
        <w:rPr>
          <w:rFonts w:hint="eastAsia"/>
        </w:rPr>
        <w:t>【水环境质量】</w:t>
      </w:r>
    </w:p>
    <w:p w14:paraId="10C55AAE">
      <w:pPr>
        <w:rPr>
          <w:rFonts w:hint="eastAsia"/>
        </w:rPr>
      </w:pPr>
      <w:r>
        <w:t>1、饮用水源情况2013年经环保</w:t>
      </w:r>
      <w:r>
        <w:rPr>
          <w:rFonts w:hint="eastAsia"/>
        </w:rPr>
        <w:t>局监测站对集中式生活饮用水水源地瀑布水库库坝和瀑布水库塘坪两个断面进行水质每月常规监测</w:t>
      </w:r>
      <w:r>
        <w:rPr>
          <w:rFonts w:hint="eastAsia"/>
          <w:lang w:eastAsia="zh-CN"/>
        </w:rPr>
        <w:t>、</w:t>
      </w:r>
      <w:r>
        <w:rPr>
          <w:rFonts w:hint="eastAsia"/>
        </w:rPr>
        <w:t>特定项目季度监测和全分析年度监测。结果表明：瀑布水库库坝断面和瀑布水库塘坪断面各项监测数据年均值满足《地表水环境质量标准》（</w:t>
      </w:r>
      <w:r>
        <w:rPr>
          <w:rFonts w:hint="eastAsia"/>
          <w:lang w:val="en-US" w:eastAsia="zh-CN"/>
        </w:rPr>
        <w:t>G</w:t>
      </w:r>
      <w:r>
        <w:t>B3838-2002）Ⅱ类水质标准，见表2-A。全年取水量合</w:t>
      </w:r>
      <w:r>
        <w:rPr>
          <w:rFonts w:hint="eastAsia"/>
        </w:rPr>
        <w:t>计</w:t>
      </w:r>
      <w:r>
        <w:t>599.91万吨，达标总水量599</w:t>
      </w:r>
      <w:r>
        <w:rPr>
          <w:rFonts w:hint="eastAsia"/>
          <w:lang w:val="en-US" w:eastAsia="zh-CN"/>
        </w:rPr>
        <w:t>.</w:t>
      </w:r>
      <w:r>
        <w:t>91万吨，达标率100%，水质状况保持良好，与上年持平。见表2</w:t>
      </w:r>
      <w:r>
        <w:rPr>
          <w:rFonts w:hint="eastAsia"/>
          <w:lang w:val="en-US" w:eastAsia="zh-CN"/>
        </w:rPr>
        <w:t>-</w:t>
      </w:r>
      <w:r>
        <w:t>B：2012年至2013年南雄市饮用水水源地水质年度</w:t>
      </w:r>
      <w:r>
        <w:rPr>
          <w:rFonts w:hint="eastAsia"/>
        </w:rPr>
        <w:t>比较情况。</w:t>
      </w:r>
    </w:p>
    <w:p w14:paraId="3A1A70FC">
      <w:r>
        <w:t>2、河流地表水质情况2013年对市区浈江河段4个断面（河坪、判官塘、河南桥、古市）和凌江</w:t>
      </w:r>
      <w:r>
        <w:rPr>
          <w:rFonts w:hint="eastAsia"/>
        </w:rPr>
        <w:t>河凌江口断面水质进行监测，河坪、判官塘断面的监测数据见表</w:t>
      </w:r>
      <w:r>
        <w:t>3-A，各监测数据年均值符合</w:t>
      </w:r>
      <w:r>
        <w:rPr>
          <w:rFonts w:hint="eastAsia" w:ascii="宋体" w:hAnsi="宋体" w:eastAsia="宋体" w:cs="宋体"/>
        </w:rPr>
        <w:t>Ⅱ</w:t>
      </w:r>
      <w:r>
        <w:t>类</w:t>
      </w:r>
      <w:r>
        <w:rPr>
          <w:rFonts w:hint="eastAsia"/>
        </w:rPr>
        <w:t>水质标准，水质类别属Ⅱ类；河南桥和凌江口断面的监测数据见表</w:t>
      </w:r>
      <w:r>
        <w:t>3-B，年均值符合</w:t>
      </w:r>
      <w:r>
        <w:rPr>
          <w:rFonts w:hint="eastAsia"/>
        </w:rPr>
        <w:t>Ⅲ</w:t>
      </w:r>
      <w:r>
        <w:t>类水质标准，</w:t>
      </w:r>
      <w:r>
        <w:rPr>
          <w:rFonts w:hint="eastAsia"/>
        </w:rPr>
        <w:t>水质类别属Ⅲ类；古市断面的监测数据见表</w:t>
      </w:r>
      <w:r>
        <w:t>3-C，</w:t>
      </w:r>
      <w:r>
        <w:rPr>
          <w:rFonts w:hint="eastAsia"/>
        </w:rPr>
        <w:t>年均值符合Ⅳ类水质标准，水质类别属Ⅳ类。全河段Ⅰ</w:t>
      </w:r>
      <w:r>
        <w:t>~</w:t>
      </w:r>
      <w:r>
        <w:rPr>
          <w:rFonts w:hint="eastAsia"/>
        </w:rPr>
        <w:t>Ⅲ</w:t>
      </w:r>
      <w:r>
        <w:t>类水质类别断面占全河段比例为80%，符</w:t>
      </w:r>
      <w:r>
        <w:rPr>
          <w:rFonts w:hint="eastAsia"/>
        </w:rPr>
        <w:t>合：①河流水质评价中“</w:t>
      </w:r>
      <w:r>
        <w:t>75%≤</w:t>
      </w:r>
      <w:r>
        <w:rPr>
          <w:rFonts w:hint="eastAsia"/>
        </w:rPr>
        <w:t>Ⅰ</w:t>
      </w:r>
      <w:r>
        <w:t>~</w:t>
      </w:r>
      <w:r>
        <w:rPr>
          <w:rFonts w:hint="eastAsia"/>
        </w:rPr>
        <w:t>Ⅲ</w:t>
      </w:r>
      <w:r>
        <w:t>类水质比例&lt;90%</w:t>
      </w:r>
      <w:r>
        <w:rPr>
          <w:rFonts w:hint="eastAsia" w:ascii="宋体" w:hAnsi="宋体" w:cs="宋体"/>
        </w:rPr>
        <w:t>”</w:t>
      </w:r>
      <w:r>
        <w:t>的要求；②河流主要水质类别判定中</w:t>
      </w:r>
      <w:r>
        <w:rPr>
          <w:rFonts w:hint="eastAsia" w:ascii="宋体" w:hAnsi="宋体" w:cs="宋体"/>
        </w:rPr>
        <w:t>“</w:t>
      </w:r>
      <w:r>
        <w:rPr>
          <w:rFonts w:hint="eastAsia"/>
        </w:rPr>
        <w:t>Ⅰ</w:t>
      </w:r>
      <w:r>
        <w:rPr>
          <w:rFonts w:hint="eastAsia"/>
          <w:lang w:val="en-US" w:eastAsia="zh-CN"/>
        </w:rPr>
        <w:t>~</w:t>
      </w:r>
      <w:r>
        <w:rPr>
          <w:rFonts w:hint="eastAsia"/>
        </w:rPr>
        <w:t>Ⅲ类水质断面比例大于或等于</w:t>
      </w:r>
      <w:r>
        <w:t>70%”。整体水质</w:t>
      </w:r>
      <w:r>
        <w:rPr>
          <w:rFonts w:hint="eastAsia"/>
        </w:rPr>
        <w:t>状况良好，见表</w:t>
      </w:r>
      <w:r>
        <w:t>3</w:t>
      </w:r>
      <w:r>
        <w:rPr>
          <w:rFonts w:hint="eastAsia"/>
          <w:lang w:eastAsia="zh-CN"/>
        </w:rPr>
        <w:t>—</w:t>
      </w:r>
      <w:r>
        <w:t>A、B、C。具体水质类别评价</w:t>
      </w:r>
      <w:r>
        <w:rPr>
          <w:rFonts w:hint="eastAsia"/>
        </w:rPr>
        <w:t>方法见表</w:t>
      </w:r>
      <w:r>
        <w:t>3-D、E、F。</w:t>
      </w:r>
    </w:p>
    <w:p w14:paraId="65E3CFBD">
      <w:pPr>
        <w:pStyle w:val="4"/>
        <w:bidi w:val="0"/>
        <w:rPr>
          <w:rFonts w:hint="eastAsia"/>
        </w:rPr>
      </w:pPr>
      <w:r>
        <w:rPr>
          <w:rFonts w:hint="eastAsia"/>
        </w:rPr>
        <w:t>【大气环境质量】</w:t>
      </w:r>
    </w:p>
    <w:p w14:paraId="735E7D99">
      <w:pPr>
        <w:rPr>
          <w:rFonts w:hint="eastAsia"/>
          <w:lang w:eastAsia="zh-CN"/>
        </w:rPr>
      </w:pPr>
      <w:r>
        <w:t>1、空气质量状况2013年南雄</w:t>
      </w:r>
      <w:r>
        <w:rPr>
          <w:rFonts w:hint="eastAsia"/>
        </w:rPr>
        <w:t>市区环境空气质量继续保持良好，全市二氧化硫年均值</w:t>
      </w:r>
      <w:r>
        <w:t>0.032mg/m</w:t>
      </w:r>
      <w:r>
        <w:rPr>
          <w:vertAlign w:val="superscript"/>
        </w:rPr>
        <w:t>3</w:t>
      </w:r>
      <w:r>
        <w:t>，二氧化氮年均值0.022mg</w:t>
      </w:r>
      <w:r>
        <w:rPr>
          <w:rFonts w:hint="eastAsia"/>
          <w:lang w:val="en-US" w:eastAsia="zh-CN"/>
        </w:rPr>
        <w:t>/</w:t>
      </w:r>
      <w:r>
        <w:t>m</w:t>
      </w:r>
      <w:r>
        <w:rPr>
          <w:vertAlign w:val="superscript"/>
        </w:rPr>
        <w:t>3</w:t>
      </w:r>
      <w:r>
        <w:rPr>
          <w:rFonts w:hint="eastAsia"/>
          <w:vertAlign w:val="baseline"/>
          <w:lang w:eastAsia="zh-CN"/>
        </w:rPr>
        <w:t>，</w:t>
      </w:r>
      <w:r>
        <w:rPr>
          <w:rFonts w:hint="eastAsia"/>
        </w:rPr>
        <w:t>可吸入颗粒物年均值</w:t>
      </w:r>
      <w:r>
        <w:t>0.052mg/m</w:t>
      </w:r>
      <w:r>
        <w:rPr>
          <w:vertAlign w:val="superscript"/>
        </w:rPr>
        <w:t>3</w:t>
      </w:r>
      <w:r>
        <w:t>，满足国家环境</w:t>
      </w:r>
      <w:r>
        <w:rPr>
          <w:rFonts w:hint="eastAsia"/>
        </w:rPr>
        <w:t>空气质量规定标准，优于国家环境空气质量二级标准，</w:t>
      </w:r>
      <w:r>
        <w:t>3个受检指标未出现超标情况。见表4—AB</w:t>
      </w:r>
      <w:r>
        <w:rPr>
          <w:rFonts w:hint="eastAsia"/>
          <w:lang w:eastAsia="zh-CN"/>
        </w:rPr>
        <w:t>、</w:t>
      </w:r>
      <w:r>
        <w:t>C</w:t>
      </w:r>
      <w:r>
        <w:rPr>
          <w:rFonts w:hint="eastAsia"/>
          <w:lang w:eastAsia="zh-CN"/>
        </w:rPr>
        <w:t>。</w:t>
      </w:r>
    </w:p>
    <w:p w14:paraId="1A25B149">
      <w:r>
        <w:t>2、市区降水质量环保局监测站做到逢雨必测，</w:t>
      </w:r>
      <w:r>
        <w:rPr>
          <w:rFonts w:hint="eastAsia"/>
        </w:rPr>
        <w:t>从</w:t>
      </w:r>
      <w:r>
        <w:t>2013年1-12月降雨情况看，降雨pH值范围在4.34~6.21之间，pH值平均值为5.05，全年降水</w:t>
      </w:r>
      <w:r>
        <w:rPr>
          <w:rFonts w:hint="eastAsia"/>
        </w:rPr>
        <w:t>显酸性。详见表</w:t>
      </w:r>
      <w:r>
        <w:t>5及其续表。</w:t>
      </w:r>
    </w:p>
    <w:p w14:paraId="71B26596">
      <w:pPr>
        <w:pStyle w:val="4"/>
        <w:bidi w:val="0"/>
        <w:rPr>
          <w:rFonts w:hint="eastAsia"/>
        </w:rPr>
      </w:pPr>
      <w:r>
        <w:rPr>
          <w:rFonts w:hint="eastAsia"/>
        </w:rPr>
        <w:t>【辐射环境质量】</w:t>
      </w:r>
    </w:p>
    <w:p w14:paraId="1001487F">
      <w:pPr>
        <w:rPr>
          <w:rFonts w:hint="eastAsia"/>
        </w:rPr>
      </w:pPr>
      <w:r>
        <w:t>2013年全市辐射环境状况正</w:t>
      </w:r>
      <w:r>
        <w:rPr>
          <w:rFonts w:hint="eastAsia"/>
        </w:rPr>
        <w:t>常，没有发生涉核放射性环境污染事故。</w:t>
      </w:r>
    </w:p>
    <w:p w14:paraId="0A6836A4">
      <w:pPr>
        <w:jc w:val="right"/>
        <w:rPr>
          <w:rFonts w:hint="eastAsia"/>
          <w:lang w:eastAsia="zh-CN"/>
        </w:rPr>
      </w:pPr>
      <w:r>
        <w:rPr>
          <w:rFonts w:hint="eastAsia"/>
          <w:lang w:eastAsia="zh-CN"/>
        </w:rPr>
        <w:t>（</w:t>
      </w:r>
      <w:r>
        <w:rPr>
          <w:rFonts w:hint="eastAsia"/>
          <w:b/>
          <w:bCs/>
        </w:rPr>
        <w:t>丘文球</w:t>
      </w:r>
      <w:r>
        <w:rPr>
          <w:rFonts w:hint="eastAsia"/>
          <w:b/>
          <w:bCs/>
          <w:lang w:val="en-US" w:eastAsia="zh-CN"/>
        </w:rPr>
        <w:t xml:space="preserve">   </w:t>
      </w:r>
      <w:r>
        <w:rPr>
          <w:rFonts w:hint="eastAsia"/>
          <w:b/>
          <w:bCs/>
        </w:rPr>
        <w:t>叶惠芬</w:t>
      </w:r>
      <w:r>
        <w:rPr>
          <w:rFonts w:hint="eastAsia"/>
          <w:b/>
          <w:bCs/>
          <w:lang w:eastAsia="zh-CN"/>
        </w:rPr>
        <w:t>）</w:t>
      </w:r>
    </w:p>
    <w:p w14:paraId="56D5AEB2">
      <w:pPr>
        <w:pStyle w:val="10"/>
        <w:bidi w:val="0"/>
        <w:rPr>
          <w:b/>
          <w:bCs/>
        </w:rPr>
      </w:pPr>
      <w:r>
        <w:rPr>
          <w:rFonts w:hint="eastAsia"/>
          <w:b/>
          <w:bCs/>
        </w:rPr>
        <w:t>附：</w:t>
      </w:r>
      <w:r>
        <w:rPr>
          <w:b/>
          <w:bCs/>
        </w:rPr>
        <w:t>2013年市环保局领导班子成员名单</w:t>
      </w:r>
    </w:p>
    <w:p w14:paraId="0B38E1BC">
      <w:pPr>
        <w:pStyle w:val="10"/>
        <w:bidi w:val="0"/>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沈步亮</w:t>
      </w:r>
    </w:p>
    <w:p w14:paraId="33A7A3A0">
      <w:pPr>
        <w:pStyle w:val="10"/>
        <w:bidi w:val="0"/>
        <w:rPr>
          <w:rFonts w:hint="eastAsia"/>
        </w:rPr>
      </w:pPr>
      <w:r>
        <w:rPr>
          <w:rFonts w:hint="eastAsia"/>
          <w:b/>
          <w:bCs/>
        </w:rPr>
        <w:t>副</w:t>
      </w:r>
      <w:r>
        <w:rPr>
          <w:rFonts w:hint="eastAsia"/>
          <w:b/>
          <w:bCs/>
          <w:lang w:val="en-US" w:eastAsia="zh-CN"/>
        </w:rPr>
        <w:t xml:space="preserve"> </w:t>
      </w:r>
      <w:r>
        <w:rPr>
          <w:rFonts w:hint="eastAsia"/>
          <w:b/>
          <w:bCs/>
        </w:rPr>
        <w:t>局</w:t>
      </w:r>
      <w:r>
        <w:rPr>
          <w:rFonts w:hint="eastAsia"/>
          <w:b/>
          <w:bCs/>
          <w:lang w:val="en-US" w:eastAsia="zh-CN"/>
        </w:rPr>
        <w:t xml:space="preserve"> </w:t>
      </w:r>
      <w:r>
        <w:rPr>
          <w:rFonts w:hint="eastAsia"/>
          <w:b/>
          <w:bCs/>
        </w:rPr>
        <w:t>长：</w:t>
      </w:r>
      <w:r>
        <w:rPr>
          <w:rFonts w:hint="eastAsia"/>
        </w:rPr>
        <w:t>叶贤银</w:t>
      </w:r>
      <w:r>
        <w:rPr>
          <w:rFonts w:hint="eastAsia"/>
          <w:lang w:val="en-US" w:eastAsia="zh-CN"/>
        </w:rPr>
        <w:t xml:space="preserve">   </w:t>
      </w:r>
      <w:r>
        <w:rPr>
          <w:rFonts w:hint="eastAsia"/>
        </w:rPr>
        <w:t>王槐兰</w:t>
      </w:r>
      <w:r>
        <w:rPr>
          <w:rFonts w:hint="eastAsia"/>
          <w:lang w:val="en-US" w:eastAsia="zh-CN"/>
        </w:rPr>
        <w:t xml:space="preserve">   </w:t>
      </w:r>
      <w:r>
        <w:rPr>
          <w:rFonts w:hint="eastAsia"/>
        </w:rPr>
        <w:t>王全生</w:t>
      </w:r>
    </w:p>
    <w:p w14:paraId="2D06F29C">
      <w:pPr>
        <w:pStyle w:val="10"/>
        <w:bidi w:val="0"/>
        <w:rPr>
          <w:rFonts w:hint="eastAsia"/>
        </w:rPr>
      </w:pPr>
      <w:r>
        <w:rPr>
          <w:rFonts w:hint="eastAsia"/>
          <w:b/>
          <w:bCs/>
        </w:rPr>
        <w:t>纪检组长：</w:t>
      </w:r>
      <w:r>
        <w:rPr>
          <w:rFonts w:hint="eastAsia"/>
        </w:rPr>
        <w:t>张宗正</w:t>
      </w:r>
    </w:p>
    <w:p w14:paraId="5126AE44">
      <w:pPr>
        <w:pStyle w:val="10"/>
        <w:bidi w:val="0"/>
        <w:rPr>
          <w:rFonts w:hint="eastAsia"/>
        </w:rPr>
      </w:pPr>
      <w:r>
        <w:rPr>
          <w:rFonts w:hint="eastAsia"/>
          <w:b/>
          <w:bCs/>
        </w:rPr>
        <w:t>工会主席：</w:t>
      </w:r>
      <w:r>
        <w:rPr>
          <w:rFonts w:hint="eastAsia"/>
        </w:rPr>
        <w:t>刘剑锐</w:t>
      </w:r>
    </w:p>
    <w:p w14:paraId="79C7F54F">
      <w:pPr>
        <w:pStyle w:val="10"/>
        <w:bidi w:val="0"/>
        <w:rPr>
          <w:rFonts w:hint="eastAsia"/>
        </w:rPr>
      </w:pPr>
      <w:r>
        <w:rPr>
          <w:rFonts w:hint="eastAsia"/>
          <w:b/>
          <w:bCs/>
        </w:rPr>
        <w:t>监察分局局长：</w:t>
      </w:r>
      <w:r>
        <w:rPr>
          <w:rFonts w:hint="eastAsia"/>
        </w:rPr>
        <w:t>黄海辉</w:t>
      </w:r>
    </w:p>
    <w:p w14:paraId="7B957444">
      <w:pPr>
        <w:pStyle w:val="10"/>
        <w:bidi w:val="0"/>
        <w:jc w:val="center"/>
        <w:rPr>
          <w:rFonts w:hint="eastAsia"/>
          <w:b/>
          <w:bCs/>
        </w:rPr>
      </w:pPr>
      <w:r>
        <w:rPr>
          <w:rFonts w:hint="eastAsia"/>
          <w:b/>
          <w:bCs/>
        </w:rPr>
        <w:t>2013年南雄市城区道路交通噪声（昼间）监测结果统计表</w:t>
      </w:r>
    </w:p>
    <w:p w14:paraId="67B02C55">
      <w:pPr>
        <w:bidi w:val="0"/>
        <w:rPr>
          <w:rFonts w:hint="eastAsia"/>
        </w:rPr>
      </w:pPr>
      <w:r>
        <w:rPr>
          <w:rFonts w:hint="eastAsia"/>
        </w:rPr>
        <w:t>表15</w:t>
      </w:r>
    </w:p>
    <w:tbl>
      <w:tblPr>
        <w:tblStyle w:val="7"/>
        <w:tblW w:w="4997" w:type="pct"/>
        <w:jc w:val="center"/>
        <w:tblLayout w:type="autofit"/>
        <w:tblCellMar>
          <w:top w:w="0" w:type="dxa"/>
          <w:left w:w="108" w:type="dxa"/>
          <w:bottom w:w="0" w:type="dxa"/>
          <w:right w:w="108" w:type="dxa"/>
        </w:tblCellMar>
      </w:tblPr>
      <w:tblGrid>
        <w:gridCol w:w="893"/>
        <w:gridCol w:w="2285"/>
        <w:gridCol w:w="1592"/>
        <w:gridCol w:w="1592"/>
        <w:gridCol w:w="2002"/>
        <w:gridCol w:w="1592"/>
      </w:tblGrid>
      <w:tr w14:paraId="65C0C928">
        <w:tblPrEx>
          <w:tblCellMar>
            <w:top w:w="0" w:type="dxa"/>
            <w:left w:w="108" w:type="dxa"/>
            <w:bottom w:w="0" w:type="dxa"/>
            <w:right w:w="108" w:type="dxa"/>
          </w:tblCellMar>
        </w:tblPrEx>
        <w:trPr>
          <w:trHeight w:val="919" w:hRule="atLeast"/>
          <w:jc w:val="center"/>
        </w:trPr>
        <w:tc>
          <w:tcPr>
            <w:tcW w:w="449" w:type="pct"/>
            <w:tcBorders>
              <w:top w:val="single" w:color="000000" w:sz="8" w:space="0"/>
              <w:left w:val="nil"/>
              <w:bottom w:val="single" w:color="000000" w:sz="8" w:space="0"/>
              <w:right w:val="single" w:color="000000" w:sz="8" w:space="0"/>
            </w:tcBorders>
            <w:shd w:val="clear" w:color="auto" w:fill="FFFFFF"/>
            <w:noWrap w:val="0"/>
            <w:vAlign w:val="center"/>
          </w:tcPr>
          <w:p w14:paraId="6D3FACFF">
            <w:pPr>
              <w:pStyle w:val="10"/>
              <w:bidi w:val="0"/>
              <w:jc w:val="center"/>
              <w:rPr>
                <w:b/>
                <w:bCs/>
                <w:color w:val="000000"/>
              </w:rPr>
            </w:pPr>
            <w:r>
              <w:rPr>
                <w:rFonts w:hint="eastAsia"/>
                <w:b/>
                <w:bCs/>
                <w:color w:val="000000"/>
              </w:rPr>
              <w:t>序号</w:t>
            </w:r>
          </w:p>
        </w:tc>
        <w:tc>
          <w:tcPr>
            <w:tcW w:w="114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D8A6746">
            <w:pPr>
              <w:pStyle w:val="10"/>
              <w:bidi w:val="0"/>
              <w:jc w:val="center"/>
              <w:rPr>
                <w:b/>
                <w:bCs/>
                <w:color w:val="000000"/>
              </w:rPr>
            </w:pPr>
            <w:r>
              <w:rPr>
                <w:rFonts w:hint="eastAsia"/>
                <w:b/>
                <w:bCs/>
                <w:color w:val="000000"/>
              </w:rPr>
              <w:t>路段名称</w:t>
            </w:r>
          </w:p>
        </w:tc>
        <w:tc>
          <w:tcPr>
            <w:tcW w:w="7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353E9D3">
            <w:pPr>
              <w:pStyle w:val="10"/>
              <w:bidi w:val="0"/>
              <w:jc w:val="center"/>
              <w:rPr>
                <w:b/>
                <w:bCs/>
                <w:color w:val="000000"/>
              </w:rPr>
            </w:pPr>
            <w:r>
              <w:rPr>
                <w:rFonts w:hint="eastAsia"/>
                <w:b/>
                <w:bCs/>
                <w:color w:val="000000"/>
              </w:rPr>
              <w:t>路段长度</w:t>
            </w:r>
            <w:r>
              <w:rPr>
                <w:b/>
                <w:bCs/>
                <w:color w:val="000000"/>
              </w:rPr>
              <w:t>(m)</w:t>
            </w:r>
          </w:p>
        </w:tc>
        <w:tc>
          <w:tcPr>
            <w:tcW w:w="7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7B1D368">
            <w:pPr>
              <w:pStyle w:val="10"/>
              <w:bidi w:val="0"/>
              <w:jc w:val="center"/>
              <w:rPr>
                <w:b/>
                <w:bCs/>
                <w:color w:val="000000"/>
              </w:rPr>
            </w:pPr>
            <w:r>
              <w:rPr>
                <w:rFonts w:hint="eastAsia"/>
                <w:b/>
                <w:bCs/>
                <w:color w:val="000000"/>
              </w:rPr>
              <w:t>路段宽度</w:t>
            </w:r>
          </w:p>
        </w:tc>
        <w:tc>
          <w:tcPr>
            <w:tcW w:w="100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A73D1CF">
            <w:pPr>
              <w:pStyle w:val="10"/>
              <w:bidi w:val="0"/>
              <w:jc w:val="center"/>
              <w:rPr>
                <w:rFonts w:hint="eastAsia"/>
                <w:b/>
                <w:bCs/>
                <w:color w:val="000000"/>
              </w:rPr>
            </w:pPr>
            <w:r>
              <w:rPr>
                <w:rFonts w:hint="eastAsia"/>
                <w:b/>
                <w:bCs/>
                <w:color w:val="000000"/>
              </w:rPr>
              <w:t>平均车流量</w:t>
            </w:r>
          </w:p>
          <w:p w14:paraId="5965C9DC">
            <w:pPr>
              <w:pStyle w:val="10"/>
              <w:bidi w:val="0"/>
              <w:jc w:val="center"/>
              <w:rPr>
                <w:b/>
                <w:bCs/>
                <w:color w:val="000000"/>
              </w:rPr>
            </w:pPr>
            <w:r>
              <w:rPr>
                <w:rFonts w:hint="eastAsia"/>
                <w:b/>
                <w:bCs/>
                <w:color w:val="000000"/>
              </w:rPr>
              <w:t>(辆/小时)</w:t>
            </w:r>
          </w:p>
        </w:tc>
        <w:tc>
          <w:tcPr>
            <w:tcW w:w="799" w:type="pct"/>
            <w:tcBorders>
              <w:top w:val="single" w:color="000000" w:sz="8" w:space="0"/>
              <w:left w:val="single" w:color="000000" w:sz="8" w:space="0"/>
              <w:bottom w:val="single" w:color="000000" w:sz="8" w:space="0"/>
              <w:right w:val="nil"/>
            </w:tcBorders>
            <w:shd w:val="clear" w:color="auto" w:fill="FFFFFF"/>
            <w:noWrap w:val="0"/>
            <w:vAlign w:val="center"/>
          </w:tcPr>
          <w:p w14:paraId="18E74153">
            <w:pPr>
              <w:pStyle w:val="10"/>
              <w:bidi w:val="0"/>
              <w:jc w:val="center"/>
              <w:rPr>
                <w:rFonts w:hint="eastAsia"/>
                <w:b/>
                <w:bCs/>
                <w:color w:val="000000"/>
              </w:rPr>
            </w:pPr>
            <w:r>
              <w:rPr>
                <w:rFonts w:hint="eastAsia"/>
                <w:b/>
                <w:bCs/>
                <w:color w:val="000000"/>
              </w:rPr>
              <w:t>等效声级</w:t>
            </w:r>
          </w:p>
          <w:p w14:paraId="6A9BD373">
            <w:pPr>
              <w:pStyle w:val="10"/>
              <w:bidi w:val="0"/>
              <w:jc w:val="center"/>
              <w:rPr>
                <w:b/>
                <w:bCs/>
                <w:color w:val="000000"/>
              </w:rPr>
            </w:pPr>
            <w:r>
              <w:rPr>
                <w:b/>
                <w:bCs/>
                <w:color w:val="000000"/>
              </w:rPr>
              <w:t>[dB(A)]</w:t>
            </w:r>
          </w:p>
        </w:tc>
      </w:tr>
      <w:tr w14:paraId="49B9EBE6">
        <w:tblPrEx>
          <w:tblCellMar>
            <w:top w:w="0" w:type="dxa"/>
            <w:left w:w="108" w:type="dxa"/>
            <w:bottom w:w="0" w:type="dxa"/>
            <w:right w:w="108" w:type="dxa"/>
          </w:tblCellMar>
        </w:tblPrEx>
        <w:trPr>
          <w:trHeight w:val="327" w:hRule="atLeast"/>
          <w:jc w:val="center"/>
        </w:trPr>
        <w:tc>
          <w:tcPr>
            <w:tcW w:w="449" w:type="pct"/>
            <w:tcBorders>
              <w:top w:val="single" w:color="000000" w:sz="8" w:space="0"/>
              <w:left w:val="nil"/>
              <w:bottom w:val="single" w:color="000000" w:sz="8" w:space="0"/>
              <w:right w:val="single" w:color="000000" w:sz="8" w:space="0"/>
            </w:tcBorders>
            <w:shd w:val="clear" w:color="auto" w:fill="FFFFFF"/>
            <w:noWrap w:val="0"/>
            <w:vAlign w:val="center"/>
          </w:tcPr>
          <w:p w14:paraId="1AAF344A">
            <w:pPr>
              <w:pStyle w:val="10"/>
              <w:bidi w:val="0"/>
              <w:jc w:val="center"/>
              <w:rPr>
                <w:color w:val="000000"/>
              </w:rPr>
            </w:pPr>
            <w:r>
              <w:rPr>
                <w:rFonts w:hint="eastAsia"/>
                <w:color w:val="000000"/>
              </w:rPr>
              <w:t>1</w:t>
            </w:r>
          </w:p>
        </w:tc>
        <w:tc>
          <w:tcPr>
            <w:tcW w:w="114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A026800">
            <w:pPr>
              <w:pStyle w:val="10"/>
              <w:bidi w:val="0"/>
              <w:jc w:val="center"/>
              <w:rPr>
                <w:color w:val="000000"/>
              </w:rPr>
            </w:pPr>
            <w:r>
              <w:rPr>
                <w:rFonts w:hint="eastAsia"/>
                <w:color w:val="000000"/>
              </w:rPr>
              <w:t>雄东路</w:t>
            </w:r>
            <w:r>
              <w:rPr>
                <w:color w:val="000000"/>
              </w:rPr>
              <w:t>(</w:t>
            </w:r>
            <w:r>
              <w:rPr>
                <w:rFonts w:hint="eastAsia"/>
                <w:color w:val="000000"/>
              </w:rPr>
              <w:t>主</w:t>
            </w:r>
            <w:r>
              <w:rPr>
                <w:color w:val="000000"/>
              </w:rPr>
              <w:t>)</w:t>
            </w:r>
          </w:p>
        </w:tc>
        <w:tc>
          <w:tcPr>
            <w:tcW w:w="7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BAB4014">
            <w:pPr>
              <w:pStyle w:val="10"/>
              <w:bidi w:val="0"/>
              <w:jc w:val="center"/>
              <w:rPr>
                <w:color w:val="000000"/>
              </w:rPr>
            </w:pPr>
            <w:r>
              <w:rPr>
                <w:color w:val="000000"/>
              </w:rPr>
              <w:t>2300</w:t>
            </w:r>
          </w:p>
        </w:tc>
        <w:tc>
          <w:tcPr>
            <w:tcW w:w="7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2C030CB">
            <w:pPr>
              <w:pStyle w:val="10"/>
              <w:bidi w:val="0"/>
              <w:jc w:val="center"/>
              <w:rPr>
                <w:color w:val="000000"/>
              </w:rPr>
            </w:pPr>
            <w:r>
              <w:rPr>
                <w:color w:val="000000"/>
              </w:rPr>
              <w:t>25</w:t>
            </w:r>
          </w:p>
        </w:tc>
        <w:tc>
          <w:tcPr>
            <w:tcW w:w="100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C2EDA5B">
            <w:pPr>
              <w:pStyle w:val="10"/>
              <w:bidi w:val="0"/>
              <w:jc w:val="center"/>
              <w:rPr>
                <w:rFonts w:hint="eastAsia"/>
                <w:color w:val="000000"/>
              </w:rPr>
            </w:pPr>
            <w:r>
              <w:rPr>
                <w:rFonts w:hint="eastAsia"/>
                <w:color w:val="000000"/>
              </w:rPr>
              <w:t>1140</w:t>
            </w:r>
          </w:p>
        </w:tc>
        <w:tc>
          <w:tcPr>
            <w:tcW w:w="799" w:type="pct"/>
            <w:tcBorders>
              <w:top w:val="single" w:color="000000" w:sz="8" w:space="0"/>
              <w:left w:val="single" w:color="000000" w:sz="8" w:space="0"/>
              <w:bottom w:val="single" w:color="000000" w:sz="8" w:space="0"/>
              <w:right w:val="nil"/>
            </w:tcBorders>
            <w:shd w:val="clear" w:color="auto" w:fill="FFFFFF"/>
            <w:noWrap w:val="0"/>
            <w:vAlign w:val="center"/>
          </w:tcPr>
          <w:p w14:paraId="0E57F012">
            <w:pPr>
              <w:pStyle w:val="10"/>
              <w:bidi w:val="0"/>
              <w:jc w:val="center"/>
              <w:rPr>
                <w:rFonts w:hint="eastAsia"/>
                <w:color w:val="000000"/>
              </w:rPr>
            </w:pPr>
            <w:r>
              <w:rPr>
                <w:rFonts w:hint="eastAsia"/>
                <w:color w:val="000000"/>
              </w:rPr>
              <w:t>69.9</w:t>
            </w:r>
          </w:p>
        </w:tc>
      </w:tr>
      <w:tr w14:paraId="5D207300">
        <w:tblPrEx>
          <w:tblCellMar>
            <w:top w:w="0" w:type="dxa"/>
            <w:left w:w="108" w:type="dxa"/>
            <w:bottom w:w="0" w:type="dxa"/>
            <w:right w:w="108" w:type="dxa"/>
          </w:tblCellMar>
        </w:tblPrEx>
        <w:trPr>
          <w:trHeight w:val="311" w:hRule="atLeast"/>
          <w:jc w:val="center"/>
        </w:trPr>
        <w:tc>
          <w:tcPr>
            <w:tcW w:w="449" w:type="pct"/>
            <w:tcBorders>
              <w:top w:val="single" w:color="000000" w:sz="8" w:space="0"/>
              <w:left w:val="nil"/>
              <w:bottom w:val="single" w:color="000000" w:sz="8" w:space="0"/>
              <w:right w:val="single" w:color="000000" w:sz="8" w:space="0"/>
            </w:tcBorders>
            <w:shd w:val="clear" w:color="auto" w:fill="FFFFFF"/>
            <w:noWrap w:val="0"/>
            <w:vAlign w:val="center"/>
          </w:tcPr>
          <w:p w14:paraId="26AAC6C2">
            <w:pPr>
              <w:pStyle w:val="10"/>
              <w:bidi w:val="0"/>
              <w:jc w:val="center"/>
              <w:rPr>
                <w:color w:val="000000"/>
              </w:rPr>
            </w:pPr>
            <w:r>
              <w:rPr>
                <w:rFonts w:hint="eastAsia"/>
                <w:color w:val="000000"/>
              </w:rPr>
              <w:t>2</w:t>
            </w:r>
          </w:p>
        </w:tc>
        <w:tc>
          <w:tcPr>
            <w:tcW w:w="114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1C4BE7B">
            <w:pPr>
              <w:pStyle w:val="10"/>
              <w:bidi w:val="0"/>
              <w:jc w:val="center"/>
              <w:rPr>
                <w:color w:val="000000"/>
              </w:rPr>
            </w:pPr>
            <w:r>
              <w:rPr>
                <w:rFonts w:hint="eastAsia"/>
                <w:color w:val="000000"/>
              </w:rPr>
              <w:t>雄中路东段</w:t>
            </w:r>
            <w:r>
              <w:rPr>
                <w:color w:val="000000"/>
              </w:rPr>
              <w:t>(</w:t>
            </w:r>
            <w:r>
              <w:rPr>
                <w:rFonts w:hint="eastAsia"/>
                <w:color w:val="000000"/>
              </w:rPr>
              <w:t>主</w:t>
            </w:r>
            <w:r>
              <w:rPr>
                <w:color w:val="000000"/>
              </w:rPr>
              <w:t>)</w:t>
            </w:r>
          </w:p>
        </w:tc>
        <w:tc>
          <w:tcPr>
            <w:tcW w:w="7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0FC9F7A">
            <w:pPr>
              <w:pStyle w:val="10"/>
              <w:bidi w:val="0"/>
              <w:jc w:val="center"/>
              <w:rPr>
                <w:color w:val="000000"/>
              </w:rPr>
            </w:pPr>
            <w:r>
              <w:rPr>
                <w:color w:val="000000"/>
              </w:rPr>
              <w:t>2000</w:t>
            </w:r>
          </w:p>
        </w:tc>
        <w:tc>
          <w:tcPr>
            <w:tcW w:w="7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A63261D">
            <w:pPr>
              <w:pStyle w:val="10"/>
              <w:bidi w:val="0"/>
              <w:jc w:val="center"/>
              <w:rPr>
                <w:color w:val="000000"/>
              </w:rPr>
            </w:pPr>
            <w:r>
              <w:rPr>
                <w:color w:val="000000"/>
              </w:rPr>
              <w:t>25</w:t>
            </w:r>
          </w:p>
        </w:tc>
        <w:tc>
          <w:tcPr>
            <w:tcW w:w="100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8F282A1">
            <w:pPr>
              <w:pStyle w:val="10"/>
              <w:bidi w:val="0"/>
              <w:jc w:val="center"/>
              <w:rPr>
                <w:rFonts w:hint="eastAsia"/>
                <w:color w:val="000000"/>
              </w:rPr>
            </w:pPr>
            <w:r>
              <w:rPr>
                <w:rFonts w:hint="eastAsia"/>
                <w:color w:val="000000"/>
              </w:rPr>
              <w:t>921</w:t>
            </w:r>
          </w:p>
        </w:tc>
        <w:tc>
          <w:tcPr>
            <w:tcW w:w="799" w:type="pct"/>
            <w:tcBorders>
              <w:top w:val="single" w:color="000000" w:sz="8" w:space="0"/>
              <w:left w:val="single" w:color="000000" w:sz="8" w:space="0"/>
              <w:bottom w:val="single" w:color="000000" w:sz="8" w:space="0"/>
              <w:right w:val="nil"/>
            </w:tcBorders>
            <w:shd w:val="clear" w:color="auto" w:fill="FFFFFF"/>
            <w:noWrap w:val="0"/>
            <w:vAlign w:val="center"/>
          </w:tcPr>
          <w:p w14:paraId="3C1DD488">
            <w:pPr>
              <w:pStyle w:val="10"/>
              <w:bidi w:val="0"/>
              <w:jc w:val="center"/>
              <w:rPr>
                <w:rFonts w:hint="eastAsia"/>
                <w:color w:val="000000"/>
              </w:rPr>
            </w:pPr>
            <w:r>
              <w:rPr>
                <w:rFonts w:hint="eastAsia"/>
                <w:color w:val="000000"/>
              </w:rPr>
              <w:t>69.5</w:t>
            </w:r>
          </w:p>
        </w:tc>
      </w:tr>
      <w:tr w14:paraId="0E26E089">
        <w:tblPrEx>
          <w:tblCellMar>
            <w:top w:w="0" w:type="dxa"/>
            <w:left w:w="108" w:type="dxa"/>
            <w:bottom w:w="0" w:type="dxa"/>
            <w:right w:w="108" w:type="dxa"/>
          </w:tblCellMar>
        </w:tblPrEx>
        <w:trPr>
          <w:trHeight w:val="344" w:hRule="atLeast"/>
          <w:jc w:val="center"/>
        </w:trPr>
        <w:tc>
          <w:tcPr>
            <w:tcW w:w="449" w:type="pct"/>
            <w:tcBorders>
              <w:top w:val="single" w:color="000000" w:sz="8" w:space="0"/>
              <w:left w:val="nil"/>
              <w:bottom w:val="single" w:color="000000" w:sz="8" w:space="0"/>
              <w:right w:val="single" w:color="000000" w:sz="8" w:space="0"/>
            </w:tcBorders>
            <w:shd w:val="clear" w:color="auto" w:fill="FFFFFF"/>
            <w:noWrap w:val="0"/>
            <w:vAlign w:val="center"/>
          </w:tcPr>
          <w:p w14:paraId="05131697">
            <w:pPr>
              <w:pStyle w:val="10"/>
              <w:bidi w:val="0"/>
              <w:jc w:val="center"/>
              <w:rPr>
                <w:color w:val="000000"/>
              </w:rPr>
            </w:pPr>
            <w:r>
              <w:rPr>
                <w:rFonts w:hint="eastAsia"/>
                <w:color w:val="000000"/>
              </w:rPr>
              <w:t>3</w:t>
            </w:r>
          </w:p>
        </w:tc>
        <w:tc>
          <w:tcPr>
            <w:tcW w:w="114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72C2137">
            <w:pPr>
              <w:pStyle w:val="10"/>
              <w:bidi w:val="0"/>
              <w:jc w:val="center"/>
              <w:rPr>
                <w:color w:val="000000"/>
              </w:rPr>
            </w:pPr>
            <w:r>
              <w:rPr>
                <w:rFonts w:hint="eastAsia"/>
                <w:color w:val="000000"/>
              </w:rPr>
              <w:t>雄中路西段</w:t>
            </w:r>
            <w:r>
              <w:rPr>
                <w:color w:val="000000"/>
              </w:rPr>
              <w:t>(</w:t>
            </w:r>
            <w:r>
              <w:rPr>
                <w:rFonts w:hint="eastAsia"/>
                <w:color w:val="000000"/>
              </w:rPr>
              <w:t>主</w:t>
            </w:r>
            <w:r>
              <w:rPr>
                <w:color w:val="000000"/>
              </w:rPr>
              <w:t>)</w:t>
            </w:r>
          </w:p>
        </w:tc>
        <w:tc>
          <w:tcPr>
            <w:tcW w:w="7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0837456">
            <w:pPr>
              <w:pStyle w:val="10"/>
              <w:bidi w:val="0"/>
              <w:jc w:val="center"/>
              <w:rPr>
                <w:color w:val="000000"/>
              </w:rPr>
            </w:pPr>
            <w:r>
              <w:rPr>
                <w:color w:val="000000"/>
              </w:rPr>
              <w:t>1300</w:t>
            </w:r>
          </w:p>
        </w:tc>
        <w:tc>
          <w:tcPr>
            <w:tcW w:w="7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C00EA38">
            <w:pPr>
              <w:pStyle w:val="10"/>
              <w:bidi w:val="0"/>
              <w:jc w:val="center"/>
              <w:rPr>
                <w:color w:val="000000"/>
              </w:rPr>
            </w:pPr>
            <w:r>
              <w:rPr>
                <w:color w:val="000000"/>
              </w:rPr>
              <w:t>25</w:t>
            </w:r>
          </w:p>
        </w:tc>
        <w:tc>
          <w:tcPr>
            <w:tcW w:w="100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124D98A">
            <w:pPr>
              <w:pStyle w:val="10"/>
              <w:bidi w:val="0"/>
              <w:jc w:val="center"/>
              <w:rPr>
                <w:rFonts w:hint="eastAsia"/>
                <w:color w:val="000000"/>
              </w:rPr>
            </w:pPr>
            <w:r>
              <w:rPr>
                <w:rFonts w:hint="eastAsia"/>
                <w:color w:val="000000"/>
              </w:rPr>
              <w:t>663</w:t>
            </w:r>
          </w:p>
        </w:tc>
        <w:tc>
          <w:tcPr>
            <w:tcW w:w="799" w:type="pct"/>
            <w:tcBorders>
              <w:top w:val="single" w:color="000000" w:sz="8" w:space="0"/>
              <w:left w:val="single" w:color="000000" w:sz="8" w:space="0"/>
              <w:bottom w:val="single" w:color="000000" w:sz="8" w:space="0"/>
              <w:right w:val="nil"/>
            </w:tcBorders>
            <w:shd w:val="clear" w:color="auto" w:fill="FFFFFF"/>
            <w:noWrap w:val="0"/>
            <w:vAlign w:val="center"/>
          </w:tcPr>
          <w:p w14:paraId="765B7C1D">
            <w:pPr>
              <w:pStyle w:val="10"/>
              <w:bidi w:val="0"/>
              <w:jc w:val="center"/>
              <w:rPr>
                <w:rFonts w:hint="eastAsia"/>
                <w:color w:val="000000"/>
              </w:rPr>
            </w:pPr>
            <w:r>
              <w:rPr>
                <w:rFonts w:hint="eastAsia"/>
                <w:color w:val="000000"/>
              </w:rPr>
              <w:t>65.4</w:t>
            </w:r>
          </w:p>
        </w:tc>
      </w:tr>
      <w:tr w14:paraId="465308DB">
        <w:tblPrEx>
          <w:tblCellMar>
            <w:top w:w="0" w:type="dxa"/>
            <w:left w:w="108" w:type="dxa"/>
            <w:bottom w:w="0" w:type="dxa"/>
            <w:right w:w="108" w:type="dxa"/>
          </w:tblCellMar>
        </w:tblPrEx>
        <w:trPr>
          <w:trHeight w:val="311" w:hRule="atLeast"/>
          <w:jc w:val="center"/>
        </w:trPr>
        <w:tc>
          <w:tcPr>
            <w:tcW w:w="449" w:type="pct"/>
            <w:tcBorders>
              <w:top w:val="single" w:color="000000" w:sz="8" w:space="0"/>
              <w:left w:val="nil"/>
              <w:bottom w:val="single" w:color="000000" w:sz="8" w:space="0"/>
              <w:right w:val="single" w:color="000000" w:sz="8" w:space="0"/>
            </w:tcBorders>
            <w:shd w:val="clear" w:color="auto" w:fill="FFFFFF"/>
            <w:noWrap w:val="0"/>
            <w:vAlign w:val="center"/>
          </w:tcPr>
          <w:p w14:paraId="2700C1A2">
            <w:pPr>
              <w:pStyle w:val="10"/>
              <w:bidi w:val="0"/>
              <w:jc w:val="center"/>
              <w:rPr>
                <w:color w:val="000000"/>
              </w:rPr>
            </w:pPr>
            <w:r>
              <w:rPr>
                <w:rFonts w:hint="eastAsia"/>
                <w:color w:val="000000"/>
              </w:rPr>
              <w:t>4</w:t>
            </w:r>
          </w:p>
        </w:tc>
        <w:tc>
          <w:tcPr>
            <w:tcW w:w="114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B1ABA28">
            <w:pPr>
              <w:pStyle w:val="10"/>
              <w:bidi w:val="0"/>
              <w:jc w:val="center"/>
              <w:rPr>
                <w:color w:val="000000"/>
              </w:rPr>
            </w:pPr>
            <w:r>
              <w:rPr>
                <w:rFonts w:hint="eastAsia"/>
                <w:color w:val="000000"/>
              </w:rPr>
              <w:t>雄南路</w:t>
            </w:r>
            <w:r>
              <w:rPr>
                <w:color w:val="000000"/>
              </w:rPr>
              <w:t>(</w:t>
            </w:r>
            <w:r>
              <w:rPr>
                <w:rFonts w:hint="eastAsia"/>
                <w:color w:val="000000"/>
              </w:rPr>
              <w:t>主</w:t>
            </w:r>
            <w:r>
              <w:rPr>
                <w:color w:val="000000"/>
              </w:rPr>
              <w:t>)</w:t>
            </w:r>
          </w:p>
        </w:tc>
        <w:tc>
          <w:tcPr>
            <w:tcW w:w="7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A9DBDA9">
            <w:pPr>
              <w:pStyle w:val="10"/>
              <w:bidi w:val="0"/>
              <w:jc w:val="center"/>
              <w:rPr>
                <w:color w:val="000000"/>
              </w:rPr>
            </w:pPr>
            <w:r>
              <w:rPr>
                <w:color w:val="000000"/>
              </w:rPr>
              <w:t>3600</w:t>
            </w:r>
          </w:p>
        </w:tc>
        <w:tc>
          <w:tcPr>
            <w:tcW w:w="7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3AEEB34">
            <w:pPr>
              <w:pStyle w:val="10"/>
              <w:bidi w:val="0"/>
              <w:jc w:val="center"/>
              <w:rPr>
                <w:color w:val="000000"/>
              </w:rPr>
            </w:pPr>
            <w:r>
              <w:rPr>
                <w:color w:val="000000"/>
              </w:rPr>
              <w:t>25</w:t>
            </w:r>
          </w:p>
        </w:tc>
        <w:tc>
          <w:tcPr>
            <w:tcW w:w="100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D61CDE6">
            <w:pPr>
              <w:pStyle w:val="10"/>
              <w:bidi w:val="0"/>
              <w:jc w:val="center"/>
              <w:rPr>
                <w:rFonts w:hint="eastAsia"/>
                <w:color w:val="000000"/>
              </w:rPr>
            </w:pPr>
            <w:r>
              <w:rPr>
                <w:rFonts w:hint="eastAsia"/>
                <w:color w:val="000000"/>
              </w:rPr>
              <w:t>1020</w:t>
            </w:r>
          </w:p>
        </w:tc>
        <w:tc>
          <w:tcPr>
            <w:tcW w:w="799" w:type="pct"/>
            <w:tcBorders>
              <w:top w:val="single" w:color="000000" w:sz="8" w:space="0"/>
              <w:left w:val="single" w:color="000000" w:sz="8" w:space="0"/>
              <w:bottom w:val="single" w:color="000000" w:sz="8" w:space="0"/>
              <w:right w:val="nil"/>
            </w:tcBorders>
            <w:shd w:val="clear" w:color="auto" w:fill="FFFFFF"/>
            <w:noWrap w:val="0"/>
            <w:vAlign w:val="center"/>
          </w:tcPr>
          <w:p w14:paraId="7EC08AC9">
            <w:pPr>
              <w:pStyle w:val="10"/>
              <w:bidi w:val="0"/>
              <w:jc w:val="center"/>
              <w:rPr>
                <w:rFonts w:hint="eastAsia"/>
                <w:color w:val="000000"/>
              </w:rPr>
            </w:pPr>
            <w:r>
              <w:rPr>
                <w:rFonts w:hint="eastAsia"/>
                <w:color w:val="000000"/>
              </w:rPr>
              <w:t>72.1</w:t>
            </w:r>
          </w:p>
        </w:tc>
      </w:tr>
      <w:tr w14:paraId="6FF3E3EB">
        <w:tblPrEx>
          <w:tblCellMar>
            <w:top w:w="0" w:type="dxa"/>
            <w:left w:w="108" w:type="dxa"/>
            <w:bottom w:w="0" w:type="dxa"/>
            <w:right w:w="108" w:type="dxa"/>
          </w:tblCellMar>
        </w:tblPrEx>
        <w:trPr>
          <w:trHeight w:val="311" w:hRule="atLeast"/>
          <w:jc w:val="center"/>
        </w:trPr>
        <w:tc>
          <w:tcPr>
            <w:tcW w:w="449" w:type="pct"/>
            <w:tcBorders>
              <w:top w:val="single" w:color="000000" w:sz="8" w:space="0"/>
              <w:left w:val="nil"/>
              <w:bottom w:val="single" w:color="000000" w:sz="8" w:space="0"/>
              <w:right w:val="single" w:color="000000" w:sz="8" w:space="0"/>
            </w:tcBorders>
            <w:shd w:val="clear" w:color="auto" w:fill="FFFFFF"/>
            <w:noWrap w:val="0"/>
            <w:vAlign w:val="center"/>
          </w:tcPr>
          <w:p w14:paraId="513BD91E">
            <w:pPr>
              <w:pStyle w:val="10"/>
              <w:bidi w:val="0"/>
              <w:jc w:val="center"/>
              <w:rPr>
                <w:color w:val="000000"/>
              </w:rPr>
            </w:pPr>
            <w:r>
              <w:rPr>
                <w:rFonts w:hint="eastAsia"/>
                <w:color w:val="000000"/>
              </w:rPr>
              <w:t>5</w:t>
            </w:r>
          </w:p>
        </w:tc>
        <w:tc>
          <w:tcPr>
            <w:tcW w:w="114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F657A2F">
            <w:pPr>
              <w:pStyle w:val="10"/>
              <w:bidi w:val="0"/>
              <w:jc w:val="center"/>
              <w:rPr>
                <w:color w:val="000000"/>
              </w:rPr>
            </w:pPr>
            <w:r>
              <w:rPr>
                <w:rFonts w:hint="eastAsia"/>
                <w:color w:val="000000"/>
              </w:rPr>
              <w:t>光明路</w:t>
            </w:r>
            <w:r>
              <w:rPr>
                <w:color w:val="000000"/>
              </w:rPr>
              <w:t>(</w:t>
            </w:r>
            <w:r>
              <w:rPr>
                <w:rFonts w:hint="eastAsia"/>
                <w:color w:val="000000"/>
              </w:rPr>
              <w:t>次</w:t>
            </w:r>
            <w:r>
              <w:rPr>
                <w:color w:val="000000"/>
              </w:rPr>
              <w:t>)</w:t>
            </w:r>
          </w:p>
        </w:tc>
        <w:tc>
          <w:tcPr>
            <w:tcW w:w="7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E55871B">
            <w:pPr>
              <w:pStyle w:val="10"/>
              <w:bidi w:val="0"/>
              <w:jc w:val="center"/>
              <w:rPr>
                <w:color w:val="000000"/>
              </w:rPr>
            </w:pPr>
            <w:r>
              <w:rPr>
                <w:color w:val="000000"/>
              </w:rPr>
              <w:t>1430</w:t>
            </w:r>
          </w:p>
        </w:tc>
        <w:tc>
          <w:tcPr>
            <w:tcW w:w="7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D446096">
            <w:pPr>
              <w:pStyle w:val="10"/>
              <w:bidi w:val="0"/>
              <w:jc w:val="center"/>
              <w:rPr>
                <w:color w:val="000000"/>
              </w:rPr>
            </w:pPr>
            <w:r>
              <w:rPr>
                <w:color w:val="000000"/>
              </w:rPr>
              <w:t>19</w:t>
            </w:r>
          </w:p>
        </w:tc>
        <w:tc>
          <w:tcPr>
            <w:tcW w:w="100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FF5C828">
            <w:pPr>
              <w:pStyle w:val="10"/>
              <w:bidi w:val="0"/>
              <w:jc w:val="center"/>
              <w:rPr>
                <w:rFonts w:hint="eastAsia"/>
                <w:color w:val="000000"/>
              </w:rPr>
            </w:pPr>
            <w:r>
              <w:rPr>
                <w:rFonts w:hint="eastAsia"/>
                <w:color w:val="000000"/>
              </w:rPr>
              <w:t>1665</w:t>
            </w:r>
          </w:p>
        </w:tc>
        <w:tc>
          <w:tcPr>
            <w:tcW w:w="799" w:type="pct"/>
            <w:tcBorders>
              <w:top w:val="single" w:color="000000" w:sz="8" w:space="0"/>
              <w:left w:val="single" w:color="000000" w:sz="8" w:space="0"/>
              <w:bottom w:val="single" w:color="000000" w:sz="8" w:space="0"/>
              <w:right w:val="nil"/>
            </w:tcBorders>
            <w:shd w:val="clear" w:color="auto" w:fill="FFFFFF"/>
            <w:noWrap w:val="0"/>
            <w:vAlign w:val="center"/>
          </w:tcPr>
          <w:p w14:paraId="6614F82F">
            <w:pPr>
              <w:pStyle w:val="10"/>
              <w:bidi w:val="0"/>
              <w:jc w:val="center"/>
              <w:rPr>
                <w:rFonts w:hint="eastAsia"/>
                <w:color w:val="000000"/>
              </w:rPr>
            </w:pPr>
            <w:r>
              <w:rPr>
                <w:rFonts w:hint="eastAsia"/>
                <w:color w:val="000000"/>
              </w:rPr>
              <w:t>70.8</w:t>
            </w:r>
          </w:p>
        </w:tc>
      </w:tr>
      <w:tr w14:paraId="7B2913F5">
        <w:tblPrEx>
          <w:tblCellMar>
            <w:top w:w="0" w:type="dxa"/>
            <w:left w:w="108" w:type="dxa"/>
            <w:bottom w:w="0" w:type="dxa"/>
            <w:right w:w="108" w:type="dxa"/>
          </w:tblCellMar>
        </w:tblPrEx>
        <w:trPr>
          <w:trHeight w:val="311" w:hRule="atLeast"/>
          <w:jc w:val="center"/>
        </w:trPr>
        <w:tc>
          <w:tcPr>
            <w:tcW w:w="449" w:type="pct"/>
            <w:tcBorders>
              <w:top w:val="single" w:color="000000" w:sz="8" w:space="0"/>
              <w:left w:val="nil"/>
              <w:bottom w:val="single" w:color="000000" w:sz="8" w:space="0"/>
              <w:right w:val="single" w:color="000000" w:sz="8" w:space="0"/>
            </w:tcBorders>
            <w:shd w:val="clear" w:color="auto" w:fill="FFFFFF"/>
            <w:noWrap w:val="0"/>
            <w:vAlign w:val="center"/>
          </w:tcPr>
          <w:p w14:paraId="67D584A0">
            <w:pPr>
              <w:pStyle w:val="10"/>
              <w:bidi w:val="0"/>
              <w:jc w:val="center"/>
              <w:rPr>
                <w:color w:val="000000"/>
              </w:rPr>
            </w:pPr>
            <w:r>
              <w:rPr>
                <w:color w:val="000000"/>
              </w:rPr>
              <w:t>6</w:t>
            </w:r>
          </w:p>
        </w:tc>
        <w:tc>
          <w:tcPr>
            <w:tcW w:w="114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79C497F">
            <w:pPr>
              <w:pStyle w:val="10"/>
              <w:bidi w:val="0"/>
              <w:jc w:val="center"/>
              <w:rPr>
                <w:color w:val="000000"/>
              </w:rPr>
            </w:pPr>
            <w:r>
              <w:rPr>
                <w:rFonts w:hint="eastAsia"/>
                <w:color w:val="000000"/>
              </w:rPr>
              <w:t>环城路</w:t>
            </w:r>
            <w:r>
              <w:rPr>
                <w:color w:val="000000"/>
              </w:rPr>
              <w:t>(</w:t>
            </w:r>
            <w:r>
              <w:rPr>
                <w:rFonts w:hint="eastAsia"/>
                <w:color w:val="000000"/>
              </w:rPr>
              <w:t>次</w:t>
            </w:r>
            <w:r>
              <w:rPr>
                <w:color w:val="000000"/>
              </w:rPr>
              <w:t>)</w:t>
            </w:r>
          </w:p>
        </w:tc>
        <w:tc>
          <w:tcPr>
            <w:tcW w:w="7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4F01EFA">
            <w:pPr>
              <w:pStyle w:val="10"/>
              <w:bidi w:val="0"/>
              <w:jc w:val="center"/>
              <w:rPr>
                <w:color w:val="000000"/>
              </w:rPr>
            </w:pPr>
            <w:r>
              <w:rPr>
                <w:color w:val="000000"/>
              </w:rPr>
              <w:t>2500</w:t>
            </w:r>
          </w:p>
        </w:tc>
        <w:tc>
          <w:tcPr>
            <w:tcW w:w="7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092C27A">
            <w:pPr>
              <w:pStyle w:val="10"/>
              <w:bidi w:val="0"/>
              <w:jc w:val="center"/>
              <w:rPr>
                <w:color w:val="000000"/>
              </w:rPr>
            </w:pPr>
            <w:r>
              <w:rPr>
                <w:color w:val="000000"/>
              </w:rPr>
              <w:t>20</w:t>
            </w:r>
          </w:p>
        </w:tc>
        <w:tc>
          <w:tcPr>
            <w:tcW w:w="100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26C65C7">
            <w:pPr>
              <w:pStyle w:val="10"/>
              <w:bidi w:val="0"/>
              <w:jc w:val="center"/>
              <w:rPr>
                <w:rFonts w:hint="eastAsia"/>
                <w:color w:val="000000"/>
              </w:rPr>
            </w:pPr>
            <w:r>
              <w:rPr>
                <w:rFonts w:hint="eastAsia"/>
                <w:color w:val="000000"/>
              </w:rPr>
              <w:t>840</w:t>
            </w:r>
          </w:p>
        </w:tc>
        <w:tc>
          <w:tcPr>
            <w:tcW w:w="799" w:type="pct"/>
            <w:tcBorders>
              <w:top w:val="single" w:color="000000" w:sz="8" w:space="0"/>
              <w:left w:val="single" w:color="000000" w:sz="8" w:space="0"/>
              <w:bottom w:val="single" w:color="000000" w:sz="8" w:space="0"/>
              <w:right w:val="nil"/>
            </w:tcBorders>
            <w:shd w:val="clear" w:color="auto" w:fill="FFFFFF"/>
            <w:noWrap w:val="0"/>
            <w:vAlign w:val="center"/>
          </w:tcPr>
          <w:p w14:paraId="21A06047">
            <w:pPr>
              <w:pStyle w:val="10"/>
              <w:bidi w:val="0"/>
              <w:jc w:val="center"/>
              <w:rPr>
                <w:rFonts w:hint="eastAsia"/>
                <w:color w:val="000000"/>
              </w:rPr>
            </w:pPr>
            <w:r>
              <w:rPr>
                <w:rFonts w:hint="eastAsia"/>
                <w:color w:val="000000"/>
              </w:rPr>
              <w:t>67.8</w:t>
            </w:r>
          </w:p>
        </w:tc>
      </w:tr>
      <w:tr w14:paraId="0E6A2C8D">
        <w:tblPrEx>
          <w:tblCellMar>
            <w:top w:w="0" w:type="dxa"/>
            <w:left w:w="108" w:type="dxa"/>
            <w:bottom w:w="0" w:type="dxa"/>
            <w:right w:w="108" w:type="dxa"/>
          </w:tblCellMar>
        </w:tblPrEx>
        <w:trPr>
          <w:trHeight w:val="395" w:hRule="atLeast"/>
          <w:jc w:val="center"/>
        </w:trPr>
        <w:tc>
          <w:tcPr>
            <w:tcW w:w="449" w:type="pct"/>
            <w:tcBorders>
              <w:top w:val="single" w:color="000000" w:sz="8" w:space="0"/>
              <w:left w:val="nil"/>
              <w:bottom w:val="single" w:color="000000" w:sz="8" w:space="0"/>
              <w:right w:val="single" w:color="000000" w:sz="8" w:space="0"/>
            </w:tcBorders>
            <w:shd w:val="clear" w:color="auto" w:fill="FFFFFF"/>
            <w:noWrap w:val="0"/>
            <w:vAlign w:val="center"/>
          </w:tcPr>
          <w:p w14:paraId="428D8C28">
            <w:pPr>
              <w:pStyle w:val="10"/>
              <w:bidi w:val="0"/>
              <w:jc w:val="center"/>
              <w:rPr>
                <w:color w:val="000000"/>
              </w:rPr>
            </w:pPr>
            <w:r>
              <w:rPr>
                <w:rFonts w:hint="eastAsia"/>
                <w:color w:val="000000"/>
              </w:rPr>
              <w:t>7</w:t>
            </w:r>
          </w:p>
        </w:tc>
        <w:tc>
          <w:tcPr>
            <w:tcW w:w="114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75088FB">
            <w:pPr>
              <w:pStyle w:val="10"/>
              <w:bidi w:val="0"/>
              <w:jc w:val="center"/>
              <w:rPr>
                <w:color w:val="000000"/>
              </w:rPr>
            </w:pPr>
            <w:r>
              <w:rPr>
                <w:rFonts w:hint="eastAsia"/>
                <w:color w:val="000000"/>
              </w:rPr>
              <w:t>繁荣路</w:t>
            </w:r>
            <w:r>
              <w:rPr>
                <w:color w:val="000000"/>
              </w:rPr>
              <w:t>(</w:t>
            </w:r>
            <w:r>
              <w:rPr>
                <w:rFonts w:hint="eastAsia"/>
                <w:color w:val="000000"/>
              </w:rPr>
              <w:t>次</w:t>
            </w:r>
            <w:r>
              <w:rPr>
                <w:color w:val="000000"/>
              </w:rPr>
              <w:t>)</w:t>
            </w:r>
          </w:p>
        </w:tc>
        <w:tc>
          <w:tcPr>
            <w:tcW w:w="7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3B66A67">
            <w:pPr>
              <w:pStyle w:val="10"/>
              <w:bidi w:val="0"/>
              <w:jc w:val="center"/>
              <w:rPr>
                <w:color w:val="000000"/>
              </w:rPr>
            </w:pPr>
            <w:r>
              <w:rPr>
                <w:color w:val="000000"/>
              </w:rPr>
              <w:t>950</w:t>
            </w:r>
          </w:p>
        </w:tc>
        <w:tc>
          <w:tcPr>
            <w:tcW w:w="7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27C96A8">
            <w:pPr>
              <w:pStyle w:val="10"/>
              <w:bidi w:val="0"/>
              <w:jc w:val="center"/>
              <w:rPr>
                <w:color w:val="000000"/>
              </w:rPr>
            </w:pPr>
            <w:r>
              <w:rPr>
                <w:color w:val="000000"/>
              </w:rPr>
              <w:t>19</w:t>
            </w:r>
          </w:p>
        </w:tc>
        <w:tc>
          <w:tcPr>
            <w:tcW w:w="100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CC14E28">
            <w:pPr>
              <w:pStyle w:val="10"/>
              <w:bidi w:val="0"/>
              <w:jc w:val="center"/>
              <w:rPr>
                <w:rFonts w:hint="eastAsia"/>
                <w:color w:val="000000"/>
              </w:rPr>
            </w:pPr>
            <w:r>
              <w:rPr>
                <w:rFonts w:hint="eastAsia"/>
                <w:color w:val="000000"/>
              </w:rPr>
              <w:t>780</w:t>
            </w:r>
          </w:p>
        </w:tc>
        <w:tc>
          <w:tcPr>
            <w:tcW w:w="799" w:type="pct"/>
            <w:tcBorders>
              <w:top w:val="single" w:color="000000" w:sz="8" w:space="0"/>
              <w:left w:val="single" w:color="000000" w:sz="8" w:space="0"/>
              <w:bottom w:val="single" w:color="000000" w:sz="8" w:space="0"/>
              <w:right w:val="nil"/>
            </w:tcBorders>
            <w:shd w:val="clear" w:color="auto" w:fill="FFFFFF"/>
            <w:noWrap w:val="0"/>
            <w:vAlign w:val="center"/>
          </w:tcPr>
          <w:p w14:paraId="049E739A">
            <w:pPr>
              <w:pStyle w:val="10"/>
              <w:bidi w:val="0"/>
              <w:jc w:val="center"/>
              <w:rPr>
                <w:rFonts w:hint="eastAsia"/>
                <w:color w:val="000000"/>
              </w:rPr>
            </w:pPr>
            <w:r>
              <w:rPr>
                <w:rFonts w:hint="eastAsia"/>
                <w:color w:val="000000"/>
              </w:rPr>
              <w:t>70.0</w:t>
            </w:r>
          </w:p>
        </w:tc>
      </w:tr>
      <w:tr w14:paraId="1EB45768">
        <w:tblPrEx>
          <w:tblCellMar>
            <w:top w:w="0" w:type="dxa"/>
            <w:left w:w="108" w:type="dxa"/>
            <w:bottom w:w="0" w:type="dxa"/>
            <w:right w:w="108" w:type="dxa"/>
          </w:tblCellMar>
        </w:tblPrEx>
        <w:trPr>
          <w:trHeight w:val="311" w:hRule="atLeast"/>
          <w:jc w:val="center"/>
        </w:trPr>
        <w:tc>
          <w:tcPr>
            <w:tcW w:w="449" w:type="pct"/>
            <w:tcBorders>
              <w:top w:val="single" w:color="000000" w:sz="8" w:space="0"/>
              <w:left w:val="nil"/>
              <w:bottom w:val="single" w:color="000000" w:sz="8" w:space="0"/>
              <w:right w:val="single" w:color="000000" w:sz="8" w:space="0"/>
            </w:tcBorders>
            <w:shd w:val="clear" w:color="auto" w:fill="FFFFFF"/>
            <w:noWrap w:val="0"/>
            <w:vAlign w:val="center"/>
          </w:tcPr>
          <w:p w14:paraId="4A6A913F">
            <w:pPr>
              <w:pStyle w:val="10"/>
              <w:bidi w:val="0"/>
              <w:jc w:val="center"/>
              <w:rPr>
                <w:color w:val="000000"/>
              </w:rPr>
            </w:pPr>
            <w:r>
              <w:rPr>
                <w:rFonts w:hint="eastAsia"/>
                <w:color w:val="000000"/>
              </w:rPr>
              <w:t>8</w:t>
            </w:r>
          </w:p>
        </w:tc>
        <w:tc>
          <w:tcPr>
            <w:tcW w:w="114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132F2AC">
            <w:pPr>
              <w:pStyle w:val="10"/>
              <w:bidi w:val="0"/>
              <w:jc w:val="center"/>
              <w:rPr>
                <w:color w:val="000000"/>
              </w:rPr>
            </w:pPr>
            <w:r>
              <w:rPr>
                <w:rFonts w:hint="eastAsia"/>
                <w:color w:val="000000"/>
              </w:rPr>
              <w:t>浈江大道</w:t>
            </w:r>
            <w:r>
              <w:rPr>
                <w:color w:val="000000"/>
              </w:rPr>
              <w:t>(</w:t>
            </w:r>
            <w:r>
              <w:rPr>
                <w:rFonts w:hint="eastAsia"/>
                <w:color w:val="000000"/>
              </w:rPr>
              <w:t>次</w:t>
            </w:r>
            <w:r>
              <w:rPr>
                <w:color w:val="000000"/>
              </w:rPr>
              <w:t>)</w:t>
            </w:r>
          </w:p>
        </w:tc>
        <w:tc>
          <w:tcPr>
            <w:tcW w:w="7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5123098">
            <w:pPr>
              <w:pStyle w:val="10"/>
              <w:bidi w:val="0"/>
              <w:jc w:val="center"/>
              <w:rPr>
                <w:color w:val="000000"/>
              </w:rPr>
            </w:pPr>
            <w:r>
              <w:rPr>
                <w:color w:val="000000"/>
              </w:rPr>
              <w:t>800</w:t>
            </w:r>
          </w:p>
        </w:tc>
        <w:tc>
          <w:tcPr>
            <w:tcW w:w="7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C58660F">
            <w:pPr>
              <w:pStyle w:val="10"/>
              <w:bidi w:val="0"/>
              <w:jc w:val="center"/>
              <w:rPr>
                <w:color w:val="000000"/>
              </w:rPr>
            </w:pPr>
            <w:r>
              <w:rPr>
                <w:color w:val="000000"/>
              </w:rPr>
              <w:t>42</w:t>
            </w:r>
          </w:p>
        </w:tc>
        <w:tc>
          <w:tcPr>
            <w:tcW w:w="100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5228BBE">
            <w:pPr>
              <w:pStyle w:val="10"/>
              <w:bidi w:val="0"/>
              <w:jc w:val="center"/>
              <w:rPr>
                <w:rFonts w:hint="eastAsia"/>
                <w:color w:val="000000"/>
              </w:rPr>
            </w:pPr>
            <w:r>
              <w:rPr>
                <w:rFonts w:hint="eastAsia"/>
                <w:color w:val="000000"/>
              </w:rPr>
              <w:t>342</w:t>
            </w:r>
          </w:p>
        </w:tc>
        <w:tc>
          <w:tcPr>
            <w:tcW w:w="799" w:type="pct"/>
            <w:tcBorders>
              <w:top w:val="single" w:color="000000" w:sz="8" w:space="0"/>
              <w:left w:val="single" w:color="000000" w:sz="8" w:space="0"/>
              <w:bottom w:val="single" w:color="000000" w:sz="8" w:space="0"/>
              <w:right w:val="nil"/>
            </w:tcBorders>
            <w:shd w:val="clear" w:color="auto" w:fill="FFFFFF"/>
            <w:noWrap w:val="0"/>
            <w:vAlign w:val="center"/>
          </w:tcPr>
          <w:p w14:paraId="4C19D5AF">
            <w:pPr>
              <w:pStyle w:val="10"/>
              <w:bidi w:val="0"/>
              <w:jc w:val="center"/>
              <w:rPr>
                <w:rFonts w:hint="eastAsia"/>
                <w:color w:val="000000"/>
              </w:rPr>
            </w:pPr>
            <w:r>
              <w:rPr>
                <w:rFonts w:hint="eastAsia"/>
                <w:color w:val="000000"/>
              </w:rPr>
              <w:t>63.9</w:t>
            </w:r>
          </w:p>
        </w:tc>
      </w:tr>
      <w:tr w14:paraId="211B5558">
        <w:tblPrEx>
          <w:tblCellMar>
            <w:top w:w="0" w:type="dxa"/>
            <w:left w:w="108" w:type="dxa"/>
            <w:bottom w:w="0" w:type="dxa"/>
            <w:right w:w="108" w:type="dxa"/>
          </w:tblCellMar>
        </w:tblPrEx>
        <w:trPr>
          <w:trHeight w:val="311" w:hRule="atLeast"/>
          <w:jc w:val="center"/>
        </w:trPr>
        <w:tc>
          <w:tcPr>
            <w:tcW w:w="449" w:type="pct"/>
            <w:tcBorders>
              <w:top w:val="single" w:color="000000" w:sz="8" w:space="0"/>
              <w:left w:val="nil"/>
              <w:bottom w:val="single" w:color="000000" w:sz="8" w:space="0"/>
              <w:right w:val="single" w:color="000000" w:sz="8" w:space="0"/>
            </w:tcBorders>
            <w:shd w:val="clear" w:color="auto" w:fill="FFFFFF"/>
            <w:noWrap w:val="0"/>
            <w:vAlign w:val="center"/>
          </w:tcPr>
          <w:p w14:paraId="6C3861F9">
            <w:pPr>
              <w:pStyle w:val="10"/>
              <w:bidi w:val="0"/>
              <w:jc w:val="center"/>
              <w:rPr>
                <w:color w:val="000000"/>
              </w:rPr>
            </w:pPr>
            <w:r>
              <w:rPr>
                <w:rFonts w:hint="eastAsia"/>
                <w:color w:val="000000"/>
              </w:rPr>
              <w:t>9</w:t>
            </w:r>
          </w:p>
        </w:tc>
        <w:tc>
          <w:tcPr>
            <w:tcW w:w="114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07AE8A9">
            <w:pPr>
              <w:pStyle w:val="10"/>
              <w:bidi w:val="0"/>
              <w:jc w:val="center"/>
              <w:rPr>
                <w:color w:val="000000"/>
              </w:rPr>
            </w:pPr>
            <w:r>
              <w:rPr>
                <w:rFonts w:hint="eastAsia"/>
                <w:color w:val="000000"/>
              </w:rPr>
              <w:t>河南街</w:t>
            </w:r>
            <w:r>
              <w:rPr>
                <w:color w:val="000000"/>
              </w:rPr>
              <w:t>(</w:t>
            </w:r>
            <w:r>
              <w:rPr>
                <w:rFonts w:hint="eastAsia"/>
                <w:color w:val="000000"/>
              </w:rPr>
              <w:t>次</w:t>
            </w:r>
            <w:r>
              <w:rPr>
                <w:color w:val="000000"/>
              </w:rPr>
              <w:t>)</w:t>
            </w:r>
          </w:p>
        </w:tc>
        <w:tc>
          <w:tcPr>
            <w:tcW w:w="7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B286F57">
            <w:pPr>
              <w:pStyle w:val="10"/>
              <w:bidi w:val="0"/>
              <w:jc w:val="center"/>
              <w:rPr>
                <w:color w:val="000000"/>
              </w:rPr>
            </w:pPr>
            <w:r>
              <w:rPr>
                <w:color w:val="000000"/>
              </w:rPr>
              <w:t>500</w:t>
            </w:r>
          </w:p>
        </w:tc>
        <w:tc>
          <w:tcPr>
            <w:tcW w:w="7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97785ED">
            <w:pPr>
              <w:pStyle w:val="10"/>
              <w:bidi w:val="0"/>
              <w:jc w:val="center"/>
              <w:rPr>
                <w:color w:val="000000"/>
              </w:rPr>
            </w:pPr>
            <w:r>
              <w:rPr>
                <w:color w:val="000000"/>
              </w:rPr>
              <w:t>15</w:t>
            </w:r>
          </w:p>
        </w:tc>
        <w:tc>
          <w:tcPr>
            <w:tcW w:w="100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C044F3A">
            <w:pPr>
              <w:pStyle w:val="10"/>
              <w:bidi w:val="0"/>
              <w:jc w:val="center"/>
              <w:rPr>
                <w:rFonts w:hint="eastAsia"/>
                <w:color w:val="000000"/>
              </w:rPr>
            </w:pPr>
            <w:r>
              <w:rPr>
                <w:rFonts w:hint="eastAsia"/>
                <w:color w:val="000000"/>
              </w:rPr>
              <w:t>630</w:t>
            </w:r>
          </w:p>
        </w:tc>
        <w:tc>
          <w:tcPr>
            <w:tcW w:w="799" w:type="pct"/>
            <w:tcBorders>
              <w:top w:val="single" w:color="000000" w:sz="8" w:space="0"/>
              <w:left w:val="single" w:color="000000" w:sz="8" w:space="0"/>
              <w:bottom w:val="single" w:color="000000" w:sz="8" w:space="0"/>
              <w:right w:val="nil"/>
            </w:tcBorders>
            <w:shd w:val="clear" w:color="auto" w:fill="FFFFFF"/>
            <w:noWrap w:val="0"/>
            <w:vAlign w:val="center"/>
          </w:tcPr>
          <w:p w14:paraId="662850CB">
            <w:pPr>
              <w:pStyle w:val="10"/>
              <w:bidi w:val="0"/>
              <w:jc w:val="center"/>
              <w:rPr>
                <w:rFonts w:hint="eastAsia"/>
                <w:color w:val="000000"/>
              </w:rPr>
            </w:pPr>
            <w:r>
              <w:rPr>
                <w:rFonts w:hint="eastAsia"/>
                <w:color w:val="000000"/>
              </w:rPr>
              <w:t>72.5</w:t>
            </w:r>
          </w:p>
        </w:tc>
      </w:tr>
      <w:tr w14:paraId="001CDAD8">
        <w:tblPrEx>
          <w:tblCellMar>
            <w:top w:w="0" w:type="dxa"/>
            <w:left w:w="108" w:type="dxa"/>
            <w:bottom w:w="0" w:type="dxa"/>
            <w:right w:w="108" w:type="dxa"/>
          </w:tblCellMar>
        </w:tblPrEx>
        <w:trPr>
          <w:trHeight w:val="311" w:hRule="atLeast"/>
          <w:jc w:val="center"/>
        </w:trPr>
        <w:tc>
          <w:tcPr>
            <w:tcW w:w="449" w:type="pct"/>
            <w:tcBorders>
              <w:top w:val="single" w:color="000000" w:sz="8" w:space="0"/>
              <w:left w:val="nil"/>
              <w:bottom w:val="single" w:color="000000" w:sz="8" w:space="0"/>
              <w:right w:val="single" w:color="000000" w:sz="8" w:space="0"/>
            </w:tcBorders>
            <w:shd w:val="clear" w:color="auto" w:fill="FFFFFF"/>
            <w:noWrap w:val="0"/>
            <w:vAlign w:val="center"/>
          </w:tcPr>
          <w:p w14:paraId="6CBE1859">
            <w:pPr>
              <w:pStyle w:val="10"/>
              <w:bidi w:val="0"/>
              <w:jc w:val="center"/>
              <w:rPr>
                <w:color w:val="000000"/>
              </w:rPr>
            </w:pPr>
            <w:r>
              <w:rPr>
                <w:rFonts w:hint="eastAsia"/>
                <w:color w:val="000000"/>
              </w:rPr>
              <w:t>10</w:t>
            </w:r>
          </w:p>
        </w:tc>
        <w:tc>
          <w:tcPr>
            <w:tcW w:w="114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0913959">
            <w:pPr>
              <w:pStyle w:val="10"/>
              <w:bidi w:val="0"/>
              <w:jc w:val="center"/>
              <w:rPr>
                <w:color w:val="000000"/>
              </w:rPr>
            </w:pPr>
            <w:r>
              <w:rPr>
                <w:rFonts w:hint="eastAsia"/>
                <w:color w:val="000000"/>
              </w:rPr>
              <w:t>八一路</w:t>
            </w:r>
            <w:r>
              <w:rPr>
                <w:color w:val="000000"/>
              </w:rPr>
              <w:t>(</w:t>
            </w:r>
            <w:r>
              <w:rPr>
                <w:rFonts w:hint="eastAsia"/>
                <w:color w:val="000000"/>
              </w:rPr>
              <w:t>次</w:t>
            </w:r>
            <w:r>
              <w:rPr>
                <w:color w:val="000000"/>
              </w:rPr>
              <w:t>)</w:t>
            </w:r>
          </w:p>
        </w:tc>
        <w:tc>
          <w:tcPr>
            <w:tcW w:w="7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37384F2">
            <w:pPr>
              <w:pStyle w:val="10"/>
              <w:bidi w:val="0"/>
              <w:jc w:val="center"/>
              <w:rPr>
                <w:color w:val="000000"/>
              </w:rPr>
            </w:pPr>
            <w:r>
              <w:rPr>
                <w:color w:val="000000"/>
              </w:rPr>
              <w:t>180</w:t>
            </w:r>
          </w:p>
        </w:tc>
        <w:tc>
          <w:tcPr>
            <w:tcW w:w="7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CD20A50">
            <w:pPr>
              <w:pStyle w:val="10"/>
              <w:bidi w:val="0"/>
              <w:jc w:val="center"/>
              <w:rPr>
                <w:color w:val="000000"/>
              </w:rPr>
            </w:pPr>
            <w:r>
              <w:rPr>
                <w:color w:val="000000"/>
              </w:rPr>
              <w:t>20</w:t>
            </w:r>
          </w:p>
        </w:tc>
        <w:tc>
          <w:tcPr>
            <w:tcW w:w="100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B8CE7D5">
            <w:pPr>
              <w:pStyle w:val="10"/>
              <w:bidi w:val="0"/>
              <w:jc w:val="center"/>
              <w:rPr>
                <w:rFonts w:hint="eastAsia"/>
                <w:color w:val="000000"/>
              </w:rPr>
            </w:pPr>
            <w:r>
              <w:rPr>
                <w:rFonts w:hint="eastAsia"/>
                <w:color w:val="000000"/>
              </w:rPr>
              <w:t>1590</w:t>
            </w:r>
          </w:p>
        </w:tc>
        <w:tc>
          <w:tcPr>
            <w:tcW w:w="799" w:type="pct"/>
            <w:tcBorders>
              <w:top w:val="single" w:color="000000" w:sz="8" w:space="0"/>
              <w:left w:val="single" w:color="000000" w:sz="8" w:space="0"/>
              <w:bottom w:val="single" w:color="000000" w:sz="8" w:space="0"/>
              <w:right w:val="nil"/>
            </w:tcBorders>
            <w:shd w:val="clear" w:color="auto" w:fill="FFFFFF"/>
            <w:noWrap w:val="0"/>
            <w:vAlign w:val="center"/>
          </w:tcPr>
          <w:p w14:paraId="3010632E">
            <w:pPr>
              <w:pStyle w:val="10"/>
              <w:bidi w:val="0"/>
              <w:jc w:val="center"/>
              <w:rPr>
                <w:rFonts w:hint="eastAsia"/>
                <w:color w:val="000000"/>
              </w:rPr>
            </w:pPr>
            <w:r>
              <w:rPr>
                <w:rFonts w:hint="eastAsia"/>
                <w:color w:val="000000"/>
              </w:rPr>
              <w:t>73.6</w:t>
            </w:r>
          </w:p>
        </w:tc>
      </w:tr>
    </w:tbl>
    <w:p w14:paraId="5FB65012">
      <w:pPr>
        <w:rPr>
          <w:rFonts w:hint="eastAsia"/>
        </w:rPr>
      </w:pPr>
      <w:r>
        <w:t>2013年度城区道路交通噪声监测日期在12月</w:t>
      </w:r>
      <w:r>
        <w:rPr>
          <w:rFonts w:hint="eastAsia"/>
        </w:rPr>
        <w:t>份，监测结果见表</w:t>
      </w:r>
      <w:r>
        <w:t>1-A，结果表明：全城区10条</w:t>
      </w:r>
      <w:r>
        <w:rPr>
          <w:rFonts w:hint="eastAsia"/>
        </w:rPr>
        <w:t>主要道路交通噪声平均等效声级为</w:t>
      </w:r>
      <w:r>
        <w:t>69.5dB（A），</w:t>
      </w:r>
      <w:r>
        <w:rPr>
          <w:rFonts w:hint="eastAsia"/>
        </w:rPr>
        <w:t>低于</w:t>
      </w:r>
      <w:r>
        <w:t>4a类区（交通干线）环境噪声昼间标准值70.0dB（A）要求，道路交通噪声质量等级属</w:t>
      </w:r>
      <w:r>
        <w:rPr>
          <w:rFonts w:hint="eastAsia"/>
        </w:rPr>
        <w:t>较好。</w:t>
      </w:r>
    </w:p>
    <w:p w14:paraId="2671A876">
      <w:pPr>
        <w:bidi w:val="0"/>
        <w:ind w:left="0" w:leftChars="0" w:firstLine="0" w:firstLineChars="0"/>
        <w:jc w:val="center"/>
        <w:rPr>
          <w:rFonts w:hint="eastAsia"/>
          <w:b/>
          <w:bCs/>
        </w:rPr>
      </w:pPr>
      <w:r>
        <w:rPr>
          <w:rFonts w:hint="eastAsia"/>
          <w:b/>
          <w:bCs/>
        </w:rPr>
        <w:t>2013年南雄市区域环境噪声监测统计结果</w:t>
      </w:r>
    </w:p>
    <w:p w14:paraId="6436C7DC">
      <w:pPr>
        <w:bidi w:val="0"/>
        <w:rPr>
          <w:rFonts w:hint="eastAsia"/>
        </w:rPr>
      </w:pPr>
      <w:r>
        <w:rPr>
          <w:rFonts w:hint="eastAsia"/>
        </w:rPr>
        <w:t>表16</w:t>
      </w:r>
    </w:p>
    <w:tbl>
      <w:tblPr>
        <w:tblStyle w:val="7"/>
        <w:tblW w:w="499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530"/>
        <w:gridCol w:w="1799"/>
        <w:gridCol w:w="2445"/>
        <w:gridCol w:w="1991"/>
        <w:gridCol w:w="1962"/>
      </w:tblGrid>
      <w:tr w14:paraId="68F4A2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85" w:hRule="atLeast"/>
          <w:jc w:val="center"/>
        </w:trPr>
        <w:tc>
          <w:tcPr>
            <w:tcW w:w="786" w:type="pct"/>
            <w:tcBorders>
              <w:top w:val="single" w:color="000000" w:sz="8" w:space="0"/>
              <w:left w:val="nil"/>
              <w:bottom w:val="single" w:color="000000" w:sz="8" w:space="0"/>
              <w:right w:val="single" w:color="000000" w:sz="8" w:space="0"/>
            </w:tcBorders>
            <w:shd w:val="clear" w:color="auto" w:fill="FFFFFF"/>
            <w:noWrap w:val="0"/>
            <w:vAlign w:val="center"/>
          </w:tcPr>
          <w:p w14:paraId="7906F500">
            <w:pPr>
              <w:pStyle w:val="10"/>
              <w:bidi w:val="0"/>
              <w:jc w:val="center"/>
              <w:rPr>
                <w:rFonts w:hint="eastAsia"/>
                <w:b/>
                <w:bCs/>
                <w:color w:val="000000"/>
              </w:rPr>
            </w:pPr>
            <w:r>
              <w:rPr>
                <w:rFonts w:hint="eastAsia"/>
                <w:b/>
                <w:bCs/>
                <w:color w:val="000000"/>
              </w:rPr>
              <w:t>年度</w:t>
            </w:r>
          </w:p>
        </w:tc>
        <w:tc>
          <w:tcPr>
            <w:tcW w:w="92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4CDAEE3">
            <w:pPr>
              <w:pStyle w:val="10"/>
              <w:bidi w:val="0"/>
              <w:jc w:val="center"/>
              <w:rPr>
                <w:rFonts w:hint="eastAsia"/>
                <w:b/>
                <w:bCs/>
                <w:color w:val="000000"/>
              </w:rPr>
            </w:pPr>
            <w:r>
              <w:rPr>
                <w:rFonts w:hint="eastAsia"/>
                <w:b/>
                <w:bCs/>
                <w:color w:val="000000"/>
              </w:rPr>
              <w:t>网格大小</w:t>
            </w:r>
          </w:p>
        </w:tc>
        <w:tc>
          <w:tcPr>
            <w:tcW w:w="12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73D964E">
            <w:pPr>
              <w:pStyle w:val="10"/>
              <w:bidi w:val="0"/>
              <w:jc w:val="center"/>
              <w:rPr>
                <w:b/>
                <w:bCs/>
                <w:color w:val="000000"/>
              </w:rPr>
            </w:pPr>
            <w:r>
              <w:rPr>
                <w:rFonts w:hint="eastAsia"/>
                <w:b/>
                <w:bCs/>
                <w:color w:val="000000"/>
              </w:rPr>
              <w:t>覆盖面积(平方公里)</w:t>
            </w:r>
          </w:p>
        </w:tc>
        <w:tc>
          <w:tcPr>
            <w:tcW w:w="102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D47BC66">
            <w:pPr>
              <w:pStyle w:val="10"/>
              <w:bidi w:val="0"/>
              <w:jc w:val="center"/>
              <w:rPr>
                <w:rFonts w:hint="eastAsia"/>
                <w:b/>
                <w:bCs/>
                <w:color w:val="000000"/>
              </w:rPr>
            </w:pPr>
            <w:r>
              <w:rPr>
                <w:rFonts w:hint="eastAsia"/>
                <w:b/>
                <w:bCs/>
                <w:color w:val="000000"/>
              </w:rPr>
              <w:t>测点总数</w:t>
            </w:r>
            <w:r>
              <w:rPr>
                <w:b/>
                <w:bCs/>
                <w:color w:val="000000"/>
              </w:rPr>
              <w:t>(</w:t>
            </w:r>
            <w:r>
              <w:rPr>
                <w:rFonts w:hint="eastAsia"/>
                <w:b/>
                <w:bCs/>
                <w:color w:val="000000"/>
              </w:rPr>
              <w:t>个)</w:t>
            </w:r>
          </w:p>
        </w:tc>
        <w:tc>
          <w:tcPr>
            <w:tcW w:w="1008" w:type="pct"/>
            <w:tcBorders>
              <w:top w:val="single" w:color="000000" w:sz="8" w:space="0"/>
              <w:left w:val="single" w:color="000000" w:sz="8" w:space="0"/>
              <w:bottom w:val="single" w:color="000000" w:sz="8" w:space="0"/>
              <w:right w:val="nil"/>
            </w:tcBorders>
            <w:shd w:val="clear" w:color="auto" w:fill="FFFFFF"/>
            <w:noWrap w:val="0"/>
            <w:vAlign w:val="center"/>
          </w:tcPr>
          <w:p w14:paraId="3AC592E1">
            <w:pPr>
              <w:pStyle w:val="10"/>
              <w:bidi w:val="0"/>
              <w:jc w:val="center"/>
              <w:rPr>
                <w:rFonts w:hint="eastAsia"/>
                <w:b/>
                <w:bCs/>
                <w:color w:val="000000"/>
              </w:rPr>
            </w:pPr>
            <w:r>
              <w:rPr>
                <w:rFonts w:hint="eastAsia"/>
                <w:b/>
                <w:bCs/>
                <w:color w:val="000000"/>
              </w:rPr>
              <w:t>L</w:t>
            </w:r>
            <w:r>
              <w:rPr>
                <w:b/>
                <w:bCs/>
                <w:color w:val="000000"/>
              </w:rPr>
              <w:t>eq</w:t>
            </w:r>
            <w:r>
              <w:rPr>
                <w:rFonts w:hint="eastAsia"/>
                <w:b/>
                <w:bCs/>
                <w:color w:val="000000"/>
              </w:rPr>
              <w:t>［</w:t>
            </w:r>
            <w:r>
              <w:rPr>
                <w:b/>
                <w:bCs/>
                <w:color w:val="000000"/>
              </w:rPr>
              <w:t>dB(A)</w:t>
            </w:r>
            <w:r>
              <w:rPr>
                <w:rFonts w:hint="eastAsia"/>
                <w:b/>
                <w:bCs/>
                <w:color w:val="000000"/>
              </w:rPr>
              <w:t>］</w:t>
            </w:r>
          </w:p>
        </w:tc>
      </w:tr>
      <w:tr w14:paraId="4A4152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9" w:hRule="atLeast"/>
          <w:jc w:val="center"/>
        </w:trPr>
        <w:tc>
          <w:tcPr>
            <w:tcW w:w="786" w:type="pct"/>
            <w:tcBorders>
              <w:top w:val="single" w:color="000000" w:sz="8" w:space="0"/>
              <w:left w:val="nil"/>
              <w:bottom w:val="single" w:color="000000" w:sz="8" w:space="0"/>
              <w:right w:val="single" w:color="000000" w:sz="8" w:space="0"/>
            </w:tcBorders>
            <w:shd w:val="clear" w:color="auto" w:fill="FFFFFF"/>
            <w:noWrap w:val="0"/>
            <w:vAlign w:val="center"/>
          </w:tcPr>
          <w:p w14:paraId="04B77A1A">
            <w:pPr>
              <w:pStyle w:val="10"/>
              <w:bidi w:val="0"/>
              <w:jc w:val="center"/>
              <w:rPr>
                <w:rFonts w:hint="eastAsia"/>
                <w:color w:val="000000"/>
              </w:rPr>
            </w:pPr>
            <w:r>
              <w:rPr>
                <w:rFonts w:hint="eastAsia"/>
                <w:color w:val="000000"/>
              </w:rPr>
              <w:t>2013</w:t>
            </w:r>
          </w:p>
        </w:tc>
        <w:tc>
          <w:tcPr>
            <w:tcW w:w="92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FC156E5">
            <w:pPr>
              <w:pStyle w:val="10"/>
              <w:bidi w:val="0"/>
              <w:jc w:val="center"/>
              <w:rPr>
                <w:rFonts w:hint="eastAsia"/>
                <w:color w:val="000000"/>
              </w:rPr>
            </w:pPr>
            <w:r>
              <w:rPr>
                <w:rFonts w:hint="eastAsia"/>
                <w:color w:val="000000"/>
              </w:rPr>
              <w:t>250×250</w:t>
            </w:r>
          </w:p>
        </w:tc>
        <w:tc>
          <w:tcPr>
            <w:tcW w:w="12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1433BDC">
            <w:pPr>
              <w:pStyle w:val="10"/>
              <w:bidi w:val="0"/>
              <w:jc w:val="center"/>
              <w:rPr>
                <w:rFonts w:hint="eastAsia"/>
                <w:color w:val="000000"/>
              </w:rPr>
            </w:pPr>
            <w:r>
              <w:rPr>
                <w:rFonts w:hint="eastAsia"/>
                <w:color w:val="000000"/>
              </w:rPr>
              <w:t>8.4</w:t>
            </w:r>
          </w:p>
        </w:tc>
        <w:tc>
          <w:tcPr>
            <w:tcW w:w="102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E8CFBA4">
            <w:pPr>
              <w:pStyle w:val="10"/>
              <w:bidi w:val="0"/>
              <w:jc w:val="center"/>
              <w:rPr>
                <w:rFonts w:hint="eastAsia"/>
                <w:color w:val="000000"/>
              </w:rPr>
            </w:pPr>
            <w:r>
              <w:rPr>
                <w:rFonts w:hint="eastAsia"/>
                <w:color w:val="000000"/>
              </w:rPr>
              <w:t>105</w:t>
            </w:r>
          </w:p>
        </w:tc>
        <w:tc>
          <w:tcPr>
            <w:tcW w:w="1008" w:type="pct"/>
            <w:tcBorders>
              <w:top w:val="single" w:color="000000" w:sz="8" w:space="0"/>
              <w:left w:val="single" w:color="000000" w:sz="8" w:space="0"/>
              <w:bottom w:val="single" w:color="000000" w:sz="8" w:space="0"/>
              <w:right w:val="nil"/>
            </w:tcBorders>
            <w:shd w:val="clear" w:color="auto" w:fill="FFFFFF"/>
            <w:noWrap w:val="0"/>
            <w:vAlign w:val="center"/>
          </w:tcPr>
          <w:p w14:paraId="418F1377">
            <w:pPr>
              <w:pStyle w:val="10"/>
              <w:bidi w:val="0"/>
              <w:jc w:val="center"/>
              <w:rPr>
                <w:rFonts w:hint="eastAsia"/>
                <w:color w:val="000000"/>
              </w:rPr>
            </w:pPr>
            <w:r>
              <w:rPr>
                <w:rFonts w:hint="eastAsia"/>
                <w:color w:val="000000"/>
              </w:rPr>
              <w:t>50.1</w:t>
            </w:r>
          </w:p>
        </w:tc>
      </w:tr>
    </w:tbl>
    <w:p w14:paraId="14043B58">
      <w:r>
        <w:rPr>
          <w:rFonts w:hint="eastAsia"/>
        </w:rPr>
        <w:t>城市区域环境噪声等效声级为</w:t>
      </w:r>
      <w:r>
        <w:t>50.1dB（A），</w:t>
      </w:r>
      <w:r>
        <w:rPr>
          <w:rFonts w:hint="eastAsia"/>
        </w:rPr>
        <w:t>低于</w:t>
      </w:r>
      <w:r>
        <w:t>1类区55dB（A）的标准，比2012年有所下</w:t>
      </w:r>
      <w:r>
        <w:rPr>
          <w:rFonts w:hint="eastAsia"/>
        </w:rPr>
        <w:t>降，</w:t>
      </w:r>
      <w:r>
        <w:t>2013年区域环境噪声质量等级属较好。</w:t>
      </w:r>
    </w:p>
    <w:p w14:paraId="66C87219">
      <w:pPr>
        <w:ind w:left="0" w:leftChars="0" w:firstLine="0" w:firstLineChars="0"/>
        <w:jc w:val="center"/>
        <w:rPr>
          <w:rFonts w:hint="eastAsia"/>
          <w:b/>
          <w:bCs/>
          <w:lang w:val="en-US" w:eastAsia="zh-CN"/>
        </w:rPr>
      </w:pPr>
      <w:r>
        <w:rPr>
          <w:rFonts w:hint="eastAsia"/>
          <w:b/>
          <w:bCs/>
          <w:lang w:val="en-US" w:eastAsia="zh-CN"/>
        </w:rPr>
        <w:t>2013年饮水源水质监测结果统计表</w:t>
      </w:r>
    </w:p>
    <w:p w14:paraId="3A41E33F">
      <w:pPr>
        <w:bidi w:val="0"/>
        <w:rPr>
          <w:rFonts w:hint="eastAsia"/>
          <w:lang w:val="en-US" w:eastAsia="zh-CN"/>
        </w:rPr>
      </w:pPr>
      <w:r>
        <w:rPr>
          <w:rFonts w:hint="eastAsia"/>
          <w:lang w:val="en-US" w:eastAsia="zh-CN"/>
        </w:rPr>
        <w:t>表17</w:t>
      </w:r>
    </w:p>
    <w:p w14:paraId="47821106">
      <w:pPr>
        <w:bidi w:val="0"/>
        <w:jc w:val="right"/>
        <w:rPr>
          <w:rFonts w:hint="default"/>
          <w:lang w:val="en-US" w:eastAsia="zh-CN"/>
        </w:rPr>
      </w:pPr>
      <w:r>
        <w:rPr>
          <w:rFonts w:hint="eastAsia"/>
          <w:lang w:val="en-US" w:eastAsia="zh-CN"/>
        </w:rPr>
        <w:t>单位：</w:t>
      </w:r>
      <w:r>
        <w:rPr>
          <w:rFonts w:hint="default"/>
          <w:lang w:val="en-US" w:eastAsia="zh-CN"/>
        </w:rPr>
        <w:t>mg/L(pH值：无量纲）</w:t>
      </w:r>
    </w:p>
    <w:tbl>
      <w:tblPr>
        <w:tblStyle w:val="7"/>
        <w:tblW w:w="5000"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Layout w:type="fixed"/>
        <w:tblCellMar>
          <w:top w:w="0" w:type="dxa"/>
          <w:left w:w="0" w:type="dxa"/>
          <w:bottom w:w="0" w:type="dxa"/>
          <w:right w:w="0" w:type="dxa"/>
        </w:tblCellMar>
      </w:tblPr>
      <w:tblGrid>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26"/>
      </w:tblGrid>
      <w:tr w14:paraId="352B812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5" w:hRule="atLeast"/>
        </w:trPr>
        <w:tc>
          <w:tcPr>
            <w:tcW w:w="161" w:type="pct"/>
            <w:vMerge w:val="restar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9AC575C">
            <w:pPr>
              <w:pStyle w:val="10"/>
              <w:bidi w:val="0"/>
              <w:jc w:val="center"/>
              <w:rPr>
                <w:rFonts w:hint="eastAsia"/>
                <w:b/>
                <w:bCs/>
                <w:color w:val="000000"/>
              </w:rPr>
            </w:pPr>
            <w:r>
              <w:rPr>
                <w:rFonts w:hint="eastAsia"/>
                <w:b/>
                <w:bCs/>
                <w:color w:val="000000"/>
                <w:lang w:val="en-US" w:eastAsia="zh-CN"/>
              </w:rPr>
              <w:t>断面名称</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E438DFC">
            <w:pPr>
              <w:pStyle w:val="10"/>
              <w:bidi w:val="0"/>
              <w:jc w:val="center"/>
              <w:rPr>
                <w:rFonts w:hint="eastAsia"/>
                <w:b/>
                <w:bCs/>
                <w:color w:val="000000"/>
              </w:rPr>
            </w:pPr>
            <w:r>
              <w:rPr>
                <w:rFonts w:hint="eastAsia"/>
                <w:b/>
                <w:bCs/>
                <w:color w:val="000000"/>
                <w:lang w:val="en-US" w:eastAsia="zh-CN"/>
              </w:rPr>
              <w:t>指标</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C4C81CA">
            <w:pPr>
              <w:pStyle w:val="10"/>
              <w:bidi w:val="0"/>
              <w:jc w:val="center"/>
              <w:rPr>
                <w:rFonts w:hint="default"/>
                <w:b/>
                <w:bCs/>
                <w:color w:val="000000"/>
              </w:rPr>
            </w:pPr>
            <w:r>
              <w:rPr>
                <w:b/>
                <w:bCs/>
                <w:color w:val="000000"/>
                <w:lang w:val="en-US" w:eastAsia="zh-CN"/>
              </w:rPr>
              <w:t>pH</w:t>
            </w:r>
            <w:r>
              <w:rPr>
                <w:b/>
                <w:bCs/>
                <w:color w:val="000000"/>
                <w:lang w:val="en-US" w:eastAsia="zh-CN"/>
              </w:rPr>
              <w:br w:type="textWrapping"/>
            </w:r>
            <w:r>
              <w:rPr>
                <w:b/>
                <w:bCs/>
                <w:color w:val="000000"/>
                <w:lang w:val="en-US" w:eastAsia="zh-CN"/>
              </w:rPr>
              <w:t>值</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B747519">
            <w:pPr>
              <w:pStyle w:val="10"/>
              <w:bidi w:val="0"/>
              <w:jc w:val="center"/>
              <w:rPr>
                <w:rFonts w:hint="default"/>
                <w:b/>
                <w:bCs/>
                <w:color w:val="000000"/>
              </w:rPr>
            </w:pPr>
            <w:r>
              <w:rPr>
                <w:rFonts w:hint="eastAsia"/>
                <w:b/>
                <w:bCs/>
                <w:color w:val="000000"/>
                <w:lang w:val="en-US" w:eastAsia="zh-CN"/>
              </w:rPr>
              <w:t>溶</w:t>
            </w:r>
            <w:r>
              <w:rPr>
                <w:b/>
                <w:bCs/>
                <w:color w:val="000000"/>
                <w:lang w:val="en-US" w:eastAsia="zh-CN"/>
              </w:rPr>
              <w:t>桴氧</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B1CB7DC">
            <w:pPr>
              <w:pStyle w:val="10"/>
              <w:bidi w:val="0"/>
              <w:jc w:val="center"/>
              <w:rPr>
                <w:rFonts w:hint="default"/>
                <w:b/>
                <w:bCs/>
                <w:color w:val="000000"/>
              </w:rPr>
            </w:pPr>
            <w:r>
              <w:rPr>
                <w:b/>
                <w:bCs/>
                <w:color w:val="000000"/>
                <w:lang w:val="en-US" w:eastAsia="zh-CN"/>
              </w:rPr>
              <w:t>高猛酸盐</w:t>
            </w:r>
            <w:r>
              <w:rPr>
                <w:rFonts w:hint="eastAsia"/>
                <w:b/>
                <w:bCs/>
                <w:color w:val="000000"/>
                <w:lang w:val="en-US" w:eastAsia="zh-CN"/>
              </w:rPr>
              <w:t>指数</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2CF1328">
            <w:pPr>
              <w:pStyle w:val="10"/>
              <w:bidi w:val="0"/>
              <w:jc w:val="center"/>
              <w:rPr>
                <w:rFonts w:hint="default"/>
                <w:b/>
                <w:bCs/>
                <w:color w:val="000000"/>
              </w:rPr>
            </w:pPr>
            <w:r>
              <w:rPr>
                <w:rFonts w:hint="eastAsia"/>
                <w:b/>
                <w:bCs/>
                <w:color w:val="000000"/>
                <w:lang w:val="en-US" w:eastAsia="zh-CN"/>
              </w:rPr>
              <w:t>化学</w:t>
            </w:r>
            <w:r>
              <w:rPr>
                <w:b/>
                <w:bCs/>
                <w:color w:val="000000"/>
                <w:lang w:val="en-US" w:eastAsia="zh-CN"/>
              </w:rPr>
              <w:t>需氧量</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0612D2A">
            <w:pPr>
              <w:pStyle w:val="10"/>
              <w:bidi w:val="0"/>
              <w:jc w:val="center"/>
              <w:rPr>
                <w:rFonts w:hint="default"/>
                <w:b/>
                <w:bCs/>
                <w:color w:val="000000"/>
              </w:rPr>
            </w:pPr>
            <w:r>
              <w:rPr>
                <w:rFonts w:hint="eastAsia"/>
                <w:b/>
                <w:bCs/>
                <w:color w:val="000000"/>
                <w:lang w:val="en-US" w:eastAsia="zh-CN"/>
              </w:rPr>
              <w:t>五日生化</w:t>
            </w:r>
            <w:r>
              <w:rPr>
                <w:b/>
                <w:bCs/>
                <w:color w:val="000000"/>
                <w:lang w:val="en-US" w:eastAsia="zh-CN"/>
              </w:rPr>
              <w:t>需氧量</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2787667">
            <w:pPr>
              <w:pStyle w:val="10"/>
              <w:bidi w:val="0"/>
              <w:jc w:val="center"/>
              <w:rPr>
                <w:rFonts w:hint="eastAsia"/>
                <w:b/>
                <w:bCs/>
                <w:color w:val="000000"/>
              </w:rPr>
            </w:pPr>
            <w:r>
              <w:rPr>
                <w:rFonts w:hint="eastAsia"/>
                <w:b/>
                <w:bCs/>
                <w:color w:val="000000"/>
                <w:lang w:val="en-US" w:eastAsia="zh-CN"/>
              </w:rPr>
              <w:t>氨氮</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E7D0EB1">
            <w:pPr>
              <w:pStyle w:val="10"/>
              <w:bidi w:val="0"/>
              <w:jc w:val="center"/>
              <w:rPr>
                <w:rFonts w:hint="default"/>
                <w:b/>
                <w:bCs/>
                <w:color w:val="000000"/>
              </w:rPr>
            </w:pPr>
            <w:r>
              <w:rPr>
                <w:rFonts w:hint="eastAsia"/>
                <w:b/>
                <w:bCs/>
                <w:color w:val="000000"/>
                <w:lang w:val="en-US" w:eastAsia="zh-CN"/>
              </w:rPr>
              <w:t>总</w:t>
            </w:r>
            <w:r>
              <w:rPr>
                <w:rFonts w:hint="eastAsia"/>
                <w:b/>
                <w:bCs/>
                <w:color w:val="000000"/>
                <w:lang w:val="en-US" w:eastAsia="zh-CN"/>
              </w:rPr>
              <w:br w:type="textWrapping"/>
            </w:r>
            <w:r>
              <w:rPr>
                <w:b/>
                <w:bCs/>
                <w:color w:val="000000"/>
                <w:lang w:val="en-US" w:eastAsia="zh-CN"/>
              </w:rPr>
              <w:t>磷</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A27BB25">
            <w:pPr>
              <w:pStyle w:val="10"/>
              <w:bidi w:val="0"/>
              <w:jc w:val="center"/>
              <w:rPr>
                <w:rFonts w:hint="eastAsia"/>
                <w:b/>
                <w:bCs/>
                <w:color w:val="000000"/>
              </w:rPr>
            </w:pPr>
            <w:r>
              <w:rPr>
                <w:rFonts w:hint="eastAsia"/>
                <w:b/>
                <w:bCs/>
                <w:color w:val="000000"/>
                <w:lang w:val="en-US" w:eastAsia="zh-CN"/>
              </w:rPr>
              <w:t>铜</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830B6E8">
            <w:pPr>
              <w:pStyle w:val="10"/>
              <w:bidi w:val="0"/>
              <w:jc w:val="center"/>
              <w:rPr>
                <w:rFonts w:hint="eastAsia"/>
                <w:b/>
                <w:bCs/>
                <w:color w:val="000000"/>
              </w:rPr>
            </w:pPr>
            <w:r>
              <w:rPr>
                <w:b/>
                <w:bCs/>
                <w:color w:val="000000"/>
                <w:lang w:val="en-US" w:eastAsia="zh-CN"/>
              </w:rPr>
              <w:t>锌</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4D0154A">
            <w:pPr>
              <w:pStyle w:val="10"/>
              <w:bidi w:val="0"/>
              <w:jc w:val="center"/>
              <w:rPr>
                <w:rFonts w:hint="default"/>
                <w:b/>
                <w:bCs/>
                <w:color w:val="000000"/>
              </w:rPr>
            </w:pPr>
            <w:r>
              <w:rPr>
                <w:b/>
                <w:bCs/>
                <w:color w:val="000000"/>
                <w:lang w:val="en-US" w:eastAsia="zh-CN"/>
              </w:rPr>
              <w:t>氪</w:t>
            </w:r>
            <w:r>
              <w:rPr>
                <w:rFonts w:hint="eastAsia"/>
                <w:b/>
                <w:bCs/>
                <w:color w:val="000000"/>
                <w:lang w:val="en-US" w:eastAsia="zh-CN"/>
              </w:rPr>
              <w:t>化</w:t>
            </w:r>
            <w:r>
              <w:rPr>
                <w:b/>
                <w:bCs/>
                <w:color w:val="000000"/>
                <w:lang w:val="en-US" w:eastAsia="zh-CN"/>
              </w:rPr>
              <w:t>物</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3A9CAC0">
            <w:pPr>
              <w:pStyle w:val="10"/>
              <w:bidi w:val="0"/>
              <w:jc w:val="center"/>
              <w:rPr>
                <w:rFonts w:hint="eastAsia"/>
                <w:b/>
                <w:bCs/>
                <w:color w:val="000000"/>
              </w:rPr>
            </w:pPr>
            <w:r>
              <w:rPr>
                <w:b/>
                <w:bCs/>
                <w:color w:val="000000"/>
                <w:lang w:val="en-US" w:eastAsia="zh-CN"/>
              </w:rPr>
              <w:t>硒</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02894AB">
            <w:pPr>
              <w:pStyle w:val="10"/>
              <w:bidi w:val="0"/>
              <w:jc w:val="center"/>
              <w:rPr>
                <w:rFonts w:hint="eastAsia"/>
                <w:b/>
                <w:bCs/>
                <w:color w:val="000000"/>
              </w:rPr>
            </w:pPr>
            <w:r>
              <w:rPr>
                <w:rFonts w:hint="eastAsia"/>
                <w:b/>
                <w:bCs/>
                <w:color w:val="000000"/>
                <w:lang w:val="en-US" w:eastAsia="zh-CN"/>
              </w:rPr>
              <w:t>碑</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A1B7CD9">
            <w:pPr>
              <w:pStyle w:val="10"/>
              <w:bidi w:val="0"/>
              <w:jc w:val="center"/>
              <w:rPr>
                <w:rFonts w:hint="eastAsia"/>
                <w:b/>
                <w:bCs/>
                <w:color w:val="000000"/>
              </w:rPr>
            </w:pPr>
            <w:r>
              <w:rPr>
                <w:rFonts w:hint="eastAsia"/>
                <w:b/>
                <w:bCs/>
                <w:color w:val="000000"/>
                <w:lang w:val="en-US" w:eastAsia="zh-CN"/>
              </w:rPr>
              <w:t>柔</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E166501">
            <w:pPr>
              <w:pStyle w:val="10"/>
              <w:bidi w:val="0"/>
              <w:jc w:val="center"/>
              <w:rPr>
                <w:rFonts w:hint="eastAsia"/>
                <w:b/>
                <w:bCs/>
                <w:color w:val="000000"/>
              </w:rPr>
            </w:pPr>
            <w:r>
              <w:rPr>
                <w:rFonts w:hint="eastAsia"/>
                <w:b/>
                <w:bCs/>
                <w:color w:val="000000"/>
                <w:lang w:val="en-US" w:eastAsia="zh-CN"/>
              </w:rPr>
              <w:t>锡</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AF2D7E6">
            <w:pPr>
              <w:pStyle w:val="10"/>
              <w:bidi w:val="0"/>
              <w:jc w:val="center"/>
              <w:rPr>
                <w:rFonts w:hint="default"/>
                <w:b/>
                <w:bCs/>
                <w:color w:val="000000"/>
              </w:rPr>
            </w:pPr>
            <w:r>
              <w:rPr>
                <w:rFonts w:hint="eastAsia"/>
                <w:b/>
                <w:bCs/>
                <w:color w:val="000000"/>
                <w:lang w:val="en-US" w:eastAsia="zh-CN"/>
              </w:rPr>
              <w:t>六价络</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FF07E93">
            <w:pPr>
              <w:pStyle w:val="10"/>
              <w:bidi w:val="0"/>
              <w:jc w:val="center"/>
              <w:rPr>
                <w:rFonts w:hint="eastAsia"/>
                <w:b/>
                <w:bCs/>
                <w:color w:val="000000"/>
              </w:rPr>
            </w:pPr>
            <w:r>
              <w:rPr>
                <w:b/>
                <w:bCs/>
                <w:color w:val="000000"/>
                <w:lang w:val="en-US" w:eastAsia="zh-CN"/>
              </w:rPr>
              <w:t>铅</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622206C">
            <w:pPr>
              <w:pStyle w:val="10"/>
              <w:bidi w:val="0"/>
              <w:jc w:val="center"/>
              <w:rPr>
                <w:rFonts w:hint="default"/>
                <w:b/>
                <w:bCs/>
                <w:color w:val="000000"/>
              </w:rPr>
            </w:pPr>
            <w:r>
              <w:rPr>
                <w:rFonts w:hint="eastAsia"/>
                <w:b/>
                <w:bCs/>
                <w:color w:val="000000"/>
                <w:lang w:val="en-US" w:eastAsia="zh-CN"/>
              </w:rPr>
              <w:t>氮化</w:t>
            </w:r>
            <w:r>
              <w:rPr>
                <w:b/>
                <w:bCs/>
                <w:color w:val="000000"/>
                <w:lang w:val="en-US" w:eastAsia="zh-CN"/>
              </w:rPr>
              <w:t>物</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E7D0383">
            <w:pPr>
              <w:pStyle w:val="10"/>
              <w:bidi w:val="0"/>
              <w:jc w:val="center"/>
              <w:rPr>
                <w:rFonts w:hint="default"/>
                <w:b/>
                <w:bCs/>
                <w:color w:val="000000"/>
              </w:rPr>
            </w:pPr>
            <w:r>
              <w:rPr>
                <w:rFonts w:hint="eastAsia"/>
                <w:b/>
                <w:bCs/>
                <w:color w:val="000000"/>
                <w:lang w:val="en-US" w:eastAsia="zh-CN"/>
              </w:rPr>
              <w:t>挥发</w:t>
            </w:r>
            <w:r>
              <w:rPr>
                <w:b/>
                <w:bCs/>
                <w:color w:val="000000"/>
                <w:lang w:val="en-US" w:eastAsia="zh-CN"/>
              </w:rPr>
              <w:t>酚</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28CAF27">
            <w:pPr>
              <w:pStyle w:val="10"/>
              <w:bidi w:val="0"/>
              <w:jc w:val="center"/>
              <w:rPr>
                <w:rFonts w:hint="default"/>
                <w:b/>
                <w:bCs/>
                <w:color w:val="000000"/>
              </w:rPr>
            </w:pPr>
            <w:r>
              <w:rPr>
                <w:rFonts w:hint="eastAsia"/>
                <w:b/>
                <w:bCs/>
                <w:color w:val="000000"/>
                <w:lang w:val="en-US" w:eastAsia="zh-CN"/>
              </w:rPr>
              <w:t>石油</w:t>
            </w:r>
            <w:r>
              <w:rPr>
                <w:rFonts w:hint="eastAsia"/>
                <w:b/>
                <w:bCs/>
                <w:color w:val="000000"/>
                <w:lang w:val="en-US" w:eastAsia="zh-CN"/>
              </w:rPr>
              <w:br w:type="textWrapping"/>
            </w:r>
            <w:r>
              <w:rPr>
                <w:b/>
                <w:bCs/>
                <w:color w:val="000000"/>
                <w:lang w:val="en-US" w:eastAsia="zh-CN"/>
              </w:rPr>
              <w:t>类</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742CDD5">
            <w:pPr>
              <w:pStyle w:val="10"/>
              <w:bidi w:val="0"/>
              <w:jc w:val="center"/>
              <w:rPr>
                <w:rFonts w:hint="default"/>
                <w:b/>
                <w:bCs/>
                <w:color w:val="000000"/>
              </w:rPr>
            </w:pPr>
            <w:r>
              <w:rPr>
                <w:rFonts w:hint="eastAsia"/>
                <w:b/>
                <w:bCs/>
                <w:color w:val="000000"/>
                <w:lang w:val="en-US" w:eastAsia="zh-CN"/>
              </w:rPr>
              <w:t>阴离</w:t>
            </w:r>
            <w:r>
              <w:rPr>
                <w:b/>
                <w:bCs/>
                <w:color w:val="000000"/>
                <w:lang w:val="en-US" w:eastAsia="zh-CN"/>
              </w:rPr>
              <w:t>子表</w:t>
            </w:r>
            <w:r>
              <w:rPr>
                <w:rFonts w:hint="eastAsia"/>
                <w:b/>
                <w:bCs/>
                <w:color w:val="000000"/>
                <w:lang w:val="en-US" w:eastAsia="zh-CN"/>
              </w:rPr>
              <w:t>面活</w:t>
            </w:r>
            <w:r>
              <w:rPr>
                <w:b/>
                <w:bCs/>
                <w:color w:val="000000"/>
                <w:lang w:val="en-US" w:eastAsia="zh-CN"/>
              </w:rPr>
              <w:t>性剂</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ADA5AF4">
            <w:pPr>
              <w:pStyle w:val="10"/>
              <w:bidi w:val="0"/>
              <w:jc w:val="center"/>
              <w:rPr>
                <w:rFonts w:hint="default"/>
                <w:b/>
                <w:bCs/>
                <w:color w:val="000000"/>
              </w:rPr>
            </w:pPr>
            <w:r>
              <w:rPr>
                <w:b/>
                <w:bCs/>
                <w:color w:val="000000"/>
                <w:lang w:val="en-US" w:eastAsia="zh-CN"/>
              </w:rPr>
              <w:t>硫</w:t>
            </w:r>
            <w:r>
              <w:rPr>
                <w:rFonts w:hint="eastAsia"/>
                <w:b/>
                <w:bCs/>
                <w:color w:val="000000"/>
                <w:lang w:val="en-US" w:eastAsia="zh-CN"/>
              </w:rPr>
              <w:t>化</w:t>
            </w:r>
            <w:r>
              <w:rPr>
                <w:b/>
                <w:bCs/>
                <w:color w:val="000000"/>
                <w:lang w:val="en-US" w:eastAsia="zh-CN"/>
              </w:rPr>
              <w:t>物</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DDFA8C6">
            <w:pPr>
              <w:pStyle w:val="10"/>
              <w:bidi w:val="0"/>
              <w:jc w:val="center"/>
              <w:rPr>
                <w:rFonts w:hint="eastAsia"/>
                <w:b/>
                <w:bCs/>
                <w:color w:val="000000"/>
              </w:rPr>
            </w:pPr>
            <w:r>
              <w:rPr>
                <w:b/>
                <w:bCs/>
                <w:color w:val="000000"/>
                <w:lang w:val="en-US" w:eastAsia="zh-CN"/>
              </w:rPr>
              <w:t>硫酸盐</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FD228A1">
            <w:pPr>
              <w:pStyle w:val="10"/>
              <w:bidi w:val="0"/>
              <w:jc w:val="center"/>
              <w:rPr>
                <w:rFonts w:hint="default"/>
                <w:b/>
                <w:bCs/>
                <w:color w:val="000000"/>
              </w:rPr>
            </w:pPr>
            <w:r>
              <w:rPr>
                <w:rFonts w:hint="eastAsia"/>
                <w:b/>
                <w:bCs/>
                <w:color w:val="000000"/>
                <w:lang w:val="en-US" w:eastAsia="zh-CN"/>
              </w:rPr>
              <w:t>氯化</w:t>
            </w:r>
            <w:r>
              <w:rPr>
                <w:rFonts w:hint="eastAsia"/>
                <w:b/>
                <w:bCs/>
                <w:color w:val="000000"/>
                <w:lang w:val="en-US" w:eastAsia="zh-CN"/>
              </w:rPr>
              <w:br w:type="textWrapping"/>
            </w:r>
            <w:r>
              <w:rPr>
                <w:b/>
                <w:bCs/>
                <w:color w:val="000000"/>
                <w:lang w:val="en-US" w:eastAsia="zh-CN"/>
              </w:rPr>
              <w:t>物</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4C56C15">
            <w:pPr>
              <w:pStyle w:val="10"/>
              <w:bidi w:val="0"/>
              <w:jc w:val="center"/>
              <w:rPr>
                <w:rFonts w:hint="eastAsia"/>
                <w:b/>
                <w:bCs/>
                <w:color w:val="000000"/>
              </w:rPr>
            </w:pPr>
            <w:r>
              <w:rPr>
                <w:b/>
                <w:bCs/>
                <w:color w:val="000000"/>
                <w:lang w:val="en-US" w:eastAsia="zh-CN"/>
              </w:rPr>
              <w:t>硝酸盐</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89D2C9B">
            <w:pPr>
              <w:pStyle w:val="10"/>
              <w:bidi w:val="0"/>
              <w:jc w:val="center"/>
              <w:rPr>
                <w:rFonts w:hint="eastAsia"/>
                <w:b/>
                <w:bCs/>
                <w:color w:val="000000"/>
              </w:rPr>
            </w:pPr>
            <w:r>
              <w:rPr>
                <w:b/>
                <w:bCs/>
                <w:color w:val="000000"/>
                <w:lang w:val="en-US" w:eastAsia="zh-CN"/>
              </w:rPr>
              <w:t>铁</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33ACD1C">
            <w:pPr>
              <w:pStyle w:val="10"/>
              <w:bidi w:val="0"/>
              <w:jc w:val="center"/>
              <w:rPr>
                <w:rFonts w:hint="eastAsia"/>
                <w:b/>
                <w:bCs/>
                <w:color w:val="000000"/>
              </w:rPr>
            </w:pPr>
            <w:r>
              <w:rPr>
                <w:b/>
                <w:bCs/>
                <w:color w:val="000000"/>
                <w:lang w:val="en-US" w:eastAsia="zh-CN"/>
              </w:rPr>
              <w:t>猛</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3AAD42B">
            <w:pPr>
              <w:pStyle w:val="10"/>
              <w:bidi w:val="0"/>
              <w:jc w:val="center"/>
              <w:rPr>
                <w:rFonts w:hint="default"/>
                <w:b/>
                <w:bCs/>
                <w:color w:val="000000"/>
              </w:rPr>
            </w:pPr>
            <w:r>
              <w:rPr>
                <w:b/>
                <w:bCs/>
                <w:color w:val="000000"/>
                <w:lang w:val="en-US" w:eastAsia="zh-CN"/>
              </w:rPr>
              <w:t>综合污染</w:t>
            </w:r>
            <w:r>
              <w:rPr>
                <w:rFonts w:hint="eastAsia"/>
                <w:b/>
                <w:bCs/>
                <w:color w:val="000000"/>
                <w:lang w:val="en-US" w:eastAsia="zh-CN"/>
              </w:rPr>
              <w:t>指数</w:t>
            </w:r>
            <w:r>
              <w:rPr>
                <w:b/>
                <w:bCs/>
                <w:color w:val="000000"/>
                <w:lang w:val="en-US" w:eastAsia="zh-CN"/>
              </w:rPr>
              <w:t>均值</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365D8FC">
            <w:pPr>
              <w:pStyle w:val="10"/>
              <w:bidi w:val="0"/>
              <w:jc w:val="center"/>
              <w:rPr>
                <w:rFonts w:hint="eastAsia"/>
                <w:b/>
                <w:bCs/>
                <w:color w:val="000000"/>
              </w:rPr>
            </w:pPr>
            <w:r>
              <w:rPr>
                <w:rFonts w:hint="eastAsia"/>
                <w:b/>
                <w:bCs/>
                <w:color w:val="000000"/>
                <w:lang w:val="en-US" w:eastAsia="zh-CN"/>
              </w:rPr>
              <w:t>水质类别</w:t>
            </w:r>
          </w:p>
        </w:tc>
        <w:tc>
          <w:tcPr>
            <w:tcW w:w="166" w:type="pct"/>
            <w:vMerge w:val="restar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075202CE">
            <w:pPr>
              <w:pStyle w:val="10"/>
              <w:bidi w:val="0"/>
              <w:jc w:val="center"/>
              <w:rPr>
                <w:rFonts w:hint="eastAsia"/>
                <w:b/>
                <w:bCs/>
                <w:color w:val="000000"/>
              </w:rPr>
            </w:pPr>
            <w:r>
              <w:rPr>
                <w:rFonts w:hint="eastAsia"/>
                <w:b/>
                <w:bCs/>
                <w:color w:val="000000"/>
                <w:lang w:val="en-US" w:eastAsia="zh-CN"/>
              </w:rPr>
              <w:t>评</w:t>
            </w:r>
            <w:r>
              <w:rPr>
                <w:b/>
                <w:bCs/>
                <w:color w:val="000000"/>
                <w:lang w:val="en-US" w:eastAsia="zh-CN"/>
              </w:rPr>
              <w:br w:type="textWrapping"/>
            </w:r>
            <w:r>
              <w:rPr>
                <w:rFonts w:hint="eastAsia"/>
                <w:b/>
                <w:bCs/>
                <w:color w:val="000000"/>
                <w:lang w:val="en-US" w:eastAsia="zh-CN"/>
              </w:rPr>
              <w:t>价标准</w:t>
            </w:r>
          </w:p>
        </w:tc>
      </w:tr>
      <w:tr w14:paraId="12605CF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160" w:hRule="atLeast"/>
        </w:trPr>
        <w:tc>
          <w:tcPr>
            <w:tcW w:w="161" w:type="pct"/>
            <w:vMerge w:val="continue"/>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BD4CF49">
            <w:pPr>
              <w:pStyle w:val="10"/>
              <w:bidi w:val="0"/>
              <w:jc w:val="center"/>
              <w:rPr>
                <w:rFonts w:hint="eastAsia"/>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9E7C808">
            <w:pPr>
              <w:pStyle w:val="10"/>
              <w:bidi w:val="0"/>
              <w:jc w:val="center"/>
              <w:rPr>
                <w:rFonts w:hint="eastAsia"/>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4019B9D">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0D77CEC">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A228599">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7444858">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29AC5C7">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CA8B4CC">
            <w:pPr>
              <w:pStyle w:val="10"/>
              <w:bidi w:val="0"/>
              <w:jc w:val="center"/>
              <w:rPr>
                <w:rFonts w:hint="eastAsia"/>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2593E78">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E3BAA99">
            <w:pPr>
              <w:pStyle w:val="10"/>
              <w:bidi w:val="0"/>
              <w:jc w:val="center"/>
              <w:rPr>
                <w:rFonts w:hint="eastAsia"/>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41AAFF4">
            <w:pPr>
              <w:pStyle w:val="10"/>
              <w:bidi w:val="0"/>
              <w:jc w:val="center"/>
              <w:rPr>
                <w:rFonts w:hint="eastAsia"/>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3D833BA">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8149FE6">
            <w:pPr>
              <w:pStyle w:val="10"/>
              <w:bidi w:val="0"/>
              <w:jc w:val="center"/>
              <w:rPr>
                <w:rFonts w:hint="eastAsia"/>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CFBB4D8">
            <w:pPr>
              <w:pStyle w:val="10"/>
              <w:bidi w:val="0"/>
              <w:jc w:val="center"/>
              <w:rPr>
                <w:rFonts w:hint="eastAsia"/>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37A395D">
            <w:pPr>
              <w:pStyle w:val="10"/>
              <w:bidi w:val="0"/>
              <w:jc w:val="center"/>
              <w:rPr>
                <w:rFonts w:hint="eastAsia"/>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039F856">
            <w:pPr>
              <w:pStyle w:val="10"/>
              <w:bidi w:val="0"/>
              <w:jc w:val="center"/>
              <w:rPr>
                <w:rFonts w:hint="eastAsia"/>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21CB91B">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5FDC344">
            <w:pPr>
              <w:pStyle w:val="10"/>
              <w:bidi w:val="0"/>
              <w:jc w:val="center"/>
              <w:rPr>
                <w:rFonts w:hint="eastAsia"/>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BBA0DFF">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C248E6B">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C6C3FA8">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B3DB51B">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1622BFD">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21E1305">
            <w:pPr>
              <w:pStyle w:val="10"/>
              <w:bidi w:val="0"/>
              <w:jc w:val="center"/>
              <w:rPr>
                <w:rFonts w:hint="eastAsia"/>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4CC19DA">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26EE250">
            <w:pPr>
              <w:pStyle w:val="10"/>
              <w:bidi w:val="0"/>
              <w:jc w:val="center"/>
              <w:rPr>
                <w:rFonts w:hint="eastAsia"/>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AB1CC0A">
            <w:pPr>
              <w:pStyle w:val="10"/>
              <w:bidi w:val="0"/>
              <w:jc w:val="center"/>
              <w:rPr>
                <w:rFonts w:hint="eastAsia"/>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126B961">
            <w:pPr>
              <w:pStyle w:val="10"/>
              <w:bidi w:val="0"/>
              <w:jc w:val="center"/>
              <w:rPr>
                <w:rFonts w:hint="eastAsia"/>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7A18CD4">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CA04D9E">
            <w:pPr>
              <w:pStyle w:val="10"/>
              <w:bidi w:val="0"/>
              <w:jc w:val="center"/>
              <w:rPr>
                <w:rFonts w:hint="eastAsia"/>
                <w:color w:val="000000"/>
              </w:rPr>
            </w:pPr>
          </w:p>
        </w:tc>
        <w:tc>
          <w:tcPr>
            <w:tcW w:w="166" w:type="pct"/>
            <w:vMerge w:val="continue"/>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5F6A4940">
            <w:pPr>
              <w:pStyle w:val="10"/>
              <w:bidi w:val="0"/>
              <w:jc w:val="center"/>
              <w:rPr>
                <w:rFonts w:hint="eastAsia"/>
                <w:color w:val="000000"/>
              </w:rPr>
            </w:pPr>
          </w:p>
        </w:tc>
      </w:tr>
      <w:tr w14:paraId="418177E4">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155" w:hRule="atLeast"/>
        </w:trPr>
        <w:tc>
          <w:tcPr>
            <w:tcW w:w="161" w:type="pct"/>
            <w:vMerge w:val="continue"/>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A6962F3">
            <w:pPr>
              <w:pStyle w:val="10"/>
              <w:bidi w:val="0"/>
              <w:jc w:val="center"/>
              <w:rPr>
                <w:rFonts w:hint="eastAsia"/>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79E8FB2">
            <w:pPr>
              <w:pStyle w:val="10"/>
              <w:bidi w:val="0"/>
              <w:jc w:val="center"/>
              <w:rPr>
                <w:rFonts w:hint="eastAsia"/>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C6543A5">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FE53116">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6752E53">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B9C61CC">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A6E1CD7">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09BCD02">
            <w:pPr>
              <w:pStyle w:val="10"/>
              <w:bidi w:val="0"/>
              <w:jc w:val="center"/>
              <w:rPr>
                <w:rFonts w:hint="eastAsia"/>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9A4F20C">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3659628">
            <w:pPr>
              <w:pStyle w:val="10"/>
              <w:bidi w:val="0"/>
              <w:jc w:val="center"/>
              <w:rPr>
                <w:rFonts w:hint="eastAsia"/>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FD8336F">
            <w:pPr>
              <w:pStyle w:val="10"/>
              <w:bidi w:val="0"/>
              <w:jc w:val="center"/>
              <w:rPr>
                <w:rFonts w:hint="eastAsia"/>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C1DCA6B">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11986CF">
            <w:pPr>
              <w:pStyle w:val="10"/>
              <w:bidi w:val="0"/>
              <w:jc w:val="center"/>
              <w:rPr>
                <w:rFonts w:hint="eastAsia"/>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8762342">
            <w:pPr>
              <w:pStyle w:val="10"/>
              <w:bidi w:val="0"/>
              <w:jc w:val="center"/>
              <w:rPr>
                <w:rFonts w:hint="eastAsia"/>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97ACBF3">
            <w:pPr>
              <w:pStyle w:val="10"/>
              <w:bidi w:val="0"/>
              <w:jc w:val="center"/>
              <w:rPr>
                <w:rFonts w:hint="eastAsia"/>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9BD6BE2">
            <w:pPr>
              <w:pStyle w:val="10"/>
              <w:bidi w:val="0"/>
              <w:jc w:val="center"/>
              <w:rPr>
                <w:rFonts w:hint="eastAsia"/>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FB6AF4E">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C8E14C0">
            <w:pPr>
              <w:pStyle w:val="10"/>
              <w:bidi w:val="0"/>
              <w:jc w:val="center"/>
              <w:rPr>
                <w:rFonts w:hint="eastAsia"/>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E9871F1">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DCC57B4">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F30D644">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4EA07D1">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FD2AA46">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216E6A1">
            <w:pPr>
              <w:pStyle w:val="10"/>
              <w:bidi w:val="0"/>
              <w:jc w:val="center"/>
              <w:rPr>
                <w:rFonts w:hint="eastAsia"/>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15DE41F">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F41AEA3">
            <w:pPr>
              <w:pStyle w:val="10"/>
              <w:bidi w:val="0"/>
              <w:jc w:val="center"/>
              <w:rPr>
                <w:rFonts w:hint="eastAsia"/>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5140533">
            <w:pPr>
              <w:pStyle w:val="10"/>
              <w:bidi w:val="0"/>
              <w:jc w:val="center"/>
              <w:rPr>
                <w:rFonts w:hint="eastAsia"/>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29A8614">
            <w:pPr>
              <w:pStyle w:val="10"/>
              <w:bidi w:val="0"/>
              <w:jc w:val="center"/>
              <w:rPr>
                <w:rFonts w:hint="eastAsia"/>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D48CFA9">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18E7158">
            <w:pPr>
              <w:pStyle w:val="10"/>
              <w:bidi w:val="0"/>
              <w:jc w:val="center"/>
              <w:rPr>
                <w:rFonts w:hint="eastAsia"/>
                <w:color w:val="000000"/>
              </w:rPr>
            </w:pPr>
          </w:p>
        </w:tc>
        <w:tc>
          <w:tcPr>
            <w:tcW w:w="166" w:type="pct"/>
            <w:vMerge w:val="continue"/>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58A88557">
            <w:pPr>
              <w:pStyle w:val="10"/>
              <w:bidi w:val="0"/>
              <w:jc w:val="center"/>
              <w:rPr>
                <w:rFonts w:hint="eastAsia"/>
                <w:color w:val="000000"/>
              </w:rPr>
            </w:pPr>
          </w:p>
        </w:tc>
      </w:tr>
      <w:tr w14:paraId="6A28C6A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00" w:hRule="atLeast"/>
        </w:trPr>
        <w:tc>
          <w:tcPr>
            <w:tcW w:w="161" w:type="pct"/>
            <w:vMerge w:val="continue"/>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64118E7">
            <w:pPr>
              <w:pStyle w:val="10"/>
              <w:bidi w:val="0"/>
              <w:jc w:val="center"/>
              <w:rPr>
                <w:rFonts w:hint="eastAsia"/>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2FC8800">
            <w:pPr>
              <w:pStyle w:val="10"/>
              <w:bidi w:val="0"/>
              <w:jc w:val="center"/>
              <w:rPr>
                <w:rFonts w:hint="eastAsia"/>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4935C0A">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58CFDDF">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02AAB79">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F1C8EB3">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64A33C5">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FF6AEB1">
            <w:pPr>
              <w:pStyle w:val="10"/>
              <w:bidi w:val="0"/>
              <w:jc w:val="center"/>
              <w:rPr>
                <w:rFonts w:hint="eastAsia"/>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AEEE3BE">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4F373F9">
            <w:pPr>
              <w:pStyle w:val="10"/>
              <w:bidi w:val="0"/>
              <w:jc w:val="center"/>
              <w:rPr>
                <w:rFonts w:hint="eastAsia"/>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76CEBFA">
            <w:pPr>
              <w:pStyle w:val="10"/>
              <w:bidi w:val="0"/>
              <w:jc w:val="center"/>
              <w:rPr>
                <w:rFonts w:hint="eastAsia"/>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C6C95C6">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ECC8396">
            <w:pPr>
              <w:pStyle w:val="10"/>
              <w:bidi w:val="0"/>
              <w:jc w:val="center"/>
              <w:rPr>
                <w:rFonts w:hint="eastAsia"/>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8EE7971">
            <w:pPr>
              <w:pStyle w:val="10"/>
              <w:bidi w:val="0"/>
              <w:jc w:val="center"/>
              <w:rPr>
                <w:rFonts w:hint="eastAsia"/>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6BDC416">
            <w:pPr>
              <w:pStyle w:val="10"/>
              <w:bidi w:val="0"/>
              <w:jc w:val="center"/>
              <w:rPr>
                <w:rFonts w:hint="eastAsia"/>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2B3BDDE">
            <w:pPr>
              <w:pStyle w:val="10"/>
              <w:bidi w:val="0"/>
              <w:jc w:val="center"/>
              <w:rPr>
                <w:rFonts w:hint="eastAsia"/>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D37DFDD">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3625B48">
            <w:pPr>
              <w:pStyle w:val="10"/>
              <w:bidi w:val="0"/>
              <w:jc w:val="center"/>
              <w:rPr>
                <w:rFonts w:hint="eastAsia"/>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8A24747">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9B898B5">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B8B359A">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D01E075">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A09DB3C">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CE60E86">
            <w:pPr>
              <w:pStyle w:val="10"/>
              <w:bidi w:val="0"/>
              <w:jc w:val="center"/>
              <w:rPr>
                <w:rFonts w:hint="eastAsia"/>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4155067">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BB89AC4">
            <w:pPr>
              <w:pStyle w:val="10"/>
              <w:bidi w:val="0"/>
              <w:jc w:val="center"/>
              <w:rPr>
                <w:rFonts w:hint="eastAsia"/>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5ADF9C4">
            <w:pPr>
              <w:pStyle w:val="10"/>
              <w:bidi w:val="0"/>
              <w:jc w:val="center"/>
              <w:rPr>
                <w:rFonts w:hint="eastAsia"/>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FB3B247">
            <w:pPr>
              <w:pStyle w:val="10"/>
              <w:bidi w:val="0"/>
              <w:jc w:val="center"/>
              <w:rPr>
                <w:rFonts w:hint="eastAsia"/>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BD9B8F0">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A7434FF">
            <w:pPr>
              <w:pStyle w:val="10"/>
              <w:bidi w:val="0"/>
              <w:jc w:val="center"/>
              <w:rPr>
                <w:rFonts w:hint="eastAsia"/>
                <w:color w:val="000000"/>
              </w:rPr>
            </w:pPr>
          </w:p>
        </w:tc>
        <w:tc>
          <w:tcPr>
            <w:tcW w:w="166" w:type="pct"/>
            <w:vMerge w:val="continue"/>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409CBC24">
            <w:pPr>
              <w:pStyle w:val="10"/>
              <w:bidi w:val="0"/>
              <w:jc w:val="center"/>
              <w:rPr>
                <w:rFonts w:hint="eastAsia"/>
                <w:color w:val="000000"/>
              </w:rPr>
            </w:pPr>
          </w:p>
        </w:tc>
      </w:tr>
      <w:tr w14:paraId="1599949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825" w:hRule="atLeast"/>
        </w:trPr>
        <w:tc>
          <w:tcPr>
            <w:tcW w:w="161" w:type="pct"/>
            <w:vMerge w:val="restar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20CAD90">
            <w:pPr>
              <w:pStyle w:val="10"/>
              <w:bidi w:val="0"/>
              <w:jc w:val="center"/>
              <w:rPr>
                <w:rFonts w:hint="eastAsia"/>
                <w:color w:val="000000"/>
              </w:rPr>
            </w:pPr>
            <w:r>
              <w:rPr>
                <w:rFonts w:hint="eastAsia"/>
                <w:color w:val="000000"/>
                <w:lang w:val="en-US" w:eastAsia="zh-CN"/>
              </w:rPr>
              <w:t>塘坪</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15BB120">
            <w:pPr>
              <w:pStyle w:val="10"/>
              <w:bidi w:val="0"/>
              <w:jc w:val="center"/>
              <w:rPr>
                <w:rFonts w:hint="eastAsia"/>
                <w:color w:val="000000"/>
              </w:rPr>
            </w:pPr>
            <w:r>
              <w:rPr>
                <w:rFonts w:hint="eastAsia"/>
                <w:color w:val="000000"/>
                <w:lang w:val="en-US" w:eastAsia="zh-CN"/>
              </w:rPr>
              <w:t>最大值</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D38ACCF">
            <w:pPr>
              <w:pStyle w:val="10"/>
              <w:bidi w:val="0"/>
              <w:jc w:val="center"/>
              <w:rPr>
                <w:rFonts w:hint="default"/>
                <w:color w:val="000000"/>
              </w:rPr>
            </w:pPr>
            <w:r>
              <w:rPr>
                <w:rFonts w:hint="default"/>
                <w:color w:val="000000"/>
                <w:lang w:val="en-US" w:eastAsia="zh-CN"/>
              </w:rPr>
              <w:t>8.06</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848E73D">
            <w:pPr>
              <w:pStyle w:val="10"/>
              <w:bidi w:val="0"/>
              <w:jc w:val="center"/>
              <w:rPr>
                <w:rFonts w:hint="default"/>
                <w:color w:val="000000"/>
              </w:rPr>
            </w:pPr>
            <w:r>
              <w:rPr>
                <w:rFonts w:hint="default"/>
                <w:color w:val="000000"/>
                <w:lang w:val="en-US" w:eastAsia="zh-CN"/>
              </w:rPr>
              <w:t>10.8</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5C63B3B">
            <w:pPr>
              <w:pStyle w:val="10"/>
              <w:bidi w:val="0"/>
              <w:jc w:val="center"/>
              <w:rPr>
                <w:rFonts w:hint="default"/>
                <w:color w:val="000000"/>
              </w:rPr>
            </w:pPr>
            <w:r>
              <w:rPr>
                <w:rFonts w:hint="default"/>
                <w:color w:val="000000"/>
                <w:lang w:val="en-US" w:eastAsia="zh-CN"/>
              </w:rPr>
              <w:t>2.0</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7382C3C">
            <w:pPr>
              <w:pStyle w:val="10"/>
              <w:bidi w:val="0"/>
              <w:jc w:val="center"/>
              <w:rPr>
                <w:rFonts w:hint="default"/>
                <w:color w:val="000000"/>
              </w:rPr>
            </w:pPr>
            <w:r>
              <w:rPr>
                <w:rFonts w:hint="default"/>
                <w:color w:val="000000"/>
                <w:lang w:val="en-US" w:eastAsia="zh-CN"/>
              </w:rPr>
              <w:t>9.1</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B083C66">
            <w:pPr>
              <w:pStyle w:val="10"/>
              <w:bidi w:val="0"/>
              <w:jc w:val="center"/>
              <w:rPr>
                <w:rFonts w:hint="default"/>
                <w:color w:val="000000"/>
              </w:rPr>
            </w:pPr>
            <w:r>
              <w:rPr>
                <w:rFonts w:hint="default"/>
                <w:color w:val="000000"/>
                <w:lang w:val="en-US" w:eastAsia="zh-CN"/>
              </w:rPr>
              <w:t>2.5</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325CAE9">
            <w:pPr>
              <w:pStyle w:val="10"/>
              <w:bidi w:val="0"/>
              <w:jc w:val="center"/>
              <w:rPr>
                <w:rFonts w:hint="default"/>
                <w:color w:val="000000"/>
              </w:rPr>
            </w:pPr>
            <w:r>
              <w:rPr>
                <w:rFonts w:hint="default"/>
                <w:color w:val="000000"/>
                <w:lang w:val="en-US" w:eastAsia="zh-CN"/>
              </w:rPr>
              <w:t>0.127</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C091C21">
            <w:pPr>
              <w:pStyle w:val="10"/>
              <w:bidi w:val="0"/>
              <w:jc w:val="center"/>
              <w:rPr>
                <w:rFonts w:hint="default"/>
                <w:color w:val="000000"/>
              </w:rPr>
            </w:pPr>
            <w:r>
              <w:rPr>
                <w:rFonts w:hint="default"/>
                <w:color w:val="000000"/>
                <w:lang w:val="en-US" w:eastAsia="zh-CN"/>
              </w:rPr>
              <w:t>0.018</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BE0212D">
            <w:pPr>
              <w:pStyle w:val="10"/>
              <w:bidi w:val="0"/>
              <w:jc w:val="center"/>
              <w:rPr>
                <w:rFonts w:hint="default"/>
                <w:color w:val="000000"/>
              </w:rPr>
            </w:pPr>
            <w:r>
              <w:rPr>
                <w:rFonts w:hint="default"/>
                <w:color w:val="000000"/>
                <w:lang w:val="en-US" w:eastAsia="zh-CN"/>
              </w:rPr>
              <w:t>0.002</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8EFE73F">
            <w:pPr>
              <w:pStyle w:val="10"/>
              <w:bidi w:val="0"/>
              <w:jc w:val="center"/>
              <w:rPr>
                <w:rFonts w:hint="default"/>
                <w:color w:val="000000"/>
              </w:rPr>
            </w:pPr>
            <w:r>
              <w:rPr>
                <w:rFonts w:hint="default"/>
                <w:color w:val="000000"/>
                <w:lang w:val="en-US" w:eastAsia="zh-CN"/>
              </w:rPr>
              <w:t>0.008</w:t>
            </w:r>
            <w:r>
              <w:rPr>
                <w:rFonts w:hint="default"/>
                <w:color w:val="000000"/>
                <w:lang w:val="en-US" w:eastAsia="zh-CN"/>
              </w:rPr>
              <w:br w:type="textWrapping"/>
            </w: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16ACE92">
            <w:pPr>
              <w:pStyle w:val="10"/>
              <w:bidi w:val="0"/>
              <w:jc w:val="center"/>
              <w:rPr>
                <w:rFonts w:hint="default"/>
                <w:color w:val="000000"/>
              </w:rPr>
            </w:pPr>
            <w:r>
              <w:rPr>
                <w:rFonts w:hint="default"/>
                <w:color w:val="000000"/>
                <w:lang w:val="en-US" w:eastAsia="zh-CN"/>
              </w:rPr>
              <w:t>0.39</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0B69B15">
            <w:pPr>
              <w:pStyle w:val="10"/>
              <w:bidi w:val="0"/>
              <w:jc w:val="center"/>
              <w:rPr>
                <w:rFonts w:hint="default"/>
                <w:color w:val="000000"/>
              </w:rPr>
            </w:pPr>
            <w:r>
              <w:rPr>
                <w:rFonts w:hint="default"/>
                <w:color w:val="000000"/>
                <w:lang w:val="en-US" w:eastAsia="zh-CN"/>
              </w:rPr>
              <w:t>0.00004</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ACA4254">
            <w:pPr>
              <w:pStyle w:val="10"/>
              <w:bidi w:val="0"/>
              <w:jc w:val="center"/>
              <w:rPr>
                <w:rFonts w:hint="default"/>
                <w:color w:val="000000"/>
              </w:rPr>
            </w:pPr>
            <w:r>
              <w:rPr>
                <w:rFonts w:hint="default"/>
                <w:color w:val="000000"/>
                <w:lang w:val="en-US" w:eastAsia="zh-CN"/>
              </w:rPr>
              <w:t>0.00001</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3124EAE">
            <w:pPr>
              <w:pStyle w:val="10"/>
              <w:bidi w:val="0"/>
              <w:jc w:val="center"/>
              <w:rPr>
                <w:rFonts w:hint="default"/>
                <w:color w:val="000000"/>
              </w:rPr>
            </w:pPr>
            <w:r>
              <w:rPr>
                <w:rFonts w:hint="default"/>
                <w:color w:val="000000"/>
                <w:lang w:val="en-US" w:eastAsia="zh-CN"/>
              </w:rPr>
              <w:t>0.00001</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30CC76E">
            <w:pPr>
              <w:pStyle w:val="10"/>
              <w:bidi w:val="0"/>
              <w:jc w:val="center"/>
              <w:rPr>
                <w:rFonts w:hint="default"/>
                <w:color w:val="000000"/>
              </w:rPr>
            </w:pPr>
            <w:r>
              <w:rPr>
                <w:rFonts w:hint="default"/>
                <w:color w:val="000000"/>
                <w:lang w:val="en-US" w:eastAsia="zh-CN"/>
              </w:rPr>
              <w:t>0.002</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6AE180B">
            <w:pPr>
              <w:pStyle w:val="10"/>
              <w:bidi w:val="0"/>
              <w:jc w:val="center"/>
              <w:rPr>
                <w:rFonts w:hint="default"/>
                <w:color w:val="000000"/>
              </w:rPr>
            </w:pPr>
            <w:r>
              <w:rPr>
                <w:rFonts w:hint="default"/>
                <w:color w:val="000000"/>
                <w:lang w:val="en-US" w:eastAsia="zh-CN"/>
              </w:rPr>
              <w:t>0.010</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A22F558">
            <w:pPr>
              <w:pStyle w:val="10"/>
              <w:bidi w:val="0"/>
              <w:jc w:val="center"/>
              <w:rPr>
                <w:rFonts w:hint="default"/>
                <w:color w:val="000000"/>
              </w:rPr>
            </w:pPr>
            <w:r>
              <w:rPr>
                <w:rFonts w:hint="default"/>
                <w:color w:val="000000"/>
                <w:lang w:val="en-US" w:eastAsia="zh-CN"/>
              </w:rPr>
              <w:t>0.0005</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1FCBE69">
            <w:pPr>
              <w:pStyle w:val="10"/>
              <w:bidi w:val="0"/>
              <w:jc w:val="center"/>
              <w:rPr>
                <w:rFonts w:hint="default"/>
                <w:color w:val="000000"/>
              </w:rPr>
            </w:pPr>
            <w:r>
              <w:rPr>
                <w:rFonts w:hint="default"/>
                <w:color w:val="000000"/>
                <w:lang w:val="en-US" w:eastAsia="zh-CN"/>
              </w:rPr>
              <w:t>0.002</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FF6A218">
            <w:pPr>
              <w:pStyle w:val="10"/>
              <w:bidi w:val="0"/>
              <w:jc w:val="center"/>
              <w:rPr>
                <w:rFonts w:hint="default"/>
                <w:color w:val="000000"/>
              </w:rPr>
            </w:pPr>
            <w:r>
              <w:rPr>
                <w:rFonts w:hint="default"/>
                <w:color w:val="000000"/>
                <w:lang w:val="en-US" w:eastAsia="zh-CN"/>
              </w:rPr>
              <w:t>0.0016</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971EC99">
            <w:pPr>
              <w:pStyle w:val="10"/>
              <w:bidi w:val="0"/>
              <w:jc w:val="center"/>
              <w:rPr>
                <w:rFonts w:hint="default"/>
                <w:color w:val="000000"/>
              </w:rPr>
            </w:pPr>
            <w:r>
              <w:rPr>
                <w:rFonts w:hint="default"/>
                <w:color w:val="000000"/>
                <w:lang w:val="en-US" w:eastAsia="zh-CN"/>
              </w:rPr>
              <w:t>0.02</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D623871">
            <w:pPr>
              <w:pStyle w:val="10"/>
              <w:bidi w:val="0"/>
              <w:jc w:val="center"/>
              <w:rPr>
                <w:rFonts w:hint="default"/>
                <w:color w:val="000000"/>
              </w:rPr>
            </w:pPr>
            <w:r>
              <w:rPr>
                <w:rFonts w:hint="default"/>
                <w:color w:val="000000"/>
                <w:lang w:val="en-US" w:eastAsia="zh-CN"/>
              </w:rPr>
              <w:t>0.076</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280B57B">
            <w:pPr>
              <w:pStyle w:val="10"/>
              <w:bidi w:val="0"/>
              <w:jc w:val="center"/>
              <w:rPr>
                <w:rFonts w:hint="default"/>
                <w:color w:val="000000"/>
              </w:rPr>
            </w:pPr>
            <w:r>
              <w:rPr>
                <w:rFonts w:hint="default"/>
                <w:color w:val="000000"/>
                <w:lang w:val="en-US" w:eastAsia="zh-CN"/>
              </w:rPr>
              <w:t>0.022</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C66AC8E">
            <w:pPr>
              <w:pStyle w:val="10"/>
              <w:bidi w:val="0"/>
              <w:jc w:val="center"/>
              <w:rPr>
                <w:rFonts w:hint="default"/>
                <w:color w:val="000000"/>
              </w:rPr>
            </w:pPr>
            <w:r>
              <w:rPr>
                <w:rFonts w:hint="default"/>
                <w:color w:val="000000"/>
                <w:lang w:val="en-US" w:eastAsia="zh-CN"/>
              </w:rPr>
              <w:t>3.75</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34F30A8">
            <w:pPr>
              <w:pStyle w:val="10"/>
              <w:bidi w:val="0"/>
              <w:jc w:val="center"/>
              <w:rPr>
                <w:rFonts w:hint="default"/>
                <w:color w:val="000000"/>
              </w:rPr>
            </w:pPr>
            <w:r>
              <w:rPr>
                <w:rFonts w:hint="default"/>
                <w:color w:val="000000"/>
                <w:lang w:val="en-US" w:eastAsia="zh-CN"/>
              </w:rPr>
              <w:t>1.02</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3CF4971">
            <w:pPr>
              <w:pStyle w:val="10"/>
              <w:bidi w:val="0"/>
              <w:jc w:val="center"/>
              <w:rPr>
                <w:rFonts w:hint="default"/>
                <w:color w:val="000000"/>
              </w:rPr>
            </w:pPr>
            <w:r>
              <w:rPr>
                <w:rFonts w:hint="default"/>
                <w:color w:val="000000"/>
                <w:lang w:val="en-US" w:eastAsia="zh-CN"/>
              </w:rPr>
              <w:t>0.48</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547B618">
            <w:pPr>
              <w:pStyle w:val="10"/>
              <w:bidi w:val="0"/>
              <w:jc w:val="center"/>
              <w:rPr>
                <w:rFonts w:hint="default"/>
                <w:color w:val="000000"/>
              </w:rPr>
            </w:pPr>
            <w:r>
              <w:rPr>
                <w:rFonts w:hint="default"/>
                <w:color w:val="000000"/>
                <w:lang w:val="en-US" w:eastAsia="zh-CN"/>
              </w:rPr>
              <w:t>0.100</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ABE652C">
            <w:pPr>
              <w:pStyle w:val="10"/>
              <w:bidi w:val="0"/>
              <w:jc w:val="center"/>
              <w:rPr>
                <w:rFonts w:hint="default"/>
                <w:color w:val="000000"/>
              </w:rPr>
            </w:pPr>
            <w:r>
              <w:rPr>
                <w:rFonts w:hint="default"/>
                <w:color w:val="000000"/>
                <w:lang w:val="en-US" w:eastAsia="zh-CN"/>
              </w:rPr>
              <w:t>0.003</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595A3B0">
            <w:pPr>
              <w:pStyle w:val="10"/>
              <w:bidi w:val="0"/>
              <w:jc w:val="center"/>
              <w:rPr>
                <w:rFonts w:hint="default"/>
                <w:color w:val="000000"/>
              </w:rPr>
            </w:pP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F2E7618">
            <w:pPr>
              <w:pStyle w:val="10"/>
              <w:bidi w:val="0"/>
              <w:jc w:val="center"/>
              <w:rPr>
                <w:rFonts w:hint="default"/>
                <w:color w:val="000000"/>
              </w:rPr>
            </w:pPr>
          </w:p>
        </w:tc>
        <w:tc>
          <w:tcPr>
            <w:tcW w:w="16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060F026C">
            <w:pPr>
              <w:pStyle w:val="10"/>
              <w:bidi w:val="0"/>
              <w:jc w:val="center"/>
              <w:rPr>
                <w:rFonts w:hint="default"/>
                <w:color w:val="000000"/>
              </w:rPr>
            </w:pPr>
          </w:p>
        </w:tc>
      </w:tr>
      <w:tr w14:paraId="118E2BE2">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555" w:hRule="atLeast"/>
        </w:trPr>
        <w:tc>
          <w:tcPr>
            <w:tcW w:w="161" w:type="pct"/>
            <w:vMerge w:val="continue"/>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17F5598">
            <w:pPr>
              <w:pStyle w:val="10"/>
              <w:bidi w:val="0"/>
              <w:jc w:val="center"/>
              <w:rPr>
                <w:rFonts w:hint="eastAsia"/>
                <w:color w:val="000000"/>
              </w:rPr>
            </w:pP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D2F5F4E">
            <w:pPr>
              <w:pStyle w:val="10"/>
              <w:bidi w:val="0"/>
              <w:jc w:val="center"/>
              <w:rPr>
                <w:rFonts w:hint="eastAsia"/>
                <w:color w:val="000000"/>
              </w:rPr>
            </w:pPr>
            <w:r>
              <w:rPr>
                <w:rFonts w:hint="eastAsia"/>
                <w:color w:val="000000"/>
                <w:lang w:val="en-US" w:eastAsia="zh-CN"/>
              </w:rPr>
              <w:t>最小值</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90C4494">
            <w:pPr>
              <w:pStyle w:val="10"/>
              <w:bidi w:val="0"/>
              <w:jc w:val="center"/>
              <w:rPr>
                <w:rFonts w:hint="default"/>
                <w:color w:val="000000"/>
              </w:rPr>
            </w:pPr>
            <w:r>
              <w:rPr>
                <w:rFonts w:hint="default"/>
                <w:color w:val="000000"/>
                <w:lang w:val="en-US" w:eastAsia="zh-CN"/>
              </w:rPr>
              <w:t>7.08</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FA4A813">
            <w:pPr>
              <w:pStyle w:val="10"/>
              <w:bidi w:val="0"/>
              <w:jc w:val="center"/>
              <w:rPr>
                <w:rFonts w:hint="default"/>
                <w:color w:val="000000"/>
              </w:rPr>
            </w:pPr>
            <w:r>
              <w:rPr>
                <w:rFonts w:hint="default"/>
                <w:color w:val="000000"/>
                <w:lang w:val="en-US" w:eastAsia="zh-CN"/>
              </w:rPr>
              <w:t>7.2</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62C17CA">
            <w:pPr>
              <w:pStyle w:val="10"/>
              <w:bidi w:val="0"/>
              <w:jc w:val="center"/>
              <w:rPr>
                <w:rFonts w:hint="default"/>
                <w:color w:val="000000"/>
              </w:rPr>
            </w:pPr>
            <w:r>
              <w:rPr>
                <w:rFonts w:hint="default"/>
                <w:color w:val="000000"/>
                <w:lang w:val="en-US" w:eastAsia="zh-CN"/>
              </w:rPr>
              <w:t>1.5</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0A8F1DE">
            <w:pPr>
              <w:pStyle w:val="10"/>
              <w:bidi w:val="0"/>
              <w:jc w:val="center"/>
              <w:rPr>
                <w:rFonts w:hint="default"/>
                <w:color w:val="000000"/>
              </w:rPr>
            </w:pPr>
            <w:r>
              <w:rPr>
                <w:rFonts w:hint="default"/>
                <w:color w:val="000000"/>
                <w:lang w:val="en-US" w:eastAsia="zh-CN"/>
              </w:rPr>
              <w:t>4.3</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807C68A">
            <w:pPr>
              <w:pStyle w:val="10"/>
              <w:bidi w:val="0"/>
              <w:jc w:val="center"/>
              <w:rPr>
                <w:rFonts w:hint="default"/>
                <w:color w:val="000000"/>
              </w:rPr>
            </w:pPr>
            <w:r>
              <w:rPr>
                <w:rFonts w:hint="default"/>
                <w:color w:val="000000"/>
                <w:lang w:val="en-US" w:eastAsia="zh-CN"/>
              </w:rPr>
              <w:t>2.0</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1CADC3B">
            <w:pPr>
              <w:pStyle w:val="10"/>
              <w:bidi w:val="0"/>
              <w:jc w:val="center"/>
              <w:rPr>
                <w:rFonts w:hint="default"/>
                <w:color w:val="000000"/>
              </w:rPr>
            </w:pPr>
            <w:r>
              <w:rPr>
                <w:rFonts w:hint="default"/>
                <w:color w:val="000000"/>
                <w:lang w:val="en-US" w:eastAsia="zh-CN"/>
              </w:rPr>
              <w:t>0.067</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163D066">
            <w:pPr>
              <w:pStyle w:val="10"/>
              <w:bidi w:val="0"/>
              <w:jc w:val="center"/>
              <w:rPr>
                <w:rFonts w:hint="default"/>
                <w:color w:val="000000"/>
              </w:rPr>
            </w:pPr>
            <w:r>
              <w:rPr>
                <w:rFonts w:hint="default"/>
                <w:color w:val="000000"/>
                <w:lang w:val="en-US" w:eastAsia="zh-CN"/>
              </w:rPr>
              <w:t>0.005</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E9CECC4">
            <w:pPr>
              <w:pStyle w:val="10"/>
              <w:bidi w:val="0"/>
              <w:jc w:val="center"/>
              <w:rPr>
                <w:rFonts w:hint="default"/>
                <w:color w:val="000000"/>
              </w:rPr>
            </w:pPr>
            <w:r>
              <w:rPr>
                <w:rFonts w:hint="default"/>
                <w:color w:val="000000"/>
                <w:lang w:val="en-US" w:eastAsia="zh-CN"/>
              </w:rPr>
              <w:t>0.002</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259EC40">
            <w:pPr>
              <w:pStyle w:val="10"/>
              <w:bidi w:val="0"/>
              <w:jc w:val="center"/>
              <w:rPr>
                <w:rFonts w:hint="default"/>
                <w:color w:val="000000"/>
              </w:rPr>
            </w:pPr>
            <w:r>
              <w:rPr>
                <w:rFonts w:hint="default"/>
                <w:color w:val="000000"/>
                <w:lang w:val="en-US" w:eastAsia="zh-CN"/>
              </w:rPr>
              <w:t>0.0005</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9ABAAC2">
            <w:pPr>
              <w:pStyle w:val="10"/>
              <w:bidi w:val="0"/>
              <w:jc w:val="center"/>
              <w:rPr>
                <w:rFonts w:hint="default"/>
                <w:color w:val="000000"/>
              </w:rPr>
            </w:pPr>
            <w:r>
              <w:rPr>
                <w:rFonts w:hint="default"/>
                <w:color w:val="000000"/>
                <w:lang w:val="en-US" w:eastAsia="zh-CN"/>
              </w:rPr>
              <w:t>0.12</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ED9C004">
            <w:pPr>
              <w:pStyle w:val="10"/>
              <w:bidi w:val="0"/>
              <w:jc w:val="center"/>
              <w:rPr>
                <w:rFonts w:hint="default"/>
                <w:color w:val="000000"/>
              </w:rPr>
            </w:pPr>
            <w:r>
              <w:rPr>
                <w:rFonts w:hint="default"/>
                <w:color w:val="000000"/>
                <w:lang w:val="en-US" w:eastAsia="zh-CN"/>
              </w:rPr>
              <w:t>0.00004</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D1A2AE3">
            <w:pPr>
              <w:pStyle w:val="10"/>
              <w:bidi w:val="0"/>
              <w:jc w:val="center"/>
              <w:rPr>
                <w:rFonts w:hint="default"/>
                <w:color w:val="000000"/>
              </w:rPr>
            </w:pPr>
            <w:r>
              <w:rPr>
                <w:rFonts w:hint="default"/>
                <w:color w:val="000000"/>
                <w:lang w:val="en-US" w:eastAsia="zh-CN"/>
              </w:rPr>
              <w:t>0.00001</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9470F6D">
            <w:pPr>
              <w:pStyle w:val="10"/>
              <w:bidi w:val="0"/>
              <w:jc w:val="center"/>
              <w:rPr>
                <w:rFonts w:hint="default"/>
                <w:color w:val="000000"/>
              </w:rPr>
            </w:pPr>
            <w:r>
              <w:rPr>
                <w:rFonts w:hint="default"/>
                <w:color w:val="000000"/>
                <w:lang w:val="en-US" w:eastAsia="zh-CN"/>
              </w:rPr>
              <w:t>0.00001</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5C94EF7">
            <w:pPr>
              <w:pStyle w:val="10"/>
              <w:bidi w:val="0"/>
              <w:jc w:val="center"/>
              <w:rPr>
                <w:rFonts w:hint="default"/>
                <w:color w:val="000000"/>
              </w:rPr>
            </w:pPr>
            <w:r>
              <w:rPr>
                <w:rFonts w:hint="default"/>
                <w:color w:val="000000"/>
                <w:lang w:val="en-US" w:eastAsia="zh-CN"/>
              </w:rPr>
              <w:t>0.002</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4B9F041">
            <w:pPr>
              <w:pStyle w:val="10"/>
              <w:bidi w:val="0"/>
              <w:jc w:val="center"/>
              <w:rPr>
                <w:rFonts w:hint="default"/>
                <w:color w:val="000000"/>
              </w:rPr>
            </w:pPr>
            <w:r>
              <w:rPr>
                <w:rFonts w:hint="default"/>
                <w:color w:val="000000"/>
                <w:lang w:val="en-US" w:eastAsia="zh-CN"/>
              </w:rPr>
              <w:t>0.006</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D824FE8">
            <w:pPr>
              <w:pStyle w:val="10"/>
              <w:bidi w:val="0"/>
              <w:jc w:val="center"/>
              <w:rPr>
                <w:rFonts w:hint="default"/>
                <w:color w:val="000000"/>
              </w:rPr>
            </w:pPr>
            <w:r>
              <w:rPr>
                <w:rFonts w:hint="default"/>
                <w:color w:val="000000"/>
                <w:lang w:val="en-US" w:eastAsia="zh-CN"/>
              </w:rPr>
              <w:t>0.0005</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606D0BF">
            <w:pPr>
              <w:pStyle w:val="10"/>
              <w:bidi w:val="0"/>
              <w:jc w:val="center"/>
              <w:rPr>
                <w:rFonts w:hint="default"/>
                <w:color w:val="000000"/>
              </w:rPr>
            </w:pPr>
            <w:r>
              <w:rPr>
                <w:rFonts w:hint="default"/>
                <w:color w:val="000000"/>
                <w:lang w:val="en-US" w:eastAsia="zh-CN"/>
              </w:rPr>
              <w:t>0.002</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EE430B9">
            <w:pPr>
              <w:pStyle w:val="10"/>
              <w:bidi w:val="0"/>
              <w:jc w:val="center"/>
              <w:rPr>
                <w:rFonts w:hint="default"/>
                <w:color w:val="000000"/>
              </w:rPr>
            </w:pPr>
            <w:r>
              <w:rPr>
                <w:rFonts w:hint="default"/>
                <w:color w:val="000000"/>
                <w:lang w:val="en-US" w:eastAsia="zh-CN"/>
              </w:rPr>
              <w:t>0.0005</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142BEAF">
            <w:pPr>
              <w:pStyle w:val="10"/>
              <w:bidi w:val="0"/>
              <w:jc w:val="center"/>
              <w:rPr>
                <w:rFonts w:hint="default"/>
                <w:color w:val="000000"/>
              </w:rPr>
            </w:pPr>
            <w:r>
              <w:rPr>
                <w:rFonts w:hint="default"/>
                <w:color w:val="000000"/>
                <w:lang w:val="en-US" w:eastAsia="zh-CN"/>
              </w:rPr>
              <w:t>0.02</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045B00F">
            <w:pPr>
              <w:pStyle w:val="10"/>
              <w:bidi w:val="0"/>
              <w:jc w:val="center"/>
              <w:rPr>
                <w:rFonts w:hint="default"/>
                <w:color w:val="000000"/>
              </w:rPr>
            </w:pPr>
            <w:r>
              <w:rPr>
                <w:rFonts w:hint="default"/>
                <w:color w:val="000000"/>
                <w:lang w:val="en-US" w:eastAsia="zh-CN"/>
              </w:rPr>
              <w:t>0.025</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9419B9B">
            <w:pPr>
              <w:pStyle w:val="10"/>
              <w:bidi w:val="0"/>
              <w:jc w:val="center"/>
              <w:rPr>
                <w:rFonts w:hint="default"/>
                <w:color w:val="000000"/>
              </w:rPr>
            </w:pPr>
            <w:r>
              <w:rPr>
                <w:rFonts w:hint="default"/>
                <w:color w:val="000000"/>
                <w:lang w:val="en-US" w:eastAsia="zh-CN"/>
              </w:rPr>
              <w:t>0.0025</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C31D71D">
            <w:pPr>
              <w:pStyle w:val="10"/>
              <w:bidi w:val="0"/>
              <w:jc w:val="center"/>
              <w:rPr>
                <w:rFonts w:hint="default"/>
                <w:color w:val="000000"/>
              </w:rPr>
            </w:pPr>
            <w:r>
              <w:rPr>
                <w:rFonts w:hint="default"/>
                <w:color w:val="000000"/>
                <w:lang w:val="en-US" w:eastAsia="zh-CN"/>
              </w:rPr>
              <w:t>3.19</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984A541">
            <w:pPr>
              <w:pStyle w:val="10"/>
              <w:bidi w:val="0"/>
              <w:jc w:val="center"/>
              <w:rPr>
                <w:rFonts w:hint="default"/>
                <w:color w:val="000000"/>
              </w:rPr>
            </w:pPr>
            <w:r>
              <w:rPr>
                <w:rFonts w:hint="default"/>
                <w:color w:val="000000"/>
                <w:lang w:val="en-US" w:eastAsia="zh-CN"/>
              </w:rPr>
              <w:t>0.50</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46F9984">
            <w:pPr>
              <w:pStyle w:val="10"/>
              <w:bidi w:val="0"/>
              <w:jc w:val="center"/>
              <w:rPr>
                <w:rFonts w:hint="default"/>
                <w:color w:val="000000"/>
              </w:rPr>
            </w:pPr>
            <w:r>
              <w:rPr>
                <w:rFonts w:hint="default"/>
                <w:color w:val="000000"/>
                <w:lang w:val="en-US" w:eastAsia="zh-CN"/>
              </w:rPr>
              <w:t>0.02</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34511B8">
            <w:pPr>
              <w:pStyle w:val="10"/>
              <w:bidi w:val="0"/>
              <w:jc w:val="center"/>
              <w:rPr>
                <w:rFonts w:hint="default"/>
                <w:color w:val="000000"/>
              </w:rPr>
            </w:pPr>
            <w:r>
              <w:rPr>
                <w:rFonts w:hint="default"/>
                <w:color w:val="000000"/>
                <w:lang w:val="en-US" w:eastAsia="zh-CN"/>
              </w:rPr>
              <w:t>0.003</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0471403">
            <w:pPr>
              <w:pStyle w:val="10"/>
              <w:bidi w:val="0"/>
              <w:jc w:val="center"/>
              <w:rPr>
                <w:rFonts w:hint="default"/>
                <w:color w:val="000000"/>
              </w:rPr>
            </w:pPr>
            <w:r>
              <w:rPr>
                <w:rFonts w:hint="default"/>
                <w:color w:val="000000"/>
                <w:lang w:val="en-US" w:eastAsia="zh-CN"/>
              </w:rPr>
              <w:t>0.003</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DCB6370">
            <w:pPr>
              <w:pStyle w:val="10"/>
              <w:bidi w:val="0"/>
              <w:jc w:val="center"/>
              <w:rPr>
                <w:rFonts w:hint="default"/>
                <w:color w:val="000000"/>
              </w:rPr>
            </w:pP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D29B084">
            <w:pPr>
              <w:pStyle w:val="10"/>
              <w:bidi w:val="0"/>
              <w:jc w:val="center"/>
              <w:rPr>
                <w:rFonts w:hint="default"/>
                <w:color w:val="000000"/>
              </w:rPr>
            </w:pPr>
          </w:p>
        </w:tc>
        <w:tc>
          <w:tcPr>
            <w:tcW w:w="16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12B4FF6C">
            <w:pPr>
              <w:pStyle w:val="10"/>
              <w:bidi w:val="0"/>
              <w:jc w:val="center"/>
              <w:rPr>
                <w:rFonts w:hint="default"/>
                <w:color w:val="000000"/>
              </w:rPr>
            </w:pPr>
          </w:p>
        </w:tc>
      </w:tr>
      <w:tr w14:paraId="012FA16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85" w:hRule="atLeast"/>
        </w:trPr>
        <w:tc>
          <w:tcPr>
            <w:tcW w:w="161" w:type="pct"/>
            <w:vMerge w:val="continue"/>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B616B51">
            <w:pPr>
              <w:pStyle w:val="10"/>
              <w:bidi w:val="0"/>
              <w:jc w:val="center"/>
              <w:rPr>
                <w:rFonts w:hint="eastAsia"/>
                <w:color w:val="000000"/>
              </w:rPr>
            </w:pP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1880FBC">
            <w:pPr>
              <w:pStyle w:val="10"/>
              <w:bidi w:val="0"/>
              <w:jc w:val="center"/>
              <w:rPr>
                <w:rFonts w:hint="eastAsia"/>
                <w:color w:val="000000"/>
              </w:rPr>
            </w:pPr>
            <w:r>
              <w:rPr>
                <w:rFonts w:hint="eastAsia"/>
                <w:color w:val="000000"/>
                <w:lang w:val="en-US" w:eastAsia="zh-CN"/>
              </w:rPr>
              <w:t>平均值</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D6A4C98">
            <w:pPr>
              <w:pStyle w:val="10"/>
              <w:bidi w:val="0"/>
              <w:jc w:val="center"/>
              <w:rPr>
                <w:rFonts w:hint="default"/>
                <w:color w:val="000000"/>
              </w:rPr>
            </w:pPr>
            <w:r>
              <w:rPr>
                <w:rFonts w:hint="default"/>
                <w:color w:val="000000"/>
                <w:lang w:val="en-US" w:eastAsia="zh-CN"/>
              </w:rPr>
              <w:t>7.54</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45E9822">
            <w:pPr>
              <w:pStyle w:val="10"/>
              <w:bidi w:val="0"/>
              <w:jc w:val="center"/>
              <w:rPr>
                <w:rFonts w:hint="default"/>
                <w:color w:val="000000"/>
              </w:rPr>
            </w:pPr>
            <w:r>
              <w:rPr>
                <w:rFonts w:hint="default"/>
                <w:color w:val="000000"/>
                <w:lang w:val="en-US" w:eastAsia="zh-CN"/>
              </w:rPr>
              <w:t>8.9</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882E92C">
            <w:pPr>
              <w:pStyle w:val="10"/>
              <w:bidi w:val="0"/>
              <w:jc w:val="center"/>
              <w:rPr>
                <w:rFonts w:hint="default"/>
                <w:color w:val="000000"/>
              </w:rPr>
            </w:pPr>
            <w:r>
              <w:rPr>
                <w:rFonts w:hint="default"/>
                <w:color w:val="000000"/>
                <w:lang w:val="en-US" w:eastAsia="zh-CN"/>
              </w:rPr>
              <w:t>1.7</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9AD2C54">
            <w:pPr>
              <w:pStyle w:val="10"/>
              <w:bidi w:val="0"/>
              <w:jc w:val="center"/>
              <w:rPr>
                <w:rFonts w:hint="default"/>
                <w:color w:val="000000"/>
              </w:rPr>
            </w:pPr>
            <w:r>
              <w:rPr>
                <w:rFonts w:hint="default"/>
                <w:color w:val="000000"/>
                <w:lang w:val="en-US" w:eastAsia="zh-CN"/>
              </w:rPr>
              <w:t>6.6</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87BC3A0">
            <w:pPr>
              <w:pStyle w:val="10"/>
              <w:bidi w:val="0"/>
              <w:jc w:val="center"/>
              <w:rPr>
                <w:rFonts w:hint="default"/>
                <w:color w:val="000000"/>
              </w:rPr>
            </w:pPr>
            <w:r>
              <w:rPr>
                <w:rFonts w:hint="default"/>
                <w:color w:val="000000"/>
                <w:lang w:val="en-US" w:eastAsia="zh-CN"/>
              </w:rPr>
              <w:t>2.2</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8E483B3">
            <w:pPr>
              <w:pStyle w:val="10"/>
              <w:bidi w:val="0"/>
              <w:jc w:val="center"/>
              <w:rPr>
                <w:rFonts w:hint="default"/>
                <w:color w:val="000000"/>
              </w:rPr>
            </w:pPr>
            <w:r>
              <w:rPr>
                <w:rFonts w:hint="default"/>
                <w:color w:val="000000"/>
                <w:lang w:val="en-US" w:eastAsia="zh-CN"/>
              </w:rPr>
              <w:t>0.093</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6950833">
            <w:pPr>
              <w:pStyle w:val="10"/>
              <w:bidi w:val="0"/>
              <w:jc w:val="center"/>
              <w:rPr>
                <w:rFonts w:hint="default"/>
                <w:color w:val="000000"/>
              </w:rPr>
            </w:pPr>
            <w:r>
              <w:rPr>
                <w:rFonts w:hint="default"/>
                <w:color w:val="000000"/>
                <w:lang w:val="en-US" w:eastAsia="zh-CN"/>
              </w:rPr>
              <w:t>0.005</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AD66C33">
            <w:pPr>
              <w:pStyle w:val="10"/>
              <w:bidi w:val="0"/>
              <w:jc w:val="center"/>
              <w:rPr>
                <w:rFonts w:hint="default"/>
                <w:color w:val="000000"/>
              </w:rPr>
            </w:pPr>
            <w:r>
              <w:rPr>
                <w:rFonts w:hint="default"/>
                <w:color w:val="000000"/>
                <w:lang w:val="en-US" w:eastAsia="zh-CN"/>
              </w:rPr>
              <w:t>0.002</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FE56423">
            <w:pPr>
              <w:pStyle w:val="10"/>
              <w:bidi w:val="0"/>
              <w:jc w:val="center"/>
              <w:rPr>
                <w:rFonts w:hint="default"/>
                <w:color w:val="000000"/>
              </w:rPr>
            </w:pPr>
            <w:r>
              <w:rPr>
                <w:rFonts w:hint="default"/>
                <w:color w:val="000000"/>
                <w:lang w:val="en-US" w:eastAsia="zh-CN"/>
              </w:rPr>
              <w:t>0.002</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3A5F012">
            <w:pPr>
              <w:pStyle w:val="10"/>
              <w:bidi w:val="0"/>
              <w:jc w:val="center"/>
              <w:rPr>
                <w:rFonts w:hint="default"/>
                <w:color w:val="000000"/>
              </w:rPr>
            </w:pPr>
            <w:r>
              <w:rPr>
                <w:rFonts w:hint="default"/>
                <w:color w:val="000000"/>
                <w:lang w:val="en-US" w:eastAsia="zh-CN"/>
              </w:rPr>
              <w:t>0.25</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45B5F33">
            <w:pPr>
              <w:pStyle w:val="10"/>
              <w:bidi w:val="0"/>
              <w:jc w:val="center"/>
              <w:rPr>
                <w:rFonts w:hint="default"/>
                <w:color w:val="000000"/>
              </w:rPr>
            </w:pPr>
            <w:r>
              <w:rPr>
                <w:rFonts w:hint="default"/>
                <w:color w:val="000000"/>
                <w:lang w:val="en-US" w:eastAsia="zh-CN"/>
              </w:rPr>
              <w:t>0.00004</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B3C0A14">
            <w:pPr>
              <w:pStyle w:val="10"/>
              <w:bidi w:val="0"/>
              <w:jc w:val="center"/>
              <w:rPr>
                <w:rFonts w:hint="default"/>
                <w:color w:val="000000"/>
              </w:rPr>
            </w:pPr>
            <w:r>
              <w:rPr>
                <w:rFonts w:hint="default"/>
                <w:color w:val="000000"/>
                <w:lang w:val="en-US" w:eastAsia="zh-CN"/>
              </w:rPr>
              <w:t>0.00001</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033A852">
            <w:pPr>
              <w:pStyle w:val="10"/>
              <w:bidi w:val="0"/>
              <w:jc w:val="center"/>
              <w:rPr>
                <w:rFonts w:hint="default"/>
                <w:color w:val="000000"/>
              </w:rPr>
            </w:pPr>
            <w:r>
              <w:rPr>
                <w:rFonts w:hint="default"/>
                <w:color w:val="000000"/>
                <w:lang w:val="en-US" w:eastAsia="zh-CN"/>
              </w:rPr>
              <w:t>0.00001</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756ECCF">
            <w:pPr>
              <w:pStyle w:val="10"/>
              <w:bidi w:val="0"/>
              <w:jc w:val="center"/>
              <w:rPr>
                <w:rFonts w:hint="default"/>
                <w:color w:val="000000"/>
              </w:rPr>
            </w:pPr>
            <w:r>
              <w:rPr>
                <w:rFonts w:hint="default"/>
                <w:color w:val="000000"/>
                <w:lang w:val="en-US" w:eastAsia="zh-CN"/>
              </w:rPr>
              <w:t>0.002</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10B0049">
            <w:pPr>
              <w:pStyle w:val="10"/>
              <w:bidi w:val="0"/>
              <w:jc w:val="center"/>
              <w:rPr>
                <w:rFonts w:hint="default"/>
                <w:color w:val="000000"/>
              </w:rPr>
            </w:pPr>
            <w:r>
              <w:rPr>
                <w:rFonts w:hint="default"/>
                <w:color w:val="000000"/>
                <w:lang w:val="en-US" w:eastAsia="zh-CN"/>
              </w:rPr>
              <w:t>0.007</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9F3E7DC">
            <w:pPr>
              <w:pStyle w:val="10"/>
              <w:bidi w:val="0"/>
              <w:jc w:val="center"/>
              <w:rPr>
                <w:rFonts w:hint="default"/>
                <w:color w:val="000000"/>
              </w:rPr>
            </w:pPr>
            <w:r>
              <w:rPr>
                <w:rFonts w:hint="default"/>
                <w:color w:val="000000"/>
                <w:lang w:val="en-US" w:eastAsia="zh-CN"/>
              </w:rPr>
              <w:t>0.0005</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FBC2DEC">
            <w:pPr>
              <w:pStyle w:val="10"/>
              <w:bidi w:val="0"/>
              <w:jc w:val="center"/>
              <w:rPr>
                <w:rFonts w:hint="default"/>
                <w:color w:val="000000"/>
              </w:rPr>
            </w:pPr>
            <w:r>
              <w:rPr>
                <w:rFonts w:hint="default"/>
                <w:color w:val="000000"/>
                <w:lang w:val="en-US" w:eastAsia="zh-CN"/>
              </w:rPr>
              <w:t>0.002</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1BA69E9">
            <w:pPr>
              <w:pStyle w:val="10"/>
              <w:bidi w:val="0"/>
              <w:jc w:val="center"/>
              <w:rPr>
                <w:rFonts w:hint="default"/>
                <w:color w:val="000000"/>
              </w:rPr>
            </w:pPr>
            <w:r>
              <w:rPr>
                <w:rFonts w:hint="default"/>
                <w:color w:val="000000"/>
                <w:lang w:val="en-US" w:eastAsia="zh-CN"/>
              </w:rPr>
              <w:t>0.0010</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0BAFA2D">
            <w:pPr>
              <w:pStyle w:val="10"/>
              <w:bidi w:val="0"/>
              <w:jc w:val="center"/>
              <w:rPr>
                <w:rFonts w:hint="default"/>
                <w:color w:val="000000"/>
              </w:rPr>
            </w:pPr>
            <w:r>
              <w:rPr>
                <w:rFonts w:hint="default"/>
                <w:color w:val="000000"/>
                <w:lang w:val="en-US" w:eastAsia="zh-CN"/>
              </w:rPr>
              <w:t>0.02</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D9EE27A">
            <w:pPr>
              <w:pStyle w:val="10"/>
              <w:bidi w:val="0"/>
              <w:jc w:val="center"/>
              <w:rPr>
                <w:rFonts w:hint="default"/>
                <w:color w:val="000000"/>
              </w:rPr>
            </w:pPr>
            <w:r>
              <w:rPr>
                <w:rFonts w:hint="default"/>
                <w:color w:val="000000"/>
                <w:lang w:val="en-US" w:eastAsia="zh-CN"/>
              </w:rPr>
              <w:t>0.025</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66E403B">
            <w:pPr>
              <w:pStyle w:val="10"/>
              <w:bidi w:val="0"/>
              <w:jc w:val="center"/>
              <w:rPr>
                <w:rFonts w:hint="default"/>
                <w:color w:val="000000"/>
              </w:rPr>
            </w:pPr>
            <w:r>
              <w:rPr>
                <w:rFonts w:hint="default"/>
                <w:color w:val="000000"/>
                <w:lang w:val="en-US" w:eastAsia="zh-CN"/>
              </w:rPr>
              <w:t>0.010</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294636D">
            <w:pPr>
              <w:pStyle w:val="10"/>
              <w:bidi w:val="0"/>
              <w:jc w:val="center"/>
              <w:rPr>
                <w:rFonts w:hint="default"/>
                <w:color w:val="000000"/>
              </w:rPr>
            </w:pPr>
            <w:r>
              <w:rPr>
                <w:rFonts w:hint="default"/>
                <w:color w:val="000000"/>
                <w:lang w:val="en-US" w:eastAsia="zh-CN"/>
              </w:rPr>
              <w:t>3.32</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80001E4">
            <w:pPr>
              <w:pStyle w:val="10"/>
              <w:bidi w:val="0"/>
              <w:jc w:val="center"/>
              <w:rPr>
                <w:rFonts w:hint="default"/>
                <w:color w:val="000000"/>
              </w:rPr>
            </w:pPr>
            <w:r>
              <w:rPr>
                <w:rFonts w:hint="default"/>
                <w:color w:val="000000"/>
                <w:lang w:val="en-US" w:eastAsia="zh-CN"/>
              </w:rPr>
              <w:t>0.77</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2B43950">
            <w:pPr>
              <w:pStyle w:val="10"/>
              <w:bidi w:val="0"/>
              <w:jc w:val="center"/>
              <w:rPr>
                <w:rFonts w:hint="default"/>
                <w:color w:val="000000"/>
              </w:rPr>
            </w:pPr>
            <w:r>
              <w:rPr>
                <w:rFonts w:hint="default"/>
                <w:color w:val="000000"/>
                <w:lang w:val="en-US" w:eastAsia="zh-CN"/>
              </w:rPr>
              <w:t>0.16</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CEDC37D">
            <w:pPr>
              <w:pStyle w:val="10"/>
              <w:bidi w:val="0"/>
              <w:jc w:val="center"/>
              <w:rPr>
                <w:rFonts w:hint="default"/>
                <w:color w:val="000000"/>
              </w:rPr>
            </w:pPr>
            <w:r>
              <w:rPr>
                <w:rFonts w:hint="default"/>
                <w:color w:val="000000"/>
                <w:lang w:val="en-US" w:eastAsia="zh-CN"/>
              </w:rPr>
              <w:t>0.027</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0B10700">
            <w:pPr>
              <w:pStyle w:val="10"/>
              <w:bidi w:val="0"/>
              <w:jc w:val="center"/>
              <w:rPr>
                <w:rFonts w:hint="default"/>
                <w:color w:val="000000"/>
              </w:rPr>
            </w:pPr>
            <w:r>
              <w:rPr>
                <w:rFonts w:hint="default"/>
                <w:color w:val="000000"/>
                <w:lang w:val="en-US" w:eastAsia="zh-CN"/>
              </w:rPr>
              <w:t>0.003</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592AEA6">
            <w:pPr>
              <w:pStyle w:val="10"/>
              <w:bidi w:val="0"/>
              <w:jc w:val="center"/>
              <w:rPr>
                <w:rFonts w:hint="default"/>
                <w:color w:val="000000"/>
              </w:rPr>
            </w:pP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546A652">
            <w:pPr>
              <w:pStyle w:val="10"/>
              <w:bidi w:val="0"/>
              <w:jc w:val="center"/>
              <w:rPr>
                <w:rFonts w:hint="default"/>
                <w:color w:val="000000"/>
              </w:rPr>
            </w:pPr>
          </w:p>
        </w:tc>
        <w:tc>
          <w:tcPr>
            <w:tcW w:w="166" w:type="pct"/>
            <w:vMerge w:val="restar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78678ADE">
            <w:pPr>
              <w:pStyle w:val="10"/>
              <w:bidi w:val="0"/>
              <w:jc w:val="center"/>
              <w:rPr>
                <w:rFonts w:hint="default"/>
                <w:color w:val="000000"/>
              </w:rPr>
            </w:pPr>
          </w:p>
        </w:tc>
      </w:tr>
      <w:tr w14:paraId="4E3FE45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85" w:hRule="atLeast"/>
        </w:trPr>
        <w:tc>
          <w:tcPr>
            <w:tcW w:w="161" w:type="pct"/>
            <w:vMerge w:val="continue"/>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F98E671">
            <w:pPr>
              <w:pStyle w:val="10"/>
              <w:bidi w:val="0"/>
              <w:jc w:val="center"/>
              <w:rPr>
                <w:rFonts w:hint="eastAsia"/>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8E28F3C">
            <w:pPr>
              <w:pStyle w:val="10"/>
              <w:bidi w:val="0"/>
              <w:jc w:val="center"/>
              <w:rPr>
                <w:rFonts w:hint="eastAsia"/>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E0933CC">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E957108">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68EFDED">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E7DB820">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2BF9B22">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9932709">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36AFDF7">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A12112F">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02685D7">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51DAB51">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6AD6D28">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AAD4CB3">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F279686">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4A6C43B">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458FDBF">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B4CC7C1">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9599839">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6AA8449">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DC75CC0">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4267172">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BE83C4E">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9080AB1">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81D0320">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BEBBE24">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65B92AA">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56D8161">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061A787">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36F0AC0">
            <w:pPr>
              <w:pStyle w:val="10"/>
              <w:bidi w:val="0"/>
              <w:jc w:val="center"/>
              <w:rPr>
                <w:rFonts w:hint="default"/>
                <w:color w:val="000000"/>
              </w:rPr>
            </w:pPr>
          </w:p>
        </w:tc>
        <w:tc>
          <w:tcPr>
            <w:tcW w:w="166" w:type="pct"/>
            <w:vMerge w:val="continue"/>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09B144CA">
            <w:pPr>
              <w:pStyle w:val="10"/>
              <w:bidi w:val="0"/>
              <w:jc w:val="center"/>
              <w:rPr>
                <w:rFonts w:hint="default"/>
                <w:color w:val="000000"/>
              </w:rPr>
            </w:pPr>
          </w:p>
        </w:tc>
      </w:tr>
      <w:tr w14:paraId="4ECC942A">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3251" w:hRule="atLeast"/>
        </w:trPr>
        <w:tc>
          <w:tcPr>
            <w:tcW w:w="161" w:type="pct"/>
            <w:vMerge w:val="continue"/>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D90AC9E">
            <w:pPr>
              <w:pStyle w:val="10"/>
              <w:bidi w:val="0"/>
              <w:jc w:val="center"/>
              <w:rPr>
                <w:rFonts w:hint="eastAsia"/>
                <w:color w:val="000000"/>
              </w:rPr>
            </w:pP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B444A3A">
            <w:pPr>
              <w:pStyle w:val="10"/>
              <w:bidi w:val="0"/>
              <w:jc w:val="center"/>
              <w:rPr>
                <w:rFonts w:hint="eastAsia"/>
                <w:color w:val="000000"/>
              </w:rPr>
            </w:pPr>
            <w:r>
              <w:rPr>
                <w:rFonts w:hint="eastAsia"/>
                <w:color w:val="000000"/>
                <w:lang w:val="en-US" w:eastAsia="zh-CN"/>
              </w:rPr>
              <w:t>水质类别</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1D314E5">
            <w:pPr>
              <w:pStyle w:val="10"/>
              <w:bidi w:val="0"/>
              <w:jc w:val="center"/>
              <w:rPr>
                <w:rFonts w:hint="default"/>
                <w:color w:val="000000"/>
              </w:rPr>
            </w:pP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5E3CAF8">
            <w:pPr>
              <w:pStyle w:val="10"/>
              <w:bidi w:val="0"/>
              <w:jc w:val="center"/>
              <w:rPr>
                <w:rFonts w:hint="default"/>
                <w:color w:val="000000"/>
              </w:rPr>
            </w:pPr>
            <w:r>
              <w:rPr>
                <w:rFonts w:hint="default"/>
                <w:color w:val="000000"/>
                <w:lang w:val="en-US" w:eastAsia="zh-CN"/>
              </w:rPr>
              <w:t>I</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A14B931">
            <w:pPr>
              <w:pStyle w:val="10"/>
              <w:bidi w:val="0"/>
              <w:jc w:val="center"/>
              <w:rPr>
                <w:rFonts w:hint="default"/>
                <w:color w:val="000000"/>
              </w:rPr>
            </w:pPr>
            <w:r>
              <w:rPr>
                <w:rFonts w:hint="default"/>
                <w:color w:val="000000"/>
                <w:lang w:val="en-US" w:eastAsia="zh-CN"/>
              </w:rPr>
              <w:t>I</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CA0C8CC">
            <w:pPr>
              <w:pStyle w:val="10"/>
              <w:bidi w:val="0"/>
              <w:jc w:val="center"/>
              <w:rPr>
                <w:rFonts w:hint="default"/>
                <w:color w:val="000000"/>
              </w:rPr>
            </w:pPr>
            <w:r>
              <w:rPr>
                <w:rFonts w:hint="default"/>
                <w:color w:val="000000"/>
                <w:lang w:val="en-US" w:eastAsia="zh-CN"/>
              </w:rPr>
              <w:t>I</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5608594">
            <w:pPr>
              <w:pStyle w:val="10"/>
              <w:bidi w:val="0"/>
              <w:jc w:val="center"/>
              <w:rPr>
                <w:rFonts w:hint="default"/>
                <w:color w:val="000000"/>
              </w:rPr>
            </w:pPr>
            <w:r>
              <w:rPr>
                <w:rFonts w:hint="default"/>
                <w:color w:val="000000"/>
                <w:lang w:val="en-US" w:eastAsia="zh-CN"/>
              </w:rPr>
              <w:t>I</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C9F4C82">
            <w:pPr>
              <w:pStyle w:val="10"/>
              <w:bidi w:val="0"/>
              <w:jc w:val="center"/>
              <w:rPr>
                <w:rFonts w:hint="default"/>
                <w:color w:val="000000"/>
              </w:rPr>
            </w:pPr>
            <w:r>
              <w:rPr>
                <w:rFonts w:hint="default"/>
                <w:color w:val="000000"/>
                <w:lang w:val="en-US" w:eastAsia="zh-CN"/>
              </w:rPr>
              <w:t>I</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C48ABEC">
            <w:pPr>
              <w:pStyle w:val="10"/>
              <w:bidi w:val="0"/>
              <w:jc w:val="center"/>
              <w:rPr>
                <w:rFonts w:hint="default"/>
                <w:color w:val="000000"/>
              </w:rPr>
            </w:pPr>
            <w:r>
              <w:rPr>
                <w:rFonts w:hint="default"/>
                <w:color w:val="000000"/>
                <w:lang w:val="en-US" w:eastAsia="zh-CN"/>
              </w:rPr>
              <w:t>I</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A792A09">
            <w:pPr>
              <w:pStyle w:val="10"/>
              <w:bidi w:val="0"/>
              <w:jc w:val="center"/>
              <w:rPr>
                <w:rFonts w:hint="default"/>
                <w:color w:val="000000"/>
              </w:rPr>
            </w:pPr>
            <w:r>
              <w:rPr>
                <w:rFonts w:hint="default"/>
                <w:color w:val="000000"/>
                <w:lang w:val="en-US" w:eastAsia="zh-CN"/>
              </w:rPr>
              <w:t>I</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37F92F1">
            <w:pPr>
              <w:pStyle w:val="10"/>
              <w:bidi w:val="0"/>
              <w:jc w:val="center"/>
              <w:rPr>
                <w:rFonts w:hint="default"/>
                <w:color w:val="000000"/>
              </w:rPr>
            </w:pPr>
            <w:r>
              <w:rPr>
                <w:rFonts w:hint="default"/>
                <w:color w:val="000000"/>
                <w:lang w:val="en-US" w:eastAsia="zh-CN"/>
              </w:rPr>
              <w:t>I</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4C2A1AF">
            <w:pPr>
              <w:pStyle w:val="10"/>
              <w:bidi w:val="0"/>
              <w:jc w:val="center"/>
              <w:rPr>
                <w:rFonts w:hint="default"/>
                <w:color w:val="000000"/>
              </w:rPr>
            </w:pPr>
            <w:r>
              <w:rPr>
                <w:rFonts w:hint="default"/>
                <w:color w:val="000000"/>
                <w:lang w:val="en-US" w:eastAsia="zh-CN"/>
              </w:rPr>
              <w:t>I</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720BA58">
            <w:pPr>
              <w:pStyle w:val="10"/>
              <w:bidi w:val="0"/>
              <w:jc w:val="center"/>
              <w:rPr>
                <w:rFonts w:hint="default"/>
                <w:color w:val="000000"/>
              </w:rPr>
            </w:pPr>
            <w:r>
              <w:rPr>
                <w:rFonts w:hint="default"/>
                <w:color w:val="000000"/>
                <w:lang w:val="en-US" w:eastAsia="zh-CN"/>
              </w:rPr>
              <w:t>I</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41683B7">
            <w:pPr>
              <w:pStyle w:val="10"/>
              <w:bidi w:val="0"/>
              <w:jc w:val="center"/>
              <w:rPr>
                <w:rFonts w:hint="default"/>
                <w:color w:val="000000"/>
              </w:rPr>
            </w:pPr>
            <w:r>
              <w:rPr>
                <w:rFonts w:hint="default"/>
                <w:color w:val="000000"/>
                <w:lang w:val="en-US" w:eastAsia="zh-CN"/>
              </w:rPr>
              <w:t>I</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EFA6CA9">
            <w:pPr>
              <w:pStyle w:val="10"/>
              <w:bidi w:val="0"/>
              <w:jc w:val="center"/>
              <w:rPr>
                <w:rFonts w:hint="default"/>
                <w:color w:val="000000"/>
              </w:rPr>
            </w:pPr>
            <w:r>
              <w:rPr>
                <w:rFonts w:hint="default"/>
                <w:color w:val="000000"/>
                <w:lang w:val="en-US" w:eastAsia="zh-CN"/>
              </w:rPr>
              <w:t>I</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E79D5E3">
            <w:pPr>
              <w:pStyle w:val="10"/>
              <w:bidi w:val="0"/>
              <w:jc w:val="center"/>
              <w:rPr>
                <w:rFonts w:hint="default"/>
                <w:color w:val="000000"/>
              </w:rPr>
            </w:pPr>
            <w:r>
              <w:rPr>
                <w:rFonts w:hint="default"/>
                <w:color w:val="000000"/>
                <w:lang w:val="en-US" w:eastAsia="zh-CN"/>
              </w:rPr>
              <w:t>2</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A70DA2D">
            <w:pPr>
              <w:pStyle w:val="10"/>
              <w:bidi w:val="0"/>
              <w:jc w:val="center"/>
              <w:rPr>
                <w:rFonts w:hint="default"/>
                <w:color w:val="000000"/>
              </w:rPr>
            </w:pPr>
            <w:r>
              <w:rPr>
                <w:rFonts w:hint="default"/>
                <w:color w:val="000000"/>
                <w:lang w:val="en-US" w:eastAsia="zh-CN"/>
              </w:rPr>
              <w:t>I</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2897A17">
            <w:pPr>
              <w:pStyle w:val="10"/>
              <w:bidi w:val="0"/>
              <w:jc w:val="center"/>
              <w:rPr>
                <w:rFonts w:hint="default"/>
                <w:color w:val="000000"/>
              </w:rPr>
            </w:pPr>
            <w:r>
              <w:rPr>
                <w:rFonts w:hint="default"/>
                <w:color w:val="000000"/>
                <w:lang w:val="en-US" w:eastAsia="zh-CN"/>
              </w:rPr>
              <w:t>I</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85619D8">
            <w:pPr>
              <w:pStyle w:val="10"/>
              <w:bidi w:val="0"/>
              <w:jc w:val="center"/>
              <w:rPr>
                <w:rFonts w:hint="default"/>
                <w:color w:val="000000"/>
              </w:rPr>
            </w:pPr>
            <w:r>
              <w:rPr>
                <w:rFonts w:hint="default"/>
                <w:color w:val="000000"/>
                <w:lang w:val="en-US" w:eastAsia="zh-CN"/>
              </w:rPr>
              <w:t>I</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DE39629">
            <w:pPr>
              <w:pStyle w:val="10"/>
              <w:bidi w:val="0"/>
              <w:jc w:val="center"/>
              <w:rPr>
                <w:rFonts w:hint="default"/>
                <w:color w:val="000000"/>
              </w:rPr>
            </w:pPr>
            <w:r>
              <w:rPr>
                <w:rFonts w:hint="default"/>
                <w:color w:val="000000"/>
                <w:lang w:val="en-US" w:eastAsia="zh-CN"/>
              </w:rPr>
              <w:t>I</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7051A9D">
            <w:pPr>
              <w:pStyle w:val="10"/>
              <w:bidi w:val="0"/>
              <w:jc w:val="center"/>
              <w:rPr>
                <w:rFonts w:hint="default"/>
                <w:color w:val="000000"/>
              </w:rPr>
            </w:pPr>
            <w:r>
              <w:rPr>
                <w:rFonts w:hint="default"/>
                <w:color w:val="000000"/>
                <w:lang w:val="en-US" w:eastAsia="zh-CN"/>
              </w:rPr>
              <w:t>1</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B88D97A">
            <w:pPr>
              <w:pStyle w:val="10"/>
              <w:bidi w:val="0"/>
              <w:jc w:val="center"/>
              <w:rPr>
                <w:rFonts w:hint="default"/>
                <w:color w:val="000000"/>
              </w:rPr>
            </w:pPr>
            <w:r>
              <w:rPr>
                <w:rFonts w:hint="default"/>
                <w:color w:val="000000"/>
                <w:lang w:val="en-US" w:eastAsia="zh-CN"/>
              </w:rPr>
              <w:t>I</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0788A73">
            <w:pPr>
              <w:pStyle w:val="10"/>
              <w:bidi w:val="0"/>
              <w:jc w:val="center"/>
              <w:rPr>
                <w:rFonts w:hint="default"/>
                <w:color w:val="000000"/>
              </w:rPr>
            </w:pPr>
            <w:r>
              <w:rPr>
                <w:color w:val="000000"/>
                <w:lang w:val="en-US" w:eastAsia="zh-CN"/>
              </w:rPr>
              <w:t>I</w:t>
            </w:r>
          </w:p>
        </w:tc>
        <w:tc>
          <w:tcPr>
            <w:tcW w:w="161" w:type="pct"/>
            <w:tcBorders>
              <w:top w:val="single" w:color="000000" w:sz="8" w:space="0"/>
              <w:left w:val="single" w:color="000000" w:sz="8" w:space="0"/>
              <w:right w:val="single" w:color="000000" w:sz="8" w:space="0"/>
            </w:tcBorders>
            <w:shd w:val="clear" w:color="auto" w:fill="FFFFFF"/>
            <w:tcMar>
              <w:top w:w="15" w:type="dxa"/>
              <w:left w:w="15" w:type="dxa"/>
              <w:right w:w="15" w:type="dxa"/>
            </w:tcMar>
            <w:vAlign w:val="center"/>
          </w:tcPr>
          <w:p w14:paraId="4E8529F3">
            <w:pPr>
              <w:pStyle w:val="10"/>
              <w:bidi w:val="0"/>
              <w:jc w:val="center"/>
              <w:rPr>
                <w:rFonts w:hint="default"/>
                <w:color w:val="000000"/>
                <w:lang w:val="en-US" w:eastAsia="zh-CN"/>
              </w:rPr>
            </w:pPr>
          </w:p>
          <w:p w14:paraId="294A5972">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right w:val="single" w:color="000000" w:sz="8" w:space="0"/>
            </w:tcBorders>
            <w:shd w:val="clear" w:color="auto" w:fill="FFFFFF"/>
            <w:tcMar>
              <w:top w:w="15" w:type="dxa"/>
              <w:left w:w="15" w:type="dxa"/>
              <w:right w:w="15" w:type="dxa"/>
            </w:tcMar>
            <w:vAlign w:val="center"/>
          </w:tcPr>
          <w:p w14:paraId="790C42E7">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right w:val="single" w:color="000000" w:sz="8" w:space="0"/>
            </w:tcBorders>
            <w:shd w:val="clear" w:color="auto" w:fill="FFFFFF"/>
            <w:tcMar>
              <w:top w:w="15" w:type="dxa"/>
              <w:left w:w="15" w:type="dxa"/>
              <w:right w:w="15" w:type="dxa"/>
            </w:tcMar>
            <w:vAlign w:val="center"/>
          </w:tcPr>
          <w:p w14:paraId="265011B2">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right w:val="single" w:color="000000" w:sz="8" w:space="0"/>
            </w:tcBorders>
            <w:shd w:val="clear" w:color="auto" w:fill="FFFFFF"/>
            <w:tcMar>
              <w:top w:w="15" w:type="dxa"/>
              <w:left w:w="15" w:type="dxa"/>
              <w:right w:w="15" w:type="dxa"/>
            </w:tcMar>
            <w:vAlign w:val="center"/>
          </w:tcPr>
          <w:p w14:paraId="21D4DF56">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3BF3FC3">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5F28ADA">
            <w:pPr>
              <w:pStyle w:val="10"/>
              <w:bidi w:val="0"/>
              <w:jc w:val="center"/>
              <w:rPr>
                <w:rFonts w:hint="default"/>
                <w:color w:val="000000"/>
              </w:rPr>
            </w:pP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36F141F">
            <w:pPr>
              <w:pStyle w:val="10"/>
              <w:bidi w:val="0"/>
              <w:jc w:val="center"/>
              <w:rPr>
                <w:rFonts w:hint="default"/>
                <w:color w:val="000000"/>
              </w:rPr>
            </w:pPr>
            <w:r>
              <w:rPr>
                <w:rFonts w:hint="default"/>
                <w:color w:val="000000"/>
                <w:lang w:val="en-US" w:eastAsia="zh-CN"/>
              </w:rPr>
              <w:t>2</w:t>
            </w:r>
          </w:p>
        </w:tc>
        <w:tc>
          <w:tcPr>
            <w:tcW w:w="16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080E6632">
            <w:pPr>
              <w:pStyle w:val="10"/>
              <w:bidi w:val="0"/>
              <w:jc w:val="center"/>
              <w:rPr>
                <w:rFonts w:hint="default"/>
                <w:color w:val="000000"/>
              </w:rPr>
            </w:pPr>
          </w:p>
        </w:tc>
      </w:tr>
      <w:tr w14:paraId="42889DB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0" w:hRule="atLeast"/>
        </w:trPr>
        <w:tc>
          <w:tcPr>
            <w:tcW w:w="161" w:type="pct"/>
            <w:vMerge w:val="continue"/>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079B1BF">
            <w:pPr>
              <w:pStyle w:val="10"/>
              <w:bidi w:val="0"/>
              <w:jc w:val="center"/>
              <w:rPr>
                <w:rFonts w:hint="eastAsia"/>
                <w:color w:val="000000"/>
              </w:rPr>
            </w:pP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CCF4A16">
            <w:pPr>
              <w:pStyle w:val="10"/>
              <w:bidi w:val="0"/>
              <w:jc w:val="center"/>
              <w:rPr>
                <w:rFonts w:hint="eastAsia"/>
                <w:color w:val="000000"/>
              </w:rPr>
            </w:pPr>
            <w:r>
              <w:rPr>
                <w:rFonts w:hint="eastAsia"/>
                <w:color w:val="000000"/>
                <w:lang w:val="en-US" w:eastAsia="zh-CN"/>
              </w:rPr>
              <w:t>超标率%</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4E06114">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6037DD8">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38D3CF8">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C4B9B7A">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7708C2F">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99DD19F">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DC6EF0A">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B9F659C">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4870CE9">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AD064B6">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5951262">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836857A">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1BEBF3E">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B08A9B8">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1BF9F49">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01C2B5C">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30E6646">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EA9CD5F">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F85446C">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27DA615">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B5FE901">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B7E2E4B">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62279CB">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E1A8166">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3E16CB9">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CB496BE">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BD1A28D">
            <w:pPr>
              <w:pStyle w:val="10"/>
              <w:bidi w:val="0"/>
              <w:jc w:val="center"/>
              <w:rPr>
                <w:rFonts w:hint="default"/>
                <w:color w:val="000000"/>
              </w:rPr>
            </w:pP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170A26A">
            <w:pPr>
              <w:pStyle w:val="10"/>
              <w:bidi w:val="0"/>
              <w:jc w:val="center"/>
              <w:rPr>
                <w:rFonts w:hint="default"/>
                <w:color w:val="000000"/>
              </w:rPr>
            </w:pPr>
          </w:p>
        </w:tc>
        <w:tc>
          <w:tcPr>
            <w:tcW w:w="166"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14:paraId="12897614">
            <w:pPr>
              <w:pStyle w:val="10"/>
              <w:bidi w:val="0"/>
              <w:jc w:val="center"/>
              <w:rPr>
                <w:rFonts w:hint="default"/>
                <w:color w:val="000000"/>
              </w:rPr>
            </w:pPr>
            <w:r>
              <w:rPr>
                <w:rFonts w:hint="default"/>
                <w:color w:val="000000"/>
                <w:lang w:val="en-US" w:eastAsia="zh-CN"/>
              </w:rPr>
              <w:t>2</w:t>
            </w:r>
          </w:p>
        </w:tc>
      </w:tr>
      <w:tr w14:paraId="3A53493A">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555" w:hRule="atLeast"/>
        </w:trPr>
        <w:tc>
          <w:tcPr>
            <w:tcW w:w="161" w:type="pct"/>
            <w:vMerge w:val="continue"/>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4F5CECB">
            <w:pPr>
              <w:pStyle w:val="10"/>
              <w:bidi w:val="0"/>
              <w:jc w:val="center"/>
              <w:rPr>
                <w:rFonts w:hint="eastAsia"/>
                <w:color w:val="000000"/>
              </w:rPr>
            </w:pP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6C5D786">
            <w:pPr>
              <w:pStyle w:val="10"/>
              <w:bidi w:val="0"/>
              <w:jc w:val="center"/>
              <w:rPr>
                <w:rFonts w:hint="eastAsia"/>
                <w:color w:val="000000"/>
              </w:rPr>
            </w:pPr>
            <w:r>
              <w:rPr>
                <w:rFonts w:hint="eastAsia"/>
                <w:color w:val="000000"/>
                <w:lang w:val="en-US" w:eastAsia="zh-CN"/>
              </w:rPr>
              <w:t>污染指数</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F3784D1">
            <w:pPr>
              <w:pStyle w:val="10"/>
              <w:bidi w:val="0"/>
              <w:jc w:val="center"/>
              <w:rPr>
                <w:rFonts w:hint="default"/>
                <w:color w:val="000000"/>
              </w:rPr>
            </w:pP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7B1B698">
            <w:pPr>
              <w:pStyle w:val="10"/>
              <w:bidi w:val="0"/>
              <w:jc w:val="center"/>
              <w:rPr>
                <w:rFonts w:hint="default"/>
                <w:color w:val="000000"/>
              </w:rPr>
            </w:pP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B943BB2">
            <w:pPr>
              <w:pStyle w:val="10"/>
              <w:bidi w:val="0"/>
              <w:jc w:val="center"/>
              <w:rPr>
                <w:rFonts w:hint="default"/>
                <w:color w:val="000000"/>
              </w:rPr>
            </w:pPr>
            <w:r>
              <w:rPr>
                <w:rFonts w:hint="default"/>
                <w:color w:val="000000"/>
                <w:lang w:val="en-US" w:eastAsia="zh-CN"/>
              </w:rPr>
              <w:t>0.28</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CC3430A">
            <w:pPr>
              <w:pStyle w:val="10"/>
              <w:bidi w:val="0"/>
              <w:jc w:val="center"/>
              <w:rPr>
                <w:rFonts w:hint="default"/>
                <w:color w:val="000000"/>
              </w:rPr>
            </w:pPr>
            <w:r>
              <w:rPr>
                <w:rFonts w:hint="default"/>
                <w:color w:val="000000"/>
                <w:lang w:val="en-US" w:eastAsia="zh-CN"/>
              </w:rPr>
              <w:t>0.33</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8EC0F9E">
            <w:pPr>
              <w:pStyle w:val="10"/>
              <w:bidi w:val="0"/>
              <w:jc w:val="center"/>
              <w:rPr>
                <w:rFonts w:hint="default"/>
                <w:color w:val="000000"/>
              </w:rPr>
            </w:pPr>
            <w:r>
              <w:rPr>
                <w:rFonts w:hint="default"/>
                <w:color w:val="000000"/>
                <w:lang w:val="en-US" w:eastAsia="zh-CN"/>
              </w:rPr>
              <w:t>0.55</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F0DF975">
            <w:pPr>
              <w:pStyle w:val="10"/>
              <w:bidi w:val="0"/>
              <w:jc w:val="center"/>
              <w:rPr>
                <w:rFonts w:hint="default"/>
                <w:color w:val="000000"/>
              </w:rPr>
            </w:pPr>
            <w:r>
              <w:rPr>
                <w:rFonts w:hint="default"/>
                <w:color w:val="000000"/>
                <w:lang w:val="en-US" w:eastAsia="zh-CN"/>
              </w:rPr>
              <w:t>0.09</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1C1F559">
            <w:pPr>
              <w:pStyle w:val="10"/>
              <w:bidi w:val="0"/>
              <w:jc w:val="center"/>
              <w:rPr>
                <w:rFonts w:hint="default"/>
                <w:color w:val="000000"/>
              </w:rPr>
            </w:pPr>
            <w:r>
              <w:rPr>
                <w:rFonts w:hint="default"/>
                <w:color w:val="000000"/>
                <w:lang w:val="en-US" w:eastAsia="zh-CN"/>
              </w:rPr>
              <w:t>0.10</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15A1FF7">
            <w:pPr>
              <w:pStyle w:val="10"/>
              <w:bidi w:val="0"/>
              <w:jc w:val="center"/>
              <w:rPr>
                <w:rFonts w:hint="default"/>
                <w:color w:val="000000"/>
              </w:rPr>
            </w:pPr>
            <w:r>
              <w:rPr>
                <w:rFonts w:hint="default"/>
                <w:color w:val="000000"/>
                <w:lang w:val="en-US" w:eastAsia="zh-CN"/>
              </w:rPr>
              <w:t>0.00</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8016515">
            <w:pPr>
              <w:pStyle w:val="10"/>
              <w:bidi w:val="0"/>
              <w:jc w:val="center"/>
              <w:rPr>
                <w:rFonts w:hint="default"/>
                <w:color w:val="000000"/>
              </w:rPr>
            </w:pPr>
            <w:r>
              <w:rPr>
                <w:rFonts w:hint="default"/>
                <w:color w:val="000000"/>
                <w:lang w:val="en-US" w:eastAsia="zh-CN"/>
              </w:rPr>
              <w:t>0.00</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9F0FD88">
            <w:pPr>
              <w:pStyle w:val="10"/>
              <w:bidi w:val="0"/>
              <w:jc w:val="center"/>
              <w:rPr>
                <w:rFonts w:hint="default"/>
                <w:color w:val="000000"/>
              </w:rPr>
            </w:pPr>
            <w:r>
              <w:rPr>
                <w:rFonts w:hint="default"/>
                <w:color w:val="000000"/>
                <w:lang w:val="en-US" w:eastAsia="zh-CN"/>
              </w:rPr>
              <w:t>0.25</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37491BA">
            <w:pPr>
              <w:pStyle w:val="10"/>
              <w:bidi w:val="0"/>
              <w:jc w:val="center"/>
              <w:rPr>
                <w:rFonts w:hint="default"/>
                <w:color w:val="000000"/>
              </w:rPr>
            </w:pPr>
            <w:r>
              <w:rPr>
                <w:rFonts w:hint="default"/>
                <w:color w:val="000000"/>
                <w:lang w:val="en-US" w:eastAsia="zh-CN"/>
              </w:rPr>
              <w:t>0.00</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81EBC3F">
            <w:pPr>
              <w:pStyle w:val="10"/>
              <w:bidi w:val="0"/>
              <w:jc w:val="center"/>
              <w:rPr>
                <w:rFonts w:hint="default"/>
                <w:color w:val="000000"/>
              </w:rPr>
            </w:pPr>
            <w:r>
              <w:rPr>
                <w:rFonts w:hint="default"/>
                <w:color w:val="000000"/>
                <w:lang w:val="en-US" w:eastAsia="zh-CN"/>
              </w:rPr>
              <w:t>0.00</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BBE841D">
            <w:pPr>
              <w:pStyle w:val="10"/>
              <w:bidi w:val="0"/>
              <w:jc w:val="center"/>
              <w:rPr>
                <w:rFonts w:hint="default"/>
                <w:color w:val="000000"/>
              </w:rPr>
            </w:pPr>
            <w:r>
              <w:rPr>
                <w:rFonts w:hint="default"/>
                <w:color w:val="000000"/>
                <w:lang w:val="en-US" w:eastAsia="zh-CN"/>
              </w:rPr>
              <w:t>0.10</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59F222D">
            <w:pPr>
              <w:pStyle w:val="10"/>
              <w:bidi w:val="0"/>
              <w:jc w:val="center"/>
              <w:rPr>
                <w:rFonts w:hint="default"/>
                <w:color w:val="000000"/>
              </w:rPr>
            </w:pPr>
            <w:r>
              <w:rPr>
                <w:rFonts w:hint="default"/>
                <w:color w:val="000000"/>
                <w:lang w:val="en-US" w:eastAsia="zh-CN"/>
              </w:rPr>
              <w:t>0.40</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CF6DB2B">
            <w:pPr>
              <w:pStyle w:val="10"/>
              <w:bidi w:val="0"/>
              <w:jc w:val="center"/>
              <w:rPr>
                <w:rFonts w:hint="default"/>
                <w:color w:val="000000"/>
              </w:rPr>
            </w:pPr>
            <w:r>
              <w:rPr>
                <w:rFonts w:hint="default"/>
                <w:color w:val="000000"/>
                <w:lang w:val="en-US" w:eastAsia="zh-CN"/>
              </w:rPr>
              <w:t>0.14</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10888EB">
            <w:pPr>
              <w:pStyle w:val="10"/>
              <w:bidi w:val="0"/>
              <w:jc w:val="center"/>
              <w:rPr>
                <w:rFonts w:hint="default"/>
                <w:color w:val="000000"/>
              </w:rPr>
            </w:pPr>
            <w:r>
              <w:rPr>
                <w:rFonts w:hint="default"/>
                <w:color w:val="000000"/>
                <w:lang w:val="en-US" w:eastAsia="zh-CN"/>
              </w:rPr>
              <w:t>0.01</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DDDF986">
            <w:pPr>
              <w:pStyle w:val="10"/>
              <w:bidi w:val="0"/>
              <w:jc w:val="center"/>
              <w:rPr>
                <w:rFonts w:hint="default"/>
                <w:color w:val="000000"/>
              </w:rPr>
            </w:pPr>
            <w:r>
              <w:rPr>
                <w:rFonts w:hint="default"/>
                <w:color w:val="000000"/>
                <w:lang w:val="en-US" w:eastAsia="zh-CN"/>
              </w:rPr>
              <w:t>0.01</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AB76A5A">
            <w:pPr>
              <w:pStyle w:val="10"/>
              <w:bidi w:val="0"/>
              <w:jc w:val="center"/>
              <w:rPr>
                <w:rFonts w:hint="default"/>
                <w:color w:val="000000"/>
              </w:rPr>
            </w:pPr>
            <w:r>
              <w:rPr>
                <w:rFonts w:hint="default"/>
                <w:color w:val="000000"/>
                <w:lang w:val="en-US" w:eastAsia="zh-CN"/>
              </w:rPr>
              <w:t>0.20</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5CEDB43">
            <w:pPr>
              <w:pStyle w:val="10"/>
              <w:bidi w:val="0"/>
              <w:jc w:val="center"/>
              <w:rPr>
                <w:rFonts w:hint="default"/>
                <w:color w:val="000000"/>
              </w:rPr>
            </w:pPr>
            <w:r>
              <w:rPr>
                <w:rFonts w:hint="default"/>
                <w:color w:val="000000"/>
                <w:lang w:val="en-US" w:eastAsia="zh-CN"/>
              </w:rPr>
              <w:t>0.40</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ACEA3EA">
            <w:pPr>
              <w:pStyle w:val="10"/>
              <w:bidi w:val="0"/>
              <w:jc w:val="center"/>
              <w:rPr>
                <w:rFonts w:hint="default"/>
                <w:color w:val="000000"/>
              </w:rPr>
            </w:pPr>
            <w:r>
              <w:rPr>
                <w:rFonts w:hint="default"/>
                <w:color w:val="000000"/>
                <w:lang w:val="en-US" w:eastAsia="zh-CN"/>
              </w:rPr>
              <w:t>0.13</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977BFC8">
            <w:pPr>
              <w:pStyle w:val="10"/>
              <w:bidi w:val="0"/>
              <w:jc w:val="center"/>
              <w:rPr>
                <w:rFonts w:hint="default"/>
                <w:color w:val="000000"/>
              </w:rPr>
            </w:pPr>
            <w:r>
              <w:rPr>
                <w:rFonts w:hint="default"/>
                <w:color w:val="000000"/>
                <w:lang w:val="en-US" w:eastAsia="zh-CN"/>
              </w:rPr>
              <w:t>0.05</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22881A9">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465186E">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A0CE68B">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10E428F">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D9033D6">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5C1F62D">
            <w:pPr>
              <w:pStyle w:val="10"/>
              <w:bidi w:val="0"/>
              <w:jc w:val="center"/>
              <w:rPr>
                <w:rFonts w:hint="default"/>
                <w:color w:val="000000"/>
              </w:rPr>
            </w:pPr>
            <w:r>
              <w:rPr>
                <w:rFonts w:hint="default"/>
                <w:color w:val="000000"/>
                <w:lang w:val="en-US" w:eastAsia="zh-CN"/>
              </w:rPr>
              <w:t>0.16</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CCA1604">
            <w:pPr>
              <w:pStyle w:val="10"/>
              <w:bidi w:val="0"/>
              <w:jc w:val="center"/>
              <w:rPr>
                <w:rFonts w:hint="default"/>
                <w:color w:val="000000"/>
              </w:rPr>
            </w:pPr>
          </w:p>
        </w:tc>
        <w:tc>
          <w:tcPr>
            <w:tcW w:w="166"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14:paraId="1D1E8B84">
            <w:pPr>
              <w:pStyle w:val="10"/>
              <w:bidi w:val="0"/>
              <w:jc w:val="center"/>
              <w:rPr>
                <w:rFonts w:hint="default"/>
                <w:color w:val="000000"/>
              </w:rPr>
            </w:pPr>
            <w:r>
              <w:rPr>
                <w:rFonts w:hint="default"/>
                <w:color w:val="000000"/>
                <w:lang w:val="en-US" w:eastAsia="zh-CN"/>
              </w:rPr>
              <w:t>3</w:t>
            </w:r>
          </w:p>
        </w:tc>
      </w:tr>
      <w:tr w14:paraId="197B440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55" w:hRule="atLeast"/>
        </w:trPr>
        <w:tc>
          <w:tcPr>
            <w:tcW w:w="161" w:type="pct"/>
            <w:vMerge w:val="restar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417027F">
            <w:pPr>
              <w:pStyle w:val="10"/>
              <w:bidi w:val="0"/>
              <w:jc w:val="center"/>
              <w:rPr>
                <w:rFonts w:hint="eastAsia"/>
                <w:color w:val="000000"/>
              </w:rPr>
            </w:pPr>
            <w:r>
              <w:rPr>
                <w:rFonts w:hint="eastAsia"/>
                <w:color w:val="000000"/>
                <w:lang w:val="en-US" w:eastAsia="zh-CN"/>
              </w:rPr>
              <w:t>库坝</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66B9C19">
            <w:pPr>
              <w:pStyle w:val="10"/>
              <w:bidi w:val="0"/>
              <w:jc w:val="center"/>
              <w:rPr>
                <w:rFonts w:hint="eastAsia"/>
                <w:color w:val="000000"/>
              </w:rPr>
            </w:pPr>
            <w:r>
              <w:rPr>
                <w:rFonts w:hint="eastAsia"/>
                <w:color w:val="000000"/>
                <w:lang w:val="en-US" w:eastAsia="zh-CN"/>
              </w:rPr>
              <w:t>最大值</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5AE1DAF">
            <w:pPr>
              <w:pStyle w:val="10"/>
              <w:bidi w:val="0"/>
              <w:jc w:val="center"/>
              <w:rPr>
                <w:rFonts w:hint="default"/>
                <w:color w:val="000000"/>
              </w:rPr>
            </w:pPr>
            <w:r>
              <w:rPr>
                <w:rFonts w:hint="default"/>
                <w:color w:val="000000"/>
                <w:lang w:val="en-US" w:eastAsia="zh-CN"/>
              </w:rPr>
              <w:t>7.95</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C2C3C2E">
            <w:pPr>
              <w:pStyle w:val="10"/>
              <w:bidi w:val="0"/>
              <w:jc w:val="center"/>
              <w:rPr>
                <w:rFonts w:hint="default"/>
                <w:color w:val="000000"/>
              </w:rPr>
            </w:pPr>
            <w:r>
              <w:rPr>
                <w:rFonts w:hint="default"/>
                <w:color w:val="000000"/>
                <w:lang w:val="en-US" w:eastAsia="zh-CN"/>
              </w:rPr>
              <w:t>11.2</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900654C">
            <w:pPr>
              <w:pStyle w:val="10"/>
              <w:bidi w:val="0"/>
              <w:jc w:val="center"/>
              <w:rPr>
                <w:rFonts w:hint="default"/>
                <w:color w:val="000000"/>
              </w:rPr>
            </w:pPr>
            <w:r>
              <w:rPr>
                <w:rFonts w:hint="default"/>
                <w:color w:val="000000"/>
                <w:lang w:val="en-US" w:eastAsia="zh-CN"/>
              </w:rPr>
              <w:t>2.0</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EFF7356">
            <w:pPr>
              <w:pStyle w:val="10"/>
              <w:bidi w:val="0"/>
              <w:jc w:val="center"/>
              <w:rPr>
                <w:rFonts w:hint="default"/>
                <w:color w:val="000000"/>
              </w:rPr>
            </w:pPr>
            <w:r>
              <w:rPr>
                <w:rFonts w:hint="default"/>
                <w:color w:val="000000"/>
                <w:lang w:val="en-US" w:eastAsia="zh-CN"/>
              </w:rPr>
              <w:t>7.7</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F294C0A">
            <w:pPr>
              <w:pStyle w:val="10"/>
              <w:bidi w:val="0"/>
              <w:jc w:val="center"/>
              <w:rPr>
                <w:rFonts w:hint="default"/>
                <w:color w:val="000000"/>
              </w:rPr>
            </w:pPr>
            <w:r>
              <w:rPr>
                <w:rFonts w:hint="default"/>
                <w:color w:val="000000"/>
                <w:lang w:val="en-US" w:eastAsia="zh-CN"/>
              </w:rPr>
              <w:t>2.3</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4B11DB2">
            <w:pPr>
              <w:pStyle w:val="10"/>
              <w:bidi w:val="0"/>
              <w:jc w:val="center"/>
              <w:rPr>
                <w:rFonts w:hint="default"/>
                <w:color w:val="000000"/>
              </w:rPr>
            </w:pPr>
            <w:r>
              <w:rPr>
                <w:rFonts w:hint="default"/>
                <w:color w:val="000000"/>
                <w:lang w:val="en-US" w:eastAsia="zh-CN"/>
              </w:rPr>
              <w:t>0.131</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13D87E6">
            <w:pPr>
              <w:pStyle w:val="10"/>
              <w:bidi w:val="0"/>
              <w:jc w:val="center"/>
              <w:rPr>
                <w:rFonts w:hint="default"/>
                <w:color w:val="000000"/>
              </w:rPr>
            </w:pPr>
            <w:r>
              <w:rPr>
                <w:rFonts w:hint="default"/>
                <w:color w:val="000000"/>
                <w:lang w:val="en-US" w:eastAsia="zh-CN"/>
              </w:rPr>
              <w:t>0.019</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02E7E45">
            <w:pPr>
              <w:pStyle w:val="10"/>
              <w:bidi w:val="0"/>
              <w:jc w:val="center"/>
              <w:rPr>
                <w:rFonts w:hint="default"/>
                <w:color w:val="000000"/>
              </w:rPr>
            </w:pPr>
            <w:r>
              <w:rPr>
                <w:rFonts w:hint="default"/>
                <w:color w:val="000000"/>
                <w:lang w:val="en-US" w:eastAsia="zh-CN"/>
              </w:rPr>
              <w:t>0.002</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FD7CCD6">
            <w:pPr>
              <w:pStyle w:val="10"/>
              <w:bidi w:val="0"/>
              <w:jc w:val="center"/>
              <w:rPr>
                <w:rFonts w:hint="default"/>
                <w:color w:val="000000"/>
              </w:rPr>
            </w:pPr>
            <w:r>
              <w:rPr>
                <w:rFonts w:hint="default"/>
                <w:color w:val="000000"/>
                <w:lang w:val="en-US" w:eastAsia="zh-CN"/>
              </w:rPr>
              <w:t>0.010</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F1CD690">
            <w:pPr>
              <w:pStyle w:val="10"/>
              <w:bidi w:val="0"/>
              <w:jc w:val="center"/>
              <w:rPr>
                <w:rFonts w:hint="default"/>
                <w:color w:val="000000"/>
              </w:rPr>
            </w:pPr>
            <w:r>
              <w:rPr>
                <w:rFonts w:hint="default"/>
                <w:color w:val="000000"/>
                <w:lang w:val="en-US" w:eastAsia="zh-CN"/>
              </w:rPr>
              <w:t>0.43</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A029F23">
            <w:pPr>
              <w:pStyle w:val="10"/>
              <w:bidi w:val="0"/>
              <w:jc w:val="center"/>
              <w:rPr>
                <w:rFonts w:hint="default"/>
                <w:color w:val="000000"/>
              </w:rPr>
            </w:pPr>
            <w:r>
              <w:rPr>
                <w:rFonts w:hint="default"/>
                <w:color w:val="000000"/>
                <w:lang w:val="en-US" w:eastAsia="zh-CN"/>
              </w:rPr>
              <w:t>0.00004</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B6A4570">
            <w:pPr>
              <w:pStyle w:val="10"/>
              <w:bidi w:val="0"/>
              <w:jc w:val="center"/>
              <w:rPr>
                <w:rFonts w:hint="default"/>
                <w:color w:val="000000"/>
              </w:rPr>
            </w:pPr>
            <w:r>
              <w:rPr>
                <w:rFonts w:hint="default"/>
                <w:color w:val="000000"/>
                <w:lang w:val="en-US" w:eastAsia="zh-CN"/>
              </w:rPr>
              <w:t>0.00001</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52439A5">
            <w:pPr>
              <w:pStyle w:val="10"/>
              <w:bidi w:val="0"/>
              <w:jc w:val="center"/>
              <w:rPr>
                <w:rFonts w:hint="default"/>
                <w:color w:val="000000"/>
              </w:rPr>
            </w:pPr>
            <w:r>
              <w:rPr>
                <w:rFonts w:hint="default"/>
                <w:color w:val="000000"/>
                <w:lang w:val="en-US" w:eastAsia="zh-CN"/>
              </w:rPr>
              <w:t>0.00001</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5ABF34B">
            <w:pPr>
              <w:pStyle w:val="10"/>
              <w:bidi w:val="0"/>
              <w:jc w:val="center"/>
              <w:rPr>
                <w:rFonts w:hint="default"/>
                <w:color w:val="000000"/>
              </w:rPr>
            </w:pPr>
            <w:r>
              <w:rPr>
                <w:rFonts w:hint="default"/>
                <w:color w:val="000000"/>
                <w:lang w:val="en-US" w:eastAsia="zh-CN"/>
              </w:rPr>
              <w:t>0.002</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F91774F">
            <w:pPr>
              <w:pStyle w:val="10"/>
              <w:bidi w:val="0"/>
              <w:jc w:val="center"/>
              <w:rPr>
                <w:rFonts w:hint="default"/>
                <w:color w:val="000000"/>
              </w:rPr>
            </w:pPr>
            <w:r>
              <w:rPr>
                <w:rFonts w:hint="default"/>
                <w:color w:val="000000"/>
                <w:lang w:val="en-US" w:eastAsia="zh-CN"/>
              </w:rPr>
              <w:t>0.009</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ACC37A5">
            <w:pPr>
              <w:pStyle w:val="10"/>
              <w:bidi w:val="0"/>
              <w:jc w:val="center"/>
              <w:rPr>
                <w:rFonts w:hint="default"/>
                <w:color w:val="000000"/>
              </w:rPr>
            </w:pPr>
            <w:r>
              <w:rPr>
                <w:rFonts w:hint="default"/>
                <w:color w:val="000000"/>
                <w:lang w:val="en-US" w:eastAsia="zh-CN"/>
              </w:rPr>
              <w:t>0.0005</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0FCF2C7">
            <w:pPr>
              <w:pStyle w:val="10"/>
              <w:bidi w:val="0"/>
              <w:jc w:val="center"/>
              <w:rPr>
                <w:rFonts w:hint="default"/>
                <w:color w:val="000000"/>
              </w:rPr>
            </w:pPr>
            <w:r>
              <w:rPr>
                <w:rFonts w:hint="default"/>
                <w:color w:val="000000"/>
                <w:lang w:val="en-US" w:eastAsia="zh-CN"/>
              </w:rPr>
              <w:t>0.002</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C6BB2DB">
            <w:pPr>
              <w:pStyle w:val="10"/>
              <w:bidi w:val="0"/>
              <w:jc w:val="center"/>
              <w:rPr>
                <w:rFonts w:hint="default"/>
                <w:color w:val="000000"/>
              </w:rPr>
            </w:pPr>
            <w:r>
              <w:rPr>
                <w:rFonts w:hint="default"/>
                <w:color w:val="000000"/>
                <w:lang w:val="en-US" w:eastAsia="zh-CN"/>
              </w:rPr>
              <w:t>0.0016</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F287C9E">
            <w:pPr>
              <w:pStyle w:val="10"/>
              <w:bidi w:val="0"/>
              <w:jc w:val="center"/>
              <w:rPr>
                <w:rFonts w:hint="default"/>
                <w:color w:val="000000"/>
              </w:rPr>
            </w:pPr>
            <w:r>
              <w:rPr>
                <w:rFonts w:hint="default"/>
                <w:color w:val="000000"/>
                <w:lang w:val="en-US" w:eastAsia="zh-CN"/>
              </w:rPr>
              <w:t>0.02</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5530497">
            <w:pPr>
              <w:pStyle w:val="10"/>
              <w:bidi w:val="0"/>
              <w:jc w:val="center"/>
              <w:rPr>
                <w:rFonts w:hint="default"/>
                <w:color w:val="000000"/>
              </w:rPr>
            </w:pPr>
            <w:r>
              <w:rPr>
                <w:rFonts w:hint="default"/>
                <w:color w:val="000000"/>
                <w:lang w:val="en-US" w:eastAsia="zh-CN"/>
              </w:rPr>
              <w:t>0.025</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B0EC6CA">
            <w:pPr>
              <w:pStyle w:val="10"/>
              <w:bidi w:val="0"/>
              <w:jc w:val="center"/>
              <w:rPr>
                <w:rFonts w:hint="default"/>
                <w:color w:val="000000"/>
              </w:rPr>
            </w:pPr>
            <w:r>
              <w:rPr>
                <w:rFonts w:hint="default"/>
                <w:color w:val="000000"/>
                <w:lang w:val="en-US" w:eastAsia="zh-CN"/>
              </w:rPr>
              <w:t>0.025</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BA9D646">
            <w:pPr>
              <w:pStyle w:val="10"/>
              <w:bidi w:val="0"/>
              <w:jc w:val="center"/>
              <w:rPr>
                <w:rFonts w:hint="default"/>
                <w:color w:val="000000"/>
              </w:rPr>
            </w:pPr>
            <w:r>
              <w:rPr>
                <w:rFonts w:hint="default"/>
                <w:color w:val="000000"/>
                <w:lang w:val="en-US" w:eastAsia="zh-CN"/>
              </w:rPr>
              <w:t>3.65</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669833A">
            <w:pPr>
              <w:pStyle w:val="10"/>
              <w:bidi w:val="0"/>
              <w:jc w:val="center"/>
              <w:rPr>
                <w:rFonts w:hint="default"/>
                <w:color w:val="000000"/>
              </w:rPr>
            </w:pPr>
            <w:r>
              <w:rPr>
                <w:rFonts w:hint="default"/>
                <w:color w:val="000000"/>
                <w:lang w:val="en-US" w:eastAsia="zh-CN"/>
              </w:rPr>
              <w:t>1.07</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6F242AE">
            <w:pPr>
              <w:pStyle w:val="10"/>
              <w:bidi w:val="0"/>
              <w:jc w:val="center"/>
              <w:rPr>
                <w:rFonts w:hint="default"/>
                <w:color w:val="000000"/>
              </w:rPr>
            </w:pPr>
            <w:r>
              <w:rPr>
                <w:rFonts w:hint="default"/>
                <w:color w:val="000000"/>
                <w:lang w:val="en-US" w:eastAsia="zh-CN"/>
              </w:rPr>
              <w:t>0.94</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4CEB91A">
            <w:pPr>
              <w:pStyle w:val="10"/>
              <w:bidi w:val="0"/>
              <w:jc w:val="center"/>
              <w:rPr>
                <w:rFonts w:hint="default"/>
                <w:color w:val="000000"/>
              </w:rPr>
            </w:pPr>
            <w:r>
              <w:rPr>
                <w:rFonts w:hint="default"/>
                <w:color w:val="000000"/>
                <w:lang w:val="en-US" w:eastAsia="zh-CN"/>
              </w:rPr>
              <w:t>0.070</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6B98C55">
            <w:pPr>
              <w:pStyle w:val="10"/>
              <w:bidi w:val="0"/>
              <w:jc w:val="center"/>
              <w:rPr>
                <w:rFonts w:hint="default"/>
                <w:color w:val="000000"/>
              </w:rPr>
            </w:pPr>
            <w:r>
              <w:rPr>
                <w:rFonts w:hint="default"/>
                <w:color w:val="000000"/>
                <w:lang w:val="en-US" w:eastAsia="zh-CN"/>
              </w:rPr>
              <w:t>0.003</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754664B">
            <w:pPr>
              <w:pStyle w:val="10"/>
              <w:bidi w:val="0"/>
              <w:jc w:val="center"/>
              <w:rPr>
                <w:rFonts w:hint="default"/>
                <w:color w:val="000000"/>
              </w:rPr>
            </w:pP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AAC9D9A">
            <w:pPr>
              <w:pStyle w:val="10"/>
              <w:bidi w:val="0"/>
              <w:jc w:val="center"/>
              <w:rPr>
                <w:rFonts w:hint="default"/>
                <w:color w:val="000000"/>
              </w:rPr>
            </w:pPr>
          </w:p>
        </w:tc>
        <w:tc>
          <w:tcPr>
            <w:tcW w:w="16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32CACB05">
            <w:pPr>
              <w:pStyle w:val="10"/>
              <w:bidi w:val="0"/>
              <w:jc w:val="center"/>
              <w:rPr>
                <w:rFonts w:hint="default"/>
                <w:color w:val="000000"/>
              </w:rPr>
            </w:pPr>
          </w:p>
        </w:tc>
      </w:tr>
      <w:tr w14:paraId="0D1CB35C">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555" w:hRule="atLeast"/>
        </w:trPr>
        <w:tc>
          <w:tcPr>
            <w:tcW w:w="161" w:type="pct"/>
            <w:vMerge w:val="continue"/>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B6A9697">
            <w:pPr>
              <w:pStyle w:val="10"/>
              <w:bidi w:val="0"/>
              <w:jc w:val="center"/>
              <w:rPr>
                <w:rFonts w:hint="eastAsia"/>
                <w:color w:val="000000"/>
              </w:rPr>
            </w:pP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D5379FF">
            <w:pPr>
              <w:pStyle w:val="10"/>
              <w:bidi w:val="0"/>
              <w:jc w:val="center"/>
              <w:rPr>
                <w:rFonts w:hint="eastAsia"/>
                <w:color w:val="000000"/>
              </w:rPr>
            </w:pPr>
            <w:r>
              <w:rPr>
                <w:rFonts w:hint="eastAsia"/>
                <w:color w:val="000000"/>
                <w:lang w:val="en-US" w:eastAsia="zh-CN"/>
              </w:rPr>
              <w:t>最小值</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4609133">
            <w:pPr>
              <w:pStyle w:val="10"/>
              <w:bidi w:val="0"/>
              <w:jc w:val="center"/>
              <w:rPr>
                <w:rFonts w:hint="default"/>
                <w:color w:val="000000"/>
              </w:rPr>
            </w:pPr>
            <w:r>
              <w:rPr>
                <w:rFonts w:hint="default"/>
                <w:color w:val="000000"/>
                <w:lang w:val="en-US" w:eastAsia="zh-CN"/>
              </w:rPr>
              <w:t>6.97</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9DF972F">
            <w:pPr>
              <w:pStyle w:val="10"/>
              <w:bidi w:val="0"/>
              <w:jc w:val="center"/>
              <w:rPr>
                <w:rFonts w:hint="default"/>
                <w:color w:val="000000"/>
              </w:rPr>
            </w:pPr>
            <w:r>
              <w:rPr>
                <w:rFonts w:hint="default"/>
                <w:color w:val="000000"/>
                <w:lang w:val="en-US" w:eastAsia="zh-CN"/>
              </w:rPr>
              <w:t>7.1</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632B210">
            <w:pPr>
              <w:pStyle w:val="10"/>
              <w:bidi w:val="0"/>
              <w:jc w:val="center"/>
              <w:rPr>
                <w:rFonts w:hint="default"/>
                <w:color w:val="000000"/>
              </w:rPr>
            </w:pPr>
            <w:r>
              <w:rPr>
                <w:rFonts w:hint="default"/>
                <w:color w:val="000000"/>
                <w:lang w:val="en-US" w:eastAsia="zh-CN"/>
              </w:rPr>
              <w:t>1.0</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F827929">
            <w:pPr>
              <w:pStyle w:val="10"/>
              <w:bidi w:val="0"/>
              <w:jc w:val="center"/>
              <w:rPr>
                <w:rFonts w:hint="default"/>
                <w:color w:val="000000"/>
              </w:rPr>
            </w:pPr>
            <w:r>
              <w:rPr>
                <w:rFonts w:hint="default"/>
                <w:color w:val="000000"/>
                <w:lang w:val="en-US" w:eastAsia="zh-CN"/>
              </w:rPr>
              <w:t>3.8</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29C204E">
            <w:pPr>
              <w:pStyle w:val="10"/>
              <w:bidi w:val="0"/>
              <w:jc w:val="center"/>
              <w:rPr>
                <w:rFonts w:hint="default"/>
                <w:color w:val="000000"/>
              </w:rPr>
            </w:pPr>
            <w:r>
              <w:rPr>
                <w:rFonts w:hint="default"/>
                <w:color w:val="000000"/>
                <w:lang w:val="en-US" w:eastAsia="zh-CN"/>
              </w:rPr>
              <w:t>1.3</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38C11DF">
            <w:pPr>
              <w:pStyle w:val="10"/>
              <w:bidi w:val="0"/>
              <w:jc w:val="center"/>
              <w:rPr>
                <w:rFonts w:hint="default"/>
                <w:color w:val="000000"/>
              </w:rPr>
            </w:pPr>
            <w:r>
              <w:rPr>
                <w:rFonts w:hint="default"/>
                <w:color w:val="000000"/>
                <w:lang w:val="en-US" w:eastAsia="zh-CN"/>
              </w:rPr>
              <w:t>0.042</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C569022">
            <w:pPr>
              <w:pStyle w:val="10"/>
              <w:bidi w:val="0"/>
              <w:jc w:val="center"/>
              <w:rPr>
                <w:rFonts w:hint="default"/>
                <w:color w:val="000000"/>
              </w:rPr>
            </w:pPr>
            <w:r>
              <w:rPr>
                <w:rFonts w:hint="default"/>
                <w:color w:val="000000"/>
                <w:lang w:val="en-US" w:eastAsia="zh-CN"/>
              </w:rPr>
              <w:t>0.005</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C42BBF3">
            <w:pPr>
              <w:pStyle w:val="10"/>
              <w:bidi w:val="0"/>
              <w:jc w:val="center"/>
              <w:rPr>
                <w:rFonts w:hint="default"/>
                <w:color w:val="000000"/>
              </w:rPr>
            </w:pPr>
            <w:r>
              <w:rPr>
                <w:rFonts w:hint="default"/>
                <w:color w:val="000000"/>
                <w:lang w:val="en-US" w:eastAsia="zh-CN"/>
              </w:rPr>
              <w:t>0.002</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96D0226">
            <w:pPr>
              <w:pStyle w:val="10"/>
              <w:bidi w:val="0"/>
              <w:jc w:val="center"/>
              <w:rPr>
                <w:rFonts w:hint="default"/>
                <w:color w:val="000000"/>
              </w:rPr>
            </w:pPr>
            <w:r>
              <w:rPr>
                <w:rFonts w:hint="default"/>
                <w:color w:val="000000"/>
                <w:lang w:val="en-US" w:eastAsia="zh-CN"/>
              </w:rPr>
              <w:t>0.0005</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361C99A">
            <w:pPr>
              <w:pStyle w:val="10"/>
              <w:bidi w:val="0"/>
              <w:jc w:val="center"/>
              <w:rPr>
                <w:rFonts w:hint="default"/>
                <w:color w:val="000000"/>
              </w:rPr>
            </w:pPr>
            <w:r>
              <w:rPr>
                <w:rFonts w:hint="default"/>
                <w:color w:val="000000"/>
                <w:lang w:val="en-US" w:eastAsia="zh-CN"/>
              </w:rPr>
              <w:t>0.14</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C43EE00">
            <w:pPr>
              <w:pStyle w:val="10"/>
              <w:bidi w:val="0"/>
              <w:jc w:val="center"/>
              <w:rPr>
                <w:rFonts w:hint="default"/>
                <w:color w:val="000000"/>
              </w:rPr>
            </w:pPr>
            <w:r>
              <w:rPr>
                <w:rFonts w:hint="default"/>
                <w:color w:val="000000"/>
                <w:lang w:val="en-US" w:eastAsia="zh-CN"/>
              </w:rPr>
              <w:t>0.00004</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25BF1FD">
            <w:pPr>
              <w:pStyle w:val="10"/>
              <w:bidi w:val="0"/>
              <w:jc w:val="center"/>
              <w:rPr>
                <w:rFonts w:hint="default"/>
                <w:color w:val="000000"/>
              </w:rPr>
            </w:pPr>
            <w:r>
              <w:rPr>
                <w:rFonts w:hint="default"/>
                <w:color w:val="000000"/>
                <w:lang w:val="en-US" w:eastAsia="zh-CN"/>
              </w:rPr>
              <w:t>0.00001</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625C335">
            <w:pPr>
              <w:pStyle w:val="10"/>
              <w:bidi w:val="0"/>
              <w:jc w:val="center"/>
              <w:rPr>
                <w:rFonts w:hint="default"/>
                <w:color w:val="000000"/>
              </w:rPr>
            </w:pPr>
            <w:r>
              <w:rPr>
                <w:rFonts w:hint="default"/>
                <w:color w:val="000000"/>
                <w:lang w:val="en-US" w:eastAsia="zh-CN"/>
              </w:rPr>
              <w:t>0.00001</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D8DC369">
            <w:pPr>
              <w:pStyle w:val="10"/>
              <w:bidi w:val="0"/>
              <w:jc w:val="center"/>
              <w:rPr>
                <w:rFonts w:hint="default"/>
                <w:color w:val="000000"/>
              </w:rPr>
            </w:pPr>
            <w:r>
              <w:rPr>
                <w:rFonts w:hint="default"/>
                <w:color w:val="000000"/>
                <w:lang w:val="en-US" w:eastAsia="zh-CN"/>
              </w:rPr>
              <w:t>0.002</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9115EEE">
            <w:pPr>
              <w:pStyle w:val="10"/>
              <w:bidi w:val="0"/>
              <w:jc w:val="center"/>
              <w:rPr>
                <w:rFonts w:hint="default"/>
                <w:color w:val="000000"/>
              </w:rPr>
            </w:pPr>
            <w:r>
              <w:rPr>
                <w:rFonts w:hint="default"/>
                <w:color w:val="000000"/>
                <w:lang w:val="en-US" w:eastAsia="zh-CN"/>
              </w:rPr>
              <w:t>0.004</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28E9B54">
            <w:pPr>
              <w:pStyle w:val="10"/>
              <w:bidi w:val="0"/>
              <w:jc w:val="center"/>
              <w:rPr>
                <w:rFonts w:hint="default"/>
                <w:color w:val="000000"/>
              </w:rPr>
            </w:pPr>
            <w:r>
              <w:rPr>
                <w:rFonts w:hint="default"/>
                <w:color w:val="000000"/>
                <w:lang w:val="en-US" w:eastAsia="zh-CN"/>
              </w:rPr>
              <w:t>0.0005</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D66DCA4">
            <w:pPr>
              <w:pStyle w:val="10"/>
              <w:bidi w:val="0"/>
              <w:jc w:val="center"/>
              <w:rPr>
                <w:rFonts w:hint="default"/>
                <w:color w:val="000000"/>
              </w:rPr>
            </w:pPr>
            <w:r>
              <w:rPr>
                <w:rFonts w:hint="default"/>
                <w:color w:val="000000"/>
                <w:lang w:val="en-US" w:eastAsia="zh-CN"/>
              </w:rPr>
              <w:t>0.002</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8779337">
            <w:pPr>
              <w:pStyle w:val="10"/>
              <w:bidi w:val="0"/>
              <w:jc w:val="center"/>
              <w:rPr>
                <w:rFonts w:hint="default"/>
                <w:color w:val="000000"/>
              </w:rPr>
            </w:pPr>
            <w:r>
              <w:rPr>
                <w:rFonts w:hint="default"/>
                <w:color w:val="000000"/>
                <w:lang w:val="en-US" w:eastAsia="zh-CN"/>
              </w:rPr>
              <w:t>0.0006</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8FDBE59">
            <w:pPr>
              <w:pStyle w:val="10"/>
              <w:bidi w:val="0"/>
              <w:jc w:val="center"/>
              <w:rPr>
                <w:rFonts w:hint="default"/>
                <w:color w:val="000000"/>
              </w:rPr>
            </w:pPr>
            <w:r>
              <w:rPr>
                <w:rFonts w:hint="default"/>
                <w:color w:val="000000"/>
                <w:lang w:val="en-US" w:eastAsia="zh-CN"/>
              </w:rPr>
              <w:t>0.02</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DA68177">
            <w:pPr>
              <w:pStyle w:val="10"/>
              <w:bidi w:val="0"/>
              <w:jc w:val="center"/>
              <w:rPr>
                <w:rFonts w:hint="default"/>
                <w:color w:val="000000"/>
              </w:rPr>
            </w:pPr>
            <w:r>
              <w:rPr>
                <w:rFonts w:hint="default"/>
                <w:color w:val="000000"/>
                <w:lang w:val="en-US" w:eastAsia="zh-CN"/>
              </w:rPr>
              <w:t>0.025</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0D4AFDF">
            <w:pPr>
              <w:pStyle w:val="10"/>
              <w:bidi w:val="0"/>
              <w:jc w:val="center"/>
              <w:rPr>
                <w:rFonts w:hint="default"/>
                <w:color w:val="000000"/>
              </w:rPr>
            </w:pPr>
            <w:r>
              <w:rPr>
                <w:rFonts w:hint="default"/>
                <w:color w:val="000000"/>
                <w:lang w:val="en-US" w:eastAsia="zh-CN"/>
              </w:rPr>
              <w:t>0.0025</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130955E">
            <w:pPr>
              <w:pStyle w:val="10"/>
              <w:bidi w:val="0"/>
              <w:jc w:val="center"/>
              <w:rPr>
                <w:rFonts w:hint="default"/>
                <w:color w:val="000000"/>
              </w:rPr>
            </w:pPr>
            <w:r>
              <w:rPr>
                <w:rFonts w:hint="default"/>
                <w:color w:val="000000"/>
                <w:lang w:val="en-US" w:eastAsia="zh-CN"/>
              </w:rPr>
              <w:t>3.15</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BABC06E">
            <w:pPr>
              <w:pStyle w:val="10"/>
              <w:bidi w:val="0"/>
              <w:jc w:val="center"/>
              <w:rPr>
                <w:rFonts w:hint="default"/>
                <w:color w:val="000000"/>
              </w:rPr>
            </w:pPr>
            <w:r>
              <w:rPr>
                <w:rFonts w:hint="default"/>
                <w:color w:val="000000"/>
                <w:lang w:val="en-US" w:eastAsia="zh-CN"/>
              </w:rPr>
              <w:t>0.56</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5C638AD">
            <w:pPr>
              <w:pStyle w:val="10"/>
              <w:bidi w:val="0"/>
              <w:jc w:val="center"/>
              <w:rPr>
                <w:rFonts w:hint="default"/>
                <w:color w:val="000000"/>
              </w:rPr>
            </w:pPr>
            <w:r>
              <w:rPr>
                <w:rFonts w:hint="default"/>
                <w:color w:val="000000"/>
                <w:lang w:val="en-US" w:eastAsia="zh-CN"/>
              </w:rPr>
              <w:t>0.03</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1F9843B">
            <w:pPr>
              <w:pStyle w:val="10"/>
              <w:bidi w:val="0"/>
              <w:jc w:val="center"/>
              <w:rPr>
                <w:rFonts w:hint="default"/>
                <w:color w:val="000000"/>
              </w:rPr>
            </w:pPr>
            <w:r>
              <w:rPr>
                <w:rFonts w:hint="default"/>
                <w:color w:val="000000"/>
                <w:lang w:val="en-US" w:eastAsia="zh-CN"/>
              </w:rPr>
              <w:t>0.003</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14BAA40">
            <w:pPr>
              <w:pStyle w:val="10"/>
              <w:bidi w:val="0"/>
              <w:jc w:val="center"/>
              <w:rPr>
                <w:rFonts w:hint="default"/>
                <w:color w:val="000000"/>
              </w:rPr>
            </w:pPr>
            <w:r>
              <w:rPr>
                <w:rFonts w:hint="default"/>
                <w:color w:val="000000"/>
                <w:lang w:val="en-US" w:eastAsia="zh-CN"/>
              </w:rPr>
              <w:t>0</w:t>
            </w:r>
            <w:r>
              <w:rPr>
                <w:color w:val="000000"/>
                <w:lang w:val="en-US" w:eastAsia="zh-CN"/>
              </w:rPr>
              <w:t>,</w:t>
            </w:r>
            <w:r>
              <w:rPr>
                <w:rFonts w:hint="default"/>
                <w:color w:val="000000"/>
                <w:lang w:val="en-US" w:eastAsia="zh-CN"/>
              </w:rPr>
              <w:t>003</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4A3E5B1">
            <w:pPr>
              <w:pStyle w:val="10"/>
              <w:bidi w:val="0"/>
              <w:jc w:val="center"/>
              <w:rPr>
                <w:rFonts w:hint="default"/>
                <w:color w:val="000000"/>
              </w:rPr>
            </w:pP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257C346">
            <w:pPr>
              <w:pStyle w:val="10"/>
              <w:bidi w:val="0"/>
              <w:jc w:val="center"/>
              <w:rPr>
                <w:rFonts w:hint="default"/>
                <w:color w:val="000000"/>
              </w:rPr>
            </w:pPr>
          </w:p>
        </w:tc>
        <w:tc>
          <w:tcPr>
            <w:tcW w:w="16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6992030A">
            <w:pPr>
              <w:pStyle w:val="10"/>
              <w:bidi w:val="0"/>
              <w:jc w:val="center"/>
              <w:rPr>
                <w:rFonts w:hint="default"/>
                <w:color w:val="000000"/>
              </w:rPr>
            </w:pPr>
          </w:p>
        </w:tc>
      </w:tr>
      <w:tr w14:paraId="22E8FFA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85" w:hRule="atLeast"/>
        </w:trPr>
        <w:tc>
          <w:tcPr>
            <w:tcW w:w="161" w:type="pct"/>
            <w:vMerge w:val="continue"/>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3537C6D">
            <w:pPr>
              <w:pStyle w:val="10"/>
              <w:bidi w:val="0"/>
              <w:jc w:val="center"/>
              <w:rPr>
                <w:rFonts w:hint="eastAsia"/>
                <w:color w:val="000000"/>
              </w:rPr>
            </w:pP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867666E">
            <w:pPr>
              <w:pStyle w:val="10"/>
              <w:bidi w:val="0"/>
              <w:jc w:val="center"/>
              <w:rPr>
                <w:rFonts w:hint="eastAsia"/>
                <w:color w:val="000000"/>
              </w:rPr>
            </w:pPr>
            <w:r>
              <w:rPr>
                <w:rFonts w:hint="eastAsia"/>
                <w:color w:val="000000"/>
                <w:lang w:val="en-US" w:eastAsia="zh-CN"/>
              </w:rPr>
              <w:t>平均值</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CF3D1C2">
            <w:pPr>
              <w:pStyle w:val="10"/>
              <w:bidi w:val="0"/>
              <w:jc w:val="center"/>
              <w:rPr>
                <w:rFonts w:hint="default"/>
                <w:color w:val="000000"/>
              </w:rPr>
            </w:pPr>
            <w:r>
              <w:rPr>
                <w:rFonts w:hint="default"/>
                <w:color w:val="000000"/>
                <w:lang w:val="en-US" w:eastAsia="zh-CN"/>
              </w:rPr>
              <w:t>7.55</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8C4E1C9">
            <w:pPr>
              <w:pStyle w:val="10"/>
              <w:bidi w:val="0"/>
              <w:jc w:val="center"/>
              <w:rPr>
                <w:rFonts w:hint="default"/>
                <w:color w:val="000000"/>
              </w:rPr>
            </w:pPr>
            <w:r>
              <w:rPr>
                <w:rFonts w:hint="default"/>
                <w:color w:val="000000"/>
                <w:lang w:val="en-US" w:eastAsia="zh-CN"/>
              </w:rPr>
              <w:t>8.7</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0257E35">
            <w:pPr>
              <w:pStyle w:val="10"/>
              <w:bidi w:val="0"/>
              <w:jc w:val="center"/>
              <w:rPr>
                <w:rFonts w:hint="default"/>
                <w:color w:val="000000"/>
              </w:rPr>
            </w:pPr>
            <w:r>
              <w:rPr>
                <w:rFonts w:hint="default"/>
                <w:color w:val="000000"/>
                <w:lang w:val="en-US" w:eastAsia="zh-CN"/>
              </w:rPr>
              <w:t>1.7</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1E20B2A">
            <w:pPr>
              <w:pStyle w:val="10"/>
              <w:bidi w:val="0"/>
              <w:jc w:val="center"/>
              <w:rPr>
                <w:rFonts w:hint="default"/>
                <w:color w:val="000000"/>
              </w:rPr>
            </w:pPr>
            <w:r>
              <w:rPr>
                <w:rFonts w:hint="default"/>
                <w:color w:val="000000"/>
                <w:lang w:val="en-US" w:eastAsia="zh-CN"/>
              </w:rPr>
              <w:t>5.7</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B659158">
            <w:pPr>
              <w:pStyle w:val="10"/>
              <w:bidi w:val="0"/>
              <w:jc w:val="center"/>
              <w:rPr>
                <w:rFonts w:hint="default"/>
                <w:color w:val="000000"/>
              </w:rPr>
            </w:pPr>
            <w:r>
              <w:rPr>
                <w:rFonts w:hint="default"/>
                <w:color w:val="000000"/>
                <w:lang w:val="en-US" w:eastAsia="zh-CN"/>
              </w:rPr>
              <w:t>2.0</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49E63AB">
            <w:pPr>
              <w:pStyle w:val="10"/>
              <w:bidi w:val="0"/>
              <w:jc w:val="center"/>
              <w:rPr>
                <w:rFonts w:hint="default"/>
                <w:color w:val="000000"/>
              </w:rPr>
            </w:pPr>
            <w:r>
              <w:rPr>
                <w:rFonts w:hint="default"/>
                <w:color w:val="000000"/>
                <w:lang w:val="en-US" w:eastAsia="zh-CN"/>
              </w:rPr>
              <w:t>0.092</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5D66D40">
            <w:pPr>
              <w:pStyle w:val="10"/>
              <w:bidi w:val="0"/>
              <w:jc w:val="center"/>
              <w:rPr>
                <w:rFonts w:hint="default"/>
                <w:color w:val="000000"/>
              </w:rPr>
            </w:pPr>
            <w:r>
              <w:rPr>
                <w:rFonts w:hint="default"/>
                <w:color w:val="000000"/>
                <w:lang w:val="en-US" w:eastAsia="zh-CN"/>
              </w:rPr>
              <w:t>0.010</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E5FCBCC">
            <w:pPr>
              <w:pStyle w:val="10"/>
              <w:bidi w:val="0"/>
              <w:jc w:val="center"/>
              <w:rPr>
                <w:rFonts w:hint="default"/>
                <w:color w:val="000000"/>
              </w:rPr>
            </w:pPr>
            <w:r>
              <w:rPr>
                <w:rFonts w:hint="default"/>
                <w:color w:val="000000"/>
                <w:lang w:val="en-US" w:eastAsia="zh-CN"/>
              </w:rPr>
              <w:t>0.002</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3789994">
            <w:pPr>
              <w:pStyle w:val="10"/>
              <w:bidi w:val="0"/>
              <w:jc w:val="center"/>
              <w:rPr>
                <w:rFonts w:hint="default"/>
                <w:color w:val="000000"/>
              </w:rPr>
            </w:pPr>
            <w:r>
              <w:rPr>
                <w:rFonts w:hint="default"/>
                <w:color w:val="000000"/>
                <w:lang w:val="en-US" w:eastAsia="zh-CN"/>
              </w:rPr>
              <w:t>0.003</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7A4DF58">
            <w:pPr>
              <w:pStyle w:val="10"/>
              <w:bidi w:val="0"/>
              <w:jc w:val="center"/>
              <w:rPr>
                <w:rFonts w:hint="default"/>
                <w:color w:val="000000"/>
              </w:rPr>
            </w:pPr>
            <w:r>
              <w:rPr>
                <w:rFonts w:hint="default"/>
                <w:color w:val="000000"/>
                <w:lang w:val="en-US" w:eastAsia="zh-CN"/>
              </w:rPr>
              <w:t>0.25</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E45366D">
            <w:pPr>
              <w:pStyle w:val="10"/>
              <w:bidi w:val="0"/>
              <w:jc w:val="center"/>
              <w:rPr>
                <w:rFonts w:hint="default"/>
                <w:color w:val="000000"/>
              </w:rPr>
            </w:pPr>
            <w:r>
              <w:rPr>
                <w:rFonts w:hint="default"/>
                <w:color w:val="000000"/>
                <w:lang w:val="en-US" w:eastAsia="zh-CN"/>
              </w:rPr>
              <w:t>0.00004</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0A15946">
            <w:pPr>
              <w:pStyle w:val="10"/>
              <w:bidi w:val="0"/>
              <w:jc w:val="center"/>
              <w:rPr>
                <w:rFonts w:hint="default"/>
                <w:color w:val="000000"/>
              </w:rPr>
            </w:pPr>
            <w:r>
              <w:rPr>
                <w:rFonts w:hint="default"/>
                <w:color w:val="000000"/>
                <w:lang w:val="en-US" w:eastAsia="zh-CN"/>
              </w:rPr>
              <w:t>0.00001</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CC926A0">
            <w:pPr>
              <w:pStyle w:val="10"/>
              <w:bidi w:val="0"/>
              <w:jc w:val="center"/>
              <w:rPr>
                <w:rFonts w:hint="default"/>
                <w:color w:val="000000"/>
              </w:rPr>
            </w:pPr>
            <w:r>
              <w:rPr>
                <w:rFonts w:hint="default"/>
                <w:color w:val="000000"/>
                <w:lang w:val="en-US" w:eastAsia="zh-CN"/>
              </w:rPr>
              <w:t>0.00001</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EBEDDD6">
            <w:pPr>
              <w:pStyle w:val="10"/>
              <w:bidi w:val="0"/>
              <w:jc w:val="center"/>
              <w:rPr>
                <w:rFonts w:hint="default"/>
                <w:color w:val="000000"/>
              </w:rPr>
            </w:pPr>
            <w:r>
              <w:rPr>
                <w:rFonts w:hint="default"/>
                <w:color w:val="000000"/>
                <w:lang w:val="en-US" w:eastAsia="zh-CN"/>
              </w:rPr>
              <w:t>0.002</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2090811">
            <w:pPr>
              <w:pStyle w:val="10"/>
              <w:bidi w:val="0"/>
              <w:jc w:val="center"/>
              <w:rPr>
                <w:rFonts w:hint="default"/>
                <w:color w:val="000000"/>
              </w:rPr>
            </w:pPr>
            <w:r>
              <w:rPr>
                <w:rFonts w:hint="default"/>
                <w:color w:val="000000"/>
                <w:lang w:val="en-US" w:eastAsia="zh-CN"/>
              </w:rPr>
              <w:t>0.006</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12942A3">
            <w:pPr>
              <w:pStyle w:val="10"/>
              <w:bidi w:val="0"/>
              <w:jc w:val="center"/>
              <w:rPr>
                <w:rFonts w:hint="default"/>
                <w:color w:val="000000"/>
              </w:rPr>
            </w:pPr>
            <w:r>
              <w:rPr>
                <w:rFonts w:hint="default"/>
                <w:color w:val="000000"/>
                <w:lang w:val="en-US" w:eastAsia="zh-CN"/>
              </w:rPr>
              <w:t>0.0005</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B269843">
            <w:pPr>
              <w:pStyle w:val="10"/>
              <w:bidi w:val="0"/>
              <w:jc w:val="center"/>
              <w:rPr>
                <w:rFonts w:hint="default"/>
                <w:color w:val="000000"/>
              </w:rPr>
            </w:pPr>
            <w:r>
              <w:rPr>
                <w:rFonts w:hint="default"/>
                <w:color w:val="000000"/>
                <w:lang w:val="en-US" w:eastAsia="zh-CN"/>
              </w:rPr>
              <w:t>0.002</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5E82CFD">
            <w:pPr>
              <w:pStyle w:val="10"/>
              <w:bidi w:val="0"/>
              <w:jc w:val="center"/>
              <w:rPr>
                <w:rFonts w:hint="default"/>
                <w:color w:val="000000"/>
              </w:rPr>
            </w:pPr>
            <w:r>
              <w:rPr>
                <w:rFonts w:hint="default"/>
                <w:color w:val="000000"/>
                <w:lang w:val="en-US" w:eastAsia="zh-CN"/>
              </w:rPr>
              <w:t>0.0011</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BF2BBBA">
            <w:pPr>
              <w:pStyle w:val="10"/>
              <w:bidi w:val="0"/>
              <w:jc w:val="center"/>
              <w:rPr>
                <w:rFonts w:hint="default"/>
                <w:color w:val="000000"/>
              </w:rPr>
            </w:pPr>
            <w:r>
              <w:rPr>
                <w:rFonts w:hint="default"/>
                <w:color w:val="000000"/>
                <w:lang w:val="en-US" w:eastAsia="zh-CN"/>
              </w:rPr>
              <w:t>0.02</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A72FC00">
            <w:pPr>
              <w:pStyle w:val="10"/>
              <w:bidi w:val="0"/>
              <w:jc w:val="center"/>
              <w:rPr>
                <w:rFonts w:hint="default"/>
                <w:color w:val="000000"/>
              </w:rPr>
            </w:pPr>
            <w:r>
              <w:rPr>
                <w:rFonts w:hint="default"/>
                <w:color w:val="000000"/>
                <w:lang w:val="en-US" w:eastAsia="zh-CN"/>
              </w:rPr>
              <w:t>0.025</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FFE3665">
            <w:pPr>
              <w:pStyle w:val="10"/>
              <w:bidi w:val="0"/>
              <w:jc w:val="center"/>
              <w:rPr>
                <w:rFonts w:hint="default"/>
                <w:color w:val="000000"/>
              </w:rPr>
            </w:pPr>
            <w:r>
              <w:rPr>
                <w:rFonts w:hint="default"/>
                <w:color w:val="000000"/>
                <w:lang w:val="en-US" w:eastAsia="zh-CN"/>
              </w:rPr>
              <w:t>0.010</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AD82E4B">
            <w:pPr>
              <w:pStyle w:val="10"/>
              <w:bidi w:val="0"/>
              <w:jc w:val="center"/>
              <w:rPr>
                <w:rFonts w:hint="default"/>
                <w:color w:val="000000"/>
              </w:rPr>
            </w:pPr>
            <w:r>
              <w:rPr>
                <w:rFonts w:hint="default"/>
                <w:color w:val="000000"/>
                <w:lang w:val="en-US" w:eastAsia="zh-CN"/>
              </w:rPr>
              <w:t>3.38</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4CD2806">
            <w:pPr>
              <w:pStyle w:val="10"/>
              <w:bidi w:val="0"/>
              <w:jc w:val="center"/>
              <w:rPr>
                <w:rFonts w:hint="default"/>
                <w:color w:val="000000"/>
              </w:rPr>
            </w:pPr>
            <w:r>
              <w:rPr>
                <w:rFonts w:hint="default"/>
                <w:color w:val="000000"/>
                <w:lang w:val="en-US" w:eastAsia="zh-CN"/>
              </w:rPr>
              <w:t>0.70</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6E5C0B9">
            <w:pPr>
              <w:pStyle w:val="10"/>
              <w:bidi w:val="0"/>
              <w:jc w:val="center"/>
              <w:rPr>
                <w:rFonts w:hint="default"/>
                <w:color w:val="000000"/>
              </w:rPr>
            </w:pPr>
            <w:r>
              <w:rPr>
                <w:rFonts w:hint="default"/>
                <w:color w:val="000000"/>
                <w:lang w:val="en-US" w:eastAsia="zh-CN"/>
              </w:rPr>
              <w:t>0.24</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5EF8CA8">
            <w:pPr>
              <w:pStyle w:val="10"/>
              <w:bidi w:val="0"/>
              <w:jc w:val="center"/>
              <w:rPr>
                <w:rFonts w:hint="default"/>
                <w:color w:val="000000"/>
              </w:rPr>
            </w:pPr>
            <w:r>
              <w:rPr>
                <w:rFonts w:hint="default"/>
                <w:color w:val="000000"/>
                <w:lang w:val="en-US" w:eastAsia="zh-CN"/>
              </w:rPr>
              <w:t>0.024</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AE70C7C">
            <w:pPr>
              <w:pStyle w:val="10"/>
              <w:bidi w:val="0"/>
              <w:jc w:val="center"/>
              <w:rPr>
                <w:rFonts w:hint="default"/>
                <w:color w:val="000000"/>
              </w:rPr>
            </w:pPr>
            <w:r>
              <w:rPr>
                <w:rFonts w:hint="default"/>
                <w:color w:val="000000"/>
                <w:lang w:val="en-US" w:eastAsia="zh-CN"/>
              </w:rPr>
              <w:t>0,003</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5DA63B3">
            <w:pPr>
              <w:pStyle w:val="10"/>
              <w:bidi w:val="0"/>
              <w:jc w:val="center"/>
              <w:rPr>
                <w:rFonts w:hint="default"/>
                <w:color w:val="000000"/>
              </w:rPr>
            </w:pP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E2B3C07">
            <w:pPr>
              <w:pStyle w:val="10"/>
              <w:bidi w:val="0"/>
              <w:jc w:val="center"/>
              <w:rPr>
                <w:rFonts w:hint="default"/>
                <w:color w:val="000000"/>
              </w:rPr>
            </w:pPr>
          </w:p>
        </w:tc>
        <w:tc>
          <w:tcPr>
            <w:tcW w:w="166" w:type="pct"/>
            <w:vMerge w:val="restar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62E0A5E6">
            <w:pPr>
              <w:pStyle w:val="10"/>
              <w:bidi w:val="0"/>
              <w:jc w:val="center"/>
              <w:rPr>
                <w:rFonts w:hint="default"/>
                <w:color w:val="000000"/>
              </w:rPr>
            </w:pPr>
          </w:p>
        </w:tc>
      </w:tr>
      <w:tr w14:paraId="2BA8C75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85" w:hRule="atLeast"/>
        </w:trPr>
        <w:tc>
          <w:tcPr>
            <w:tcW w:w="161" w:type="pct"/>
            <w:vMerge w:val="continue"/>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B2DD61C">
            <w:pPr>
              <w:pStyle w:val="10"/>
              <w:bidi w:val="0"/>
              <w:jc w:val="center"/>
              <w:rPr>
                <w:rFonts w:hint="eastAsia"/>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FAA7397">
            <w:pPr>
              <w:pStyle w:val="10"/>
              <w:bidi w:val="0"/>
              <w:jc w:val="center"/>
              <w:rPr>
                <w:rFonts w:hint="eastAsia"/>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2843621">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E6BC2EC">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3A1135B">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667B58E">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7BCA525">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98E51DC">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68E92A8">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BA216EF">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EE79C9D">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F13B971">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05167E2">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CC74A19">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214182C">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77BF26E">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12BE213">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AC14563">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AE18C65">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F8BE9CF">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9FF4981">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EB6563C">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297B34C">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9A2B176">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0605057">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A30BB77">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4828494">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B7B75D0">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DABE02C">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80D220B">
            <w:pPr>
              <w:pStyle w:val="10"/>
              <w:bidi w:val="0"/>
              <w:jc w:val="center"/>
              <w:rPr>
                <w:rFonts w:hint="default"/>
                <w:color w:val="000000"/>
              </w:rPr>
            </w:pPr>
          </w:p>
        </w:tc>
        <w:tc>
          <w:tcPr>
            <w:tcW w:w="166" w:type="pct"/>
            <w:vMerge w:val="continue"/>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6A7D6C64">
            <w:pPr>
              <w:pStyle w:val="10"/>
              <w:bidi w:val="0"/>
              <w:jc w:val="center"/>
              <w:rPr>
                <w:rFonts w:hint="default"/>
                <w:color w:val="000000"/>
              </w:rPr>
            </w:pPr>
          </w:p>
        </w:tc>
      </w:tr>
      <w:tr w14:paraId="1AAC3094">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70" w:hRule="atLeast"/>
        </w:trPr>
        <w:tc>
          <w:tcPr>
            <w:tcW w:w="161" w:type="pct"/>
            <w:vMerge w:val="continue"/>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1321262">
            <w:pPr>
              <w:pStyle w:val="10"/>
              <w:bidi w:val="0"/>
              <w:jc w:val="center"/>
              <w:rPr>
                <w:rFonts w:hint="eastAsia"/>
                <w:color w:val="000000"/>
              </w:rPr>
            </w:pP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77A8A5A">
            <w:pPr>
              <w:pStyle w:val="10"/>
              <w:bidi w:val="0"/>
              <w:jc w:val="center"/>
              <w:rPr>
                <w:rFonts w:hint="eastAsia"/>
                <w:color w:val="000000"/>
              </w:rPr>
            </w:pPr>
            <w:r>
              <w:rPr>
                <w:rFonts w:hint="eastAsia"/>
                <w:color w:val="000000"/>
                <w:lang w:val="en-US" w:eastAsia="zh-CN"/>
              </w:rPr>
              <w:t>水质类别</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A691BA4">
            <w:pPr>
              <w:pStyle w:val="10"/>
              <w:bidi w:val="0"/>
              <w:jc w:val="center"/>
              <w:rPr>
                <w:rFonts w:hint="default"/>
                <w:color w:val="000000"/>
              </w:rPr>
            </w:pP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211DEA8">
            <w:pPr>
              <w:pStyle w:val="10"/>
              <w:bidi w:val="0"/>
              <w:jc w:val="center"/>
              <w:rPr>
                <w:rFonts w:hint="default"/>
                <w:color w:val="000000"/>
              </w:rPr>
            </w:pPr>
            <w:r>
              <w:rPr>
                <w:rFonts w:hint="default"/>
                <w:color w:val="000000"/>
                <w:lang w:val="en-US" w:eastAsia="zh-CN"/>
              </w:rPr>
              <w:t>I</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860FEE1">
            <w:pPr>
              <w:pStyle w:val="10"/>
              <w:bidi w:val="0"/>
              <w:jc w:val="center"/>
              <w:rPr>
                <w:rFonts w:hint="default"/>
                <w:color w:val="000000"/>
              </w:rPr>
            </w:pPr>
            <w:r>
              <w:rPr>
                <w:rFonts w:hint="default"/>
                <w:color w:val="000000"/>
                <w:lang w:val="en-US" w:eastAsia="zh-CN"/>
              </w:rPr>
              <w:t>I</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99CD1E1">
            <w:pPr>
              <w:pStyle w:val="10"/>
              <w:bidi w:val="0"/>
              <w:jc w:val="center"/>
              <w:rPr>
                <w:rFonts w:hint="default"/>
                <w:color w:val="000000"/>
              </w:rPr>
            </w:pPr>
            <w:r>
              <w:rPr>
                <w:rFonts w:hint="default"/>
                <w:color w:val="000000"/>
                <w:lang w:val="en-US" w:eastAsia="zh-CN"/>
              </w:rPr>
              <w:t>I</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8B354A3">
            <w:pPr>
              <w:pStyle w:val="10"/>
              <w:bidi w:val="0"/>
              <w:jc w:val="center"/>
              <w:rPr>
                <w:rFonts w:hint="default"/>
                <w:color w:val="000000"/>
              </w:rPr>
            </w:pPr>
            <w:r>
              <w:rPr>
                <w:rFonts w:hint="default"/>
                <w:color w:val="000000"/>
                <w:lang w:val="en-US" w:eastAsia="zh-CN"/>
              </w:rPr>
              <w:t>I</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12FE9A3">
            <w:pPr>
              <w:pStyle w:val="10"/>
              <w:bidi w:val="0"/>
              <w:jc w:val="center"/>
              <w:rPr>
                <w:rFonts w:hint="default"/>
                <w:color w:val="000000"/>
              </w:rPr>
            </w:pPr>
            <w:r>
              <w:rPr>
                <w:rFonts w:hint="default"/>
                <w:color w:val="000000"/>
                <w:lang w:val="en-US" w:eastAsia="zh-CN"/>
              </w:rPr>
              <w:t>1</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9C55C5A">
            <w:pPr>
              <w:pStyle w:val="10"/>
              <w:bidi w:val="0"/>
              <w:jc w:val="center"/>
              <w:rPr>
                <w:rFonts w:hint="default"/>
                <w:color w:val="000000"/>
              </w:rPr>
            </w:pPr>
            <w:r>
              <w:rPr>
                <w:rFonts w:hint="default"/>
                <w:color w:val="000000"/>
                <w:lang w:val="en-US" w:eastAsia="zh-CN"/>
              </w:rPr>
              <w:t>I</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467B4A9">
            <w:pPr>
              <w:pStyle w:val="10"/>
              <w:bidi w:val="0"/>
              <w:jc w:val="center"/>
              <w:rPr>
                <w:rFonts w:hint="default"/>
                <w:color w:val="000000"/>
              </w:rPr>
            </w:pPr>
            <w:r>
              <w:rPr>
                <w:rFonts w:hint="default"/>
                <w:color w:val="000000"/>
                <w:lang w:val="en-US" w:eastAsia="zh-CN"/>
              </w:rPr>
              <w:t>I</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A0CB1E9">
            <w:pPr>
              <w:pStyle w:val="10"/>
              <w:bidi w:val="0"/>
              <w:jc w:val="center"/>
              <w:rPr>
                <w:rFonts w:hint="default"/>
                <w:color w:val="000000"/>
              </w:rPr>
            </w:pPr>
            <w:r>
              <w:rPr>
                <w:rFonts w:hint="default"/>
                <w:color w:val="000000"/>
                <w:lang w:val="en-US" w:eastAsia="zh-CN"/>
              </w:rPr>
              <w:t>I</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AC111E1">
            <w:pPr>
              <w:pStyle w:val="10"/>
              <w:bidi w:val="0"/>
              <w:jc w:val="center"/>
              <w:rPr>
                <w:rFonts w:hint="default"/>
                <w:color w:val="000000"/>
              </w:rPr>
            </w:pPr>
            <w:r>
              <w:rPr>
                <w:rFonts w:hint="default"/>
                <w:color w:val="000000"/>
                <w:lang w:val="en-US" w:eastAsia="zh-CN"/>
              </w:rPr>
              <w:t>I</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F9D0B84">
            <w:pPr>
              <w:pStyle w:val="10"/>
              <w:bidi w:val="0"/>
              <w:jc w:val="center"/>
              <w:rPr>
                <w:rFonts w:hint="default"/>
                <w:color w:val="000000"/>
              </w:rPr>
            </w:pPr>
            <w:r>
              <w:rPr>
                <w:rFonts w:hint="default"/>
                <w:color w:val="000000"/>
                <w:lang w:val="en-US" w:eastAsia="zh-CN"/>
              </w:rPr>
              <w:t>I</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F2BF8C4">
            <w:pPr>
              <w:pStyle w:val="10"/>
              <w:bidi w:val="0"/>
              <w:jc w:val="center"/>
              <w:rPr>
                <w:rFonts w:hint="default"/>
                <w:color w:val="000000"/>
              </w:rPr>
            </w:pPr>
            <w:r>
              <w:rPr>
                <w:rFonts w:hint="default"/>
                <w:color w:val="000000"/>
                <w:lang w:val="en-US" w:eastAsia="zh-CN"/>
              </w:rPr>
              <w:t>I</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E79841A">
            <w:pPr>
              <w:pStyle w:val="10"/>
              <w:bidi w:val="0"/>
              <w:jc w:val="center"/>
              <w:rPr>
                <w:rFonts w:hint="default"/>
                <w:color w:val="000000"/>
              </w:rPr>
            </w:pPr>
            <w:r>
              <w:rPr>
                <w:color w:val="000000"/>
                <w:lang w:val="en-US" w:eastAsia="zh-CN"/>
              </w:rPr>
              <w:t>I</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5F88D80">
            <w:pPr>
              <w:pStyle w:val="10"/>
              <w:bidi w:val="0"/>
              <w:jc w:val="center"/>
              <w:rPr>
                <w:rFonts w:hint="default"/>
                <w:color w:val="000000"/>
              </w:rPr>
            </w:pPr>
            <w:r>
              <w:rPr>
                <w:rFonts w:hint="default"/>
                <w:color w:val="000000"/>
                <w:lang w:val="en-US" w:eastAsia="zh-CN"/>
              </w:rPr>
              <w:t>2</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E0C02EB">
            <w:pPr>
              <w:pStyle w:val="10"/>
              <w:bidi w:val="0"/>
              <w:jc w:val="center"/>
              <w:rPr>
                <w:rFonts w:hint="default"/>
                <w:color w:val="000000"/>
              </w:rPr>
            </w:pPr>
            <w:r>
              <w:rPr>
                <w:rFonts w:hint="default"/>
                <w:color w:val="000000"/>
                <w:lang w:val="en-US" w:eastAsia="zh-CN"/>
              </w:rPr>
              <w:t>I</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B66F066">
            <w:pPr>
              <w:pStyle w:val="10"/>
              <w:bidi w:val="0"/>
              <w:jc w:val="center"/>
              <w:rPr>
                <w:rFonts w:hint="default"/>
                <w:color w:val="000000"/>
              </w:rPr>
            </w:pPr>
            <w:r>
              <w:rPr>
                <w:color w:val="000000"/>
                <w:lang w:val="en-US" w:eastAsia="zh-CN"/>
              </w:rPr>
              <w:t>I</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FBCA088">
            <w:pPr>
              <w:pStyle w:val="10"/>
              <w:bidi w:val="0"/>
              <w:jc w:val="center"/>
              <w:rPr>
                <w:rFonts w:hint="default"/>
                <w:color w:val="000000"/>
              </w:rPr>
            </w:pPr>
            <w:r>
              <w:rPr>
                <w:rFonts w:hint="default"/>
                <w:color w:val="000000"/>
                <w:lang w:val="en-US" w:eastAsia="zh-CN"/>
              </w:rPr>
              <w:t>I</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A0EDD43">
            <w:pPr>
              <w:pStyle w:val="10"/>
              <w:bidi w:val="0"/>
              <w:jc w:val="center"/>
              <w:rPr>
                <w:rFonts w:hint="default"/>
                <w:color w:val="000000"/>
              </w:rPr>
            </w:pPr>
            <w:r>
              <w:rPr>
                <w:rFonts w:hint="default"/>
                <w:color w:val="000000"/>
                <w:lang w:val="en-US" w:eastAsia="zh-CN"/>
              </w:rPr>
              <w:t>I</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16A09AF">
            <w:pPr>
              <w:pStyle w:val="10"/>
              <w:bidi w:val="0"/>
              <w:jc w:val="center"/>
              <w:rPr>
                <w:rFonts w:hint="default"/>
                <w:color w:val="000000"/>
              </w:rPr>
            </w:pPr>
            <w:r>
              <w:rPr>
                <w:rFonts w:hint="default"/>
                <w:color w:val="000000"/>
                <w:lang w:val="en-US" w:eastAsia="zh-CN"/>
              </w:rPr>
              <w:t>I</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A99EEB1">
            <w:pPr>
              <w:pStyle w:val="10"/>
              <w:bidi w:val="0"/>
              <w:jc w:val="center"/>
              <w:rPr>
                <w:rFonts w:hint="default"/>
                <w:color w:val="000000"/>
              </w:rPr>
            </w:pPr>
            <w:r>
              <w:rPr>
                <w:rFonts w:hint="default"/>
                <w:color w:val="000000"/>
                <w:lang w:val="en-US" w:eastAsia="zh-CN"/>
              </w:rPr>
              <w:t>I</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233615D">
            <w:pPr>
              <w:pStyle w:val="10"/>
              <w:bidi w:val="0"/>
              <w:jc w:val="center"/>
              <w:rPr>
                <w:rFonts w:hint="default"/>
                <w:color w:val="000000"/>
              </w:rPr>
            </w:pPr>
            <w:r>
              <w:rPr>
                <w:rFonts w:hint="default"/>
                <w:color w:val="000000"/>
                <w:lang w:val="en-US" w:eastAsia="zh-CN"/>
              </w:rPr>
              <w:t>I</w:t>
            </w: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1766CAC">
            <w:pPr>
              <w:pStyle w:val="10"/>
              <w:bidi w:val="0"/>
              <w:jc w:val="center"/>
              <w:rPr>
                <w:rFonts w:hint="default"/>
                <w:color w:val="000000"/>
              </w:rPr>
            </w:pP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BA38385">
            <w:pPr>
              <w:pStyle w:val="10"/>
              <w:bidi w:val="0"/>
              <w:jc w:val="center"/>
              <w:rPr>
                <w:rFonts w:hint="default"/>
                <w:color w:val="000000"/>
              </w:rPr>
            </w:pP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718F707">
            <w:pPr>
              <w:pStyle w:val="10"/>
              <w:bidi w:val="0"/>
              <w:jc w:val="center"/>
              <w:rPr>
                <w:rFonts w:hint="default"/>
                <w:color w:val="000000"/>
              </w:rPr>
            </w:pP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11AE9F4">
            <w:pPr>
              <w:pStyle w:val="10"/>
              <w:bidi w:val="0"/>
              <w:jc w:val="center"/>
              <w:rPr>
                <w:rFonts w:hint="default"/>
                <w:color w:val="000000"/>
              </w:rPr>
            </w:pP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0A64D61">
            <w:pPr>
              <w:pStyle w:val="10"/>
              <w:bidi w:val="0"/>
              <w:jc w:val="center"/>
              <w:rPr>
                <w:rFonts w:hint="default"/>
                <w:color w:val="000000"/>
              </w:rPr>
            </w:pP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2EBDFA3">
            <w:pPr>
              <w:pStyle w:val="10"/>
              <w:bidi w:val="0"/>
              <w:jc w:val="center"/>
              <w:rPr>
                <w:rFonts w:hint="default"/>
                <w:color w:val="000000"/>
              </w:rPr>
            </w:pPr>
          </w:p>
        </w:tc>
        <w:tc>
          <w:tcPr>
            <w:tcW w:w="161" w:type="pct"/>
            <w:vMerge w:val="restar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0631227">
            <w:pPr>
              <w:pStyle w:val="10"/>
              <w:bidi w:val="0"/>
              <w:jc w:val="center"/>
              <w:rPr>
                <w:rFonts w:hint="default"/>
                <w:color w:val="000000"/>
              </w:rPr>
            </w:pPr>
            <w:r>
              <w:rPr>
                <w:rFonts w:hint="default"/>
                <w:color w:val="000000"/>
                <w:lang w:val="en-US" w:eastAsia="zh-CN"/>
              </w:rPr>
              <w:t>2</w:t>
            </w:r>
          </w:p>
        </w:tc>
        <w:tc>
          <w:tcPr>
            <w:tcW w:w="166" w:type="pct"/>
            <w:vMerge w:val="restar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05625D90">
            <w:pPr>
              <w:pStyle w:val="10"/>
              <w:bidi w:val="0"/>
              <w:jc w:val="center"/>
              <w:rPr>
                <w:rFonts w:hint="default"/>
                <w:color w:val="000000"/>
              </w:rPr>
            </w:pPr>
          </w:p>
        </w:tc>
      </w:tr>
      <w:tr w14:paraId="54586A2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85" w:hRule="atLeast"/>
        </w:trPr>
        <w:tc>
          <w:tcPr>
            <w:tcW w:w="161" w:type="pct"/>
            <w:vMerge w:val="continue"/>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97884FF">
            <w:pPr>
              <w:pStyle w:val="10"/>
              <w:bidi w:val="0"/>
              <w:jc w:val="center"/>
              <w:rPr>
                <w:rFonts w:hint="eastAsia"/>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4A0A6E4">
            <w:pPr>
              <w:pStyle w:val="10"/>
              <w:bidi w:val="0"/>
              <w:jc w:val="center"/>
              <w:rPr>
                <w:rFonts w:hint="eastAsia"/>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CEE64B3">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D870F17">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3EDAE53">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5C92B2C">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F435494">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1B2C4A2">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9110890">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8717480">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E70E4E7">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C3A80BC">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641BE7E">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AAF8E93">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0773EEB">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9709458">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DCFE43B">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B9B7C9D">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FBF2A89">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4BC7386">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4B9A2C2">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5604DF6">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2494064">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EE21222">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1566017">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BE26C17">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78F06B0">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2BE8AF0">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9E19816">
            <w:pPr>
              <w:pStyle w:val="10"/>
              <w:bidi w:val="0"/>
              <w:jc w:val="center"/>
              <w:rPr>
                <w:rFonts w:hint="default"/>
                <w:color w:val="000000"/>
              </w:rPr>
            </w:pPr>
          </w:p>
        </w:tc>
        <w:tc>
          <w:tcPr>
            <w:tcW w:w="161" w:type="pct"/>
            <w:vMerge w:val="continue"/>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763C873">
            <w:pPr>
              <w:pStyle w:val="10"/>
              <w:bidi w:val="0"/>
              <w:jc w:val="center"/>
              <w:rPr>
                <w:rFonts w:hint="default"/>
                <w:color w:val="000000"/>
              </w:rPr>
            </w:pPr>
          </w:p>
        </w:tc>
        <w:tc>
          <w:tcPr>
            <w:tcW w:w="166" w:type="pct"/>
            <w:vMerge w:val="continue"/>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0E093009">
            <w:pPr>
              <w:pStyle w:val="10"/>
              <w:bidi w:val="0"/>
              <w:jc w:val="center"/>
              <w:rPr>
                <w:rFonts w:hint="default"/>
                <w:color w:val="000000"/>
              </w:rPr>
            </w:pPr>
          </w:p>
        </w:tc>
      </w:tr>
      <w:tr w14:paraId="003340F9">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161" w:type="pct"/>
            <w:vMerge w:val="continue"/>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152EA43">
            <w:pPr>
              <w:pStyle w:val="10"/>
              <w:bidi w:val="0"/>
              <w:jc w:val="center"/>
              <w:rPr>
                <w:rFonts w:hint="eastAsia"/>
                <w:color w:val="000000"/>
              </w:rPr>
            </w:pP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AE2BC81">
            <w:pPr>
              <w:pStyle w:val="10"/>
              <w:bidi w:val="0"/>
              <w:jc w:val="center"/>
              <w:rPr>
                <w:rFonts w:hint="default"/>
                <w:color w:val="000000"/>
              </w:rPr>
            </w:pPr>
            <w:r>
              <w:rPr>
                <w:rFonts w:hint="default"/>
                <w:color w:val="000000"/>
                <w:lang w:val="en-US" w:eastAsia="zh-CN"/>
              </w:rPr>
              <w:t>超标率%</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F18E475">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3ABD148">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D5CDACB">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38F640D">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35BC5EA">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3657880">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8DA9F16">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0572D94">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11C9784">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CDA7BC7">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3579353">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6DEC275">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6999889">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B6C3E7E">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FD06429">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529B9FC">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F909C4E">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AEA4289">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C0095C7">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FEA0C3D">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F508F30">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E019B7E">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30C6769">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0ED82D3">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947E30A">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60B20F6">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4AA674C">
            <w:pPr>
              <w:pStyle w:val="10"/>
              <w:bidi w:val="0"/>
              <w:jc w:val="center"/>
              <w:rPr>
                <w:rFonts w:hint="default"/>
                <w:color w:val="000000"/>
              </w:rPr>
            </w:pP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56C1C31">
            <w:pPr>
              <w:pStyle w:val="10"/>
              <w:bidi w:val="0"/>
              <w:jc w:val="center"/>
              <w:rPr>
                <w:rFonts w:hint="default"/>
                <w:color w:val="000000"/>
              </w:rPr>
            </w:pPr>
          </w:p>
        </w:tc>
        <w:tc>
          <w:tcPr>
            <w:tcW w:w="166"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14:paraId="685B476F">
            <w:pPr>
              <w:pStyle w:val="10"/>
              <w:bidi w:val="0"/>
              <w:jc w:val="center"/>
              <w:rPr>
                <w:rFonts w:hint="default"/>
                <w:color w:val="000000"/>
              </w:rPr>
            </w:pPr>
            <w:r>
              <w:rPr>
                <w:rFonts w:hint="default"/>
                <w:color w:val="000000"/>
                <w:lang w:val="en-US" w:eastAsia="zh-CN"/>
              </w:rPr>
              <w:t>2</w:t>
            </w:r>
          </w:p>
        </w:tc>
      </w:tr>
      <w:tr w14:paraId="107A66B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55" w:hRule="atLeast"/>
        </w:trPr>
        <w:tc>
          <w:tcPr>
            <w:tcW w:w="161" w:type="pct"/>
            <w:vMerge w:val="continue"/>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8362374">
            <w:pPr>
              <w:pStyle w:val="10"/>
              <w:bidi w:val="0"/>
              <w:jc w:val="center"/>
              <w:rPr>
                <w:rFonts w:hint="eastAsia"/>
                <w:color w:val="000000"/>
              </w:rPr>
            </w:pP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DB600E5">
            <w:pPr>
              <w:pStyle w:val="10"/>
              <w:bidi w:val="0"/>
              <w:jc w:val="center"/>
              <w:rPr>
                <w:rFonts w:hint="eastAsia"/>
                <w:color w:val="000000"/>
              </w:rPr>
            </w:pPr>
            <w:r>
              <w:rPr>
                <w:rFonts w:hint="eastAsia"/>
                <w:color w:val="000000"/>
                <w:lang w:val="en-US" w:eastAsia="zh-CN"/>
              </w:rPr>
              <w:t>污染指数</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3AC40E9">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2183200">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C88D9DE">
            <w:pPr>
              <w:pStyle w:val="10"/>
              <w:bidi w:val="0"/>
              <w:jc w:val="center"/>
              <w:rPr>
                <w:rFonts w:hint="default"/>
                <w:color w:val="000000"/>
              </w:rPr>
            </w:pPr>
            <w:r>
              <w:rPr>
                <w:rFonts w:hint="default"/>
                <w:color w:val="000000"/>
                <w:lang w:val="en-US" w:eastAsia="zh-CN"/>
              </w:rPr>
              <w:t>0.29</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63B522F">
            <w:pPr>
              <w:pStyle w:val="10"/>
              <w:bidi w:val="0"/>
              <w:jc w:val="center"/>
              <w:rPr>
                <w:rFonts w:hint="default"/>
                <w:color w:val="000000"/>
              </w:rPr>
            </w:pPr>
            <w:r>
              <w:rPr>
                <w:rFonts w:hint="default"/>
                <w:color w:val="000000"/>
                <w:lang w:val="en-US" w:eastAsia="zh-CN"/>
              </w:rPr>
              <w:t>0.29</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F018802">
            <w:pPr>
              <w:pStyle w:val="10"/>
              <w:bidi w:val="0"/>
              <w:jc w:val="center"/>
              <w:rPr>
                <w:rFonts w:hint="default"/>
                <w:color w:val="000000"/>
              </w:rPr>
            </w:pPr>
            <w:r>
              <w:rPr>
                <w:rFonts w:hint="default"/>
                <w:color w:val="000000"/>
                <w:lang w:val="en-US" w:eastAsia="zh-CN"/>
              </w:rPr>
              <w:t>0.50</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D96EDCB">
            <w:pPr>
              <w:pStyle w:val="10"/>
              <w:bidi w:val="0"/>
              <w:jc w:val="center"/>
              <w:rPr>
                <w:rFonts w:hint="default"/>
                <w:color w:val="000000"/>
              </w:rPr>
            </w:pPr>
            <w:r>
              <w:rPr>
                <w:rFonts w:hint="default"/>
                <w:color w:val="000000"/>
                <w:lang w:val="en-US" w:eastAsia="zh-CN"/>
              </w:rPr>
              <w:t>0.09</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2C97890">
            <w:pPr>
              <w:pStyle w:val="10"/>
              <w:bidi w:val="0"/>
              <w:jc w:val="center"/>
              <w:rPr>
                <w:rFonts w:hint="default"/>
                <w:color w:val="000000"/>
              </w:rPr>
            </w:pPr>
            <w:r>
              <w:rPr>
                <w:rFonts w:hint="default"/>
                <w:color w:val="000000"/>
                <w:lang w:val="en-US" w:eastAsia="zh-CN"/>
              </w:rPr>
              <w:t>0.20</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6F21985">
            <w:pPr>
              <w:pStyle w:val="10"/>
              <w:bidi w:val="0"/>
              <w:jc w:val="center"/>
              <w:rPr>
                <w:rFonts w:hint="default"/>
                <w:color w:val="000000"/>
              </w:rPr>
            </w:pPr>
            <w:r>
              <w:rPr>
                <w:rFonts w:hint="default"/>
                <w:color w:val="000000"/>
                <w:lang w:val="en-US" w:eastAsia="zh-CN"/>
              </w:rPr>
              <w:t>0.00</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04C42BF">
            <w:pPr>
              <w:pStyle w:val="10"/>
              <w:bidi w:val="0"/>
              <w:jc w:val="center"/>
              <w:rPr>
                <w:rFonts w:hint="default"/>
                <w:color w:val="000000"/>
              </w:rPr>
            </w:pPr>
            <w:r>
              <w:rPr>
                <w:rFonts w:hint="default"/>
                <w:color w:val="000000"/>
                <w:lang w:val="en-US" w:eastAsia="zh-CN"/>
              </w:rPr>
              <w:t>0</w:t>
            </w:r>
            <w:r>
              <w:rPr>
                <w:color w:val="000000"/>
                <w:lang w:val="en-US" w:eastAsia="zh-CN"/>
              </w:rPr>
              <w:t>.</w:t>
            </w:r>
            <w:r>
              <w:rPr>
                <w:rFonts w:hint="default"/>
                <w:color w:val="000000"/>
                <w:lang w:val="en-US" w:eastAsia="zh-CN"/>
              </w:rPr>
              <w:t>0-0</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04EED97">
            <w:pPr>
              <w:pStyle w:val="10"/>
              <w:bidi w:val="0"/>
              <w:jc w:val="center"/>
              <w:rPr>
                <w:rFonts w:hint="default"/>
                <w:color w:val="000000"/>
              </w:rPr>
            </w:pPr>
            <w:r>
              <w:rPr>
                <w:rFonts w:hint="default"/>
                <w:color w:val="000000"/>
                <w:lang w:val="en-US" w:eastAsia="zh-CN"/>
              </w:rPr>
              <w:t>0.25</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0DD2943">
            <w:pPr>
              <w:pStyle w:val="10"/>
              <w:bidi w:val="0"/>
              <w:jc w:val="center"/>
              <w:rPr>
                <w:rFonts w:hint="default"/>
                <w:color w:val="000000"/>
              </w:rPr>
            </w:pPr>
            <w:r>
              <w:rPr>
                <w:rFonts w:hint="default"/>
                <w:color w:val="000000"/>
                <w:lang w:val="en-US" w:eastAsia="zh-CN"/>
              </w:rPr>
              <w:t>0.00</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B0A62C1">
            <w:pPr>
              <w:pStyle w:val="10"/>
              <w:bidi w:val="0"/>
              <w:jc w:val="center"/>
              <w:rPr>
                <w:rFonts w:hint="default"/>
                <w:color w:val="000000"/>
              </w:rPr>
            </w:pPr>
            <w:r>
              <w:rPr>
                <w:rFonts w:hint="default"/>
                <w:color w:val="000000"/>
                <w:lang w:val="en-US" w:eastAsia="zh-CN"/>
              </w:rPr>
              <w:t>0.00</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A6CE28A">
            <w:pPr>
              <w:pStyle w:val="10"/>
              <w:bidi w:val="0"/>
              <w:jc w:val="center"/>
              <w:rPr>
                <w:rFonts w:hint="default"/>
                <w:color w:val="000000"/>
              </w:rPr>
            </w:pPr>
            <w:r>
              <w:rPr>
                <w:rFonts w:hint="default"/>
                <w:color w:val="000000"/>
                <w:lang w:val="en-US" w:eastAsia="zh-CN"/>
              </w:rPr>
              <w:t>0.10</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367192F">
            <w:pPr>
              <w:pStyle w:val="10"/>
              <w:bidi w:val="0"/>
              <w:jc w:val="center"/>
              <w:rPr>
                <w:rFonts w:hint="default"/>
                <w:color w:val="000000"/>
              </w:rPr>
            </w:pPr>
            <w:r>
              <w:rPr>
                <w:rFonts w:hint="default"/>
                <w:color w:val="000000"/>
                <w:lang w:val="en-US" w:eastAsia="zh-CN"/>
              </w:rPr>
              <w:t>0.40</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EDE05E5">
            <w:pPr>
              <w:pStyle w:val="10"/>
              <w:bidi w:val="0"/>
              <w:jc w:val="center"/>
              <w:rPr>
                <w:rFonts w:hint="default"/>
                <w:color w:val="000000"/>
              </w:rPr>
            </w:pPr>
            <w:r>
              <w:rPr>
                <w:rFonts w:hint="default"/>
                <w:color w:val="000000"/>
                <w:lang w:val="en-US" w:eastAsia="zh-CN"/>
              </w:rPr>
              <w:t>0.12</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EEFF29C">
            <w:pPr>
              <w:pStyle w:val="10"/>
              <w:bidi w:val="0"/>
              <w:jc w:val="center"/>
              <w:rPr>
                <w:rFonts w:hint="default"/>
                <w:color w:val="000000"/>
              </w:rPr>
            </w:pPr>
            <w:r>
              <w:rPr>
                <w:rFonts w:hint="default"/>
                <w:color w:val="000000"/>
                <w:lang w:val="en-US" w:eastAsia="zh-CN"/>
              </w:rPr>
              <w:t>0.01</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2E317AA">
            <w:pPr>
              <w:pStyle w:val="10"/>
              <w:bidi w:val="0"/>
              <w:jc w:val="center"/>
              <w:rPr>
                <w:rFonts w:hint="default"/>
                <w:color w:val="000000"/>
              </w:rPr>
            </w:pPr>
            <w:r>
              <w:rPr>
                <w:rFonts w:hint="default"/>
                <w:color w:val="000000"/>
                <w:lang w:val="en-US" w:eastAsia="zh-CN"/>
              </w:rPr>
              <w:t>0.01</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0A78949">
            <w:pPr>
              <w:pStyle w:val="10"/>
              <w:bidi w:val="0"/>
              <w:jc w:val="center"/>
              <w:rPr>
                <w:rFonts w:hint="default"/>
                <w:color w:val="000000"/>
              </w:rPr>
            </w:pPr>
            <w:r>
              <w:rPr>
                <w:rFonts w:hint="default"/>
                <w:color w:val="000000"/>
                <w:lang w:val="en-US" w:eastAsia="zh-CN"/>
              </w:rPr>
              <w:t>0.22</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B24BF2E">
            <w:pPr>
              <w:pStyle w:val="10"/>
              <w:bidi w:val="0"/>
              <w:jc w:val="center"/>
              <w:rPr>
                <w:rFonts w:hint="default"/>
                <w:color w:val="000000"/>
              </w:rPr>
            </w:pPr>
            <w:r>
              <w:rPr>
                <w:rFonts w:hint="default"/>
                <w:color w:val="000000"/>
                <w:lang w:val="en-US" w:eastAsia="zh-CN"/>
              </w:rPr>
              <w:t>0.40</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2CF64BA">
            <w:pPr>
              <w:pStyle w:val="10"/>
              <w:bidi w:val="0"/>
              <w:jc w:val="center"/>
              <w:rPr>
                <w:rFonts w:hint="default"/>
                <w:color w:val="000000"/>
              </w:rPr>
            </w:pPr>
            <w:r>
              <w:rPr>
                <w:rFonts w:hint="default"/>
                <w:color w:val="000000"/>
                <w:lang w:val="en-US" w:eastAsia="zh-CN"/>
              </w:rPr>
              <w:t>0.13</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E59C0EA">
            <w:pPr>
              <w:pStyle w:val="10"/>
              <w:bidi w:val="0"/>
              <w:jc w:val="center"/>
              <w:rPr>
                <w:rFonts w:hint="default"/>
                <w:color w:val="000000"/>
              </w:rPr>
            </w:pPr>
            <w:r>
              <w:rPr>
                <w:rFonts w:hint="default"/>
                <w:color w:val="000000"/>
                <w:lang w:val="en-US" w:eastAsia="zh-CN"/>
              </w:rPr>
              <w:t>0.05</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E6DDEB1">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1F8EAEC">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96B4433">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0B9B61B">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E69635E">
            <w:pPr>
              <w:pStyle w:val="10"/>
              <w:bidi w:val="0"/>
              <w:jc w:val="center"/>
              <w:rPr>
                <w:rFonts w:hint="default"/>
                <w:color w:val="000000"/>
              </w:rPr>
            </w:pPr>
            <w:r>
              <w:rPr>
                <w:rFonts w:hint="default"/>
                <w:color w:val="000000"/>
                <w:lang w:val="en-US" w:eastAsia="zh-CN"/>
              </w:rPr>
              <w:t>—</w:t>
            </w:r>
          </w:p>
        </w:tc>
        <w:tc>
          <w:tcPr>
            <w:tcW w:w="1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020CE1D">
            <w:pPr>
              <w:pStyle w:val="10"/>
              <w:bidi w:val="0"/>
              <w:jc w:val="center"/>
              <w:rPr>
                <w:rFonts w:hint="default"/>
                <w:color w:val="000000"/>
              </w:rPr>
            </w:pPr>
            <w:r>
              <w:rPr>
                <w:rFonts w:hint="default"/>
                <w:color w:val="000000"/>
                <w:lang w:val="en-US" w:eastAsia="zh-CN"/>
              </w:rPr>
              <w:t>0.16</w:t>
            </w:r>
          </w:p>
        </w:tc>
        <w:tc>
          <w:tcPr>
            <w:tcW w:w="1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59EE24E">
            <w:pPr>
              <w:pStyle w:val="10"/>
              <w:bidi w:val="0"/>
              <w:jc w:val="center"/>
              <w:rPr>
                <w:rFonts w:hint="default"/>
                <w:color w:val="000000"/>
              </w:rPr>
            </w:pPr>
          </w:p>
        </w:tc>
        <w:tc>
          <w:tcPr>
            <w:tcW w:w="166"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14:paraId="0795A67D">
            <w:pPr>
              <w:pStyle w:val="10"/>
              <w:bidi w:val="0"/>
              <w:jc w:val="center"/>
              <w:rPr>
                <w:rFonts w:hint="default"/>
                <w:color w:val="000000"/>
              </w:rPr>
            </w:pPr>
            <w:r>
              <w:rPr>
                <w:rFonts w:hint="default"/>
                <w:color w:val="000000"/>
                <w:lang w:val="en-US" w:eastAsia="zh-CN"/>
              </w:rPr>
              <w:t>3</w:t>
            </w:r>
          </w:p>
        </w:tc>
      </w:tr>
    </w:tbl>
    <w:p w14:paraId="300D3209">
      <w:pPr>
        <w:bidi w:val="0"/>
        <w:rPr>
          <w:rFonts w:hint="eastAsia"/>
        </w:rPr>
      </w:pPr>
      <w:r>
        <w:rPr>
          <w:rFonts w:hint="eastAsia"/>
        </w:rPr>
        <w:t>南雄市环境监测站对瀑布水库库坝和瀑布水库塘坪两个断面进行了水质常规监测，监测结果见表2。结果表明：瀑布水库库坝断面和塘坪断面年均值符合《地表水环境质量标准》（GB3838-2002)II类水质标准。</w:t>
      </w:r>
    </w:p>
    <w:p w14:paraId="0317CFBF">
      <w:pPr>
        <w:bidi w:val="0"/>
        <w:ind w:left="0" w:leftChars="0" w:firstLine="0" w:firstLineChars="0"/>
        <w:jc w:val="center"/>
        <w:rPr>
          <w:rFonts w:hint="eastAsia" w:eastAsia="宋体"/>
          <w:b/>
          <w:bCs/>
          <w:lang w:val="en-US" w:eastAsia="zh-CN"/>
        </w:rPr>
      </w:pPr>
      <w:r>
        <w:rPr>
          <w:rFonts w:hint="eastAsia" w:eastAsia="宋体"/>
          <w:b/>
          <w:bCs/>
          <w:lang w:val="en-US" w:eastAsia="zh-CN"/>
        </w:rPr>
        <w:t>南雄市饮用水水源地瀑布水库水质年度比较情况</w:t>
      </w:r>
    </w:p>
    <w:p w14:paraId="13FDDC36">
      <w:pPr>
        <w:rPr>
          <w:rFonts w:hint="eastAsia"/>
          <w:lang w:val="en-US" w:eastAsia="zh-CN"/>
        </w:rPr>
      </w:pPr>
      <w:r>
        <w:rPr>
          <w:rFonts w:hint="eastAsia"/>
          <w:lang w:val="en-US" w:eastAsia="zh-CN"/>
        </w:rPr>
        <w:t>表18</w:t>
      </w:r>
    </w:p>
    <w:tbl>
      <w:tblPr>
        <w:tblStyle w:val="7"/>
        <w:tblW w:w="4998" w:type="pct"/>
        <w:tblInd w:w="0" w:type="dxa"/>
        <w:shd w:val="clear" w:color="auto" w:fill="auto"/>
        <w:tblLayout w:type="autofit"/>
        <w:tblCellMar>
          <w:top w:w="0" w:type="dxa"/>
          <w:left w:w="0" w:type="dxa"/>
          <w:bottom w:w="0" w:type="dxa"/>
          <w:right w:w="0" w:type="dxa"/>
        </w:tblCellMar>
      </w:tblPr>
      <w:tblGrid>
        <w:gridCol w:w="1176"/>
        <w:gridCol w:w="1093"/>
        <w:gridCol w:w="1022"/>
        <w:gridCol w:w="1181"/>
        <w:gridCol w:w="1177"/>
        <w:gridCol w:w="1177"/>
        <w:gridCol w:w="1472"/>
        <w:gridCol w:w="1474"/>
      </w:tblGrid>
      <w:tr w14:paraId="0B99E169">
        <w:tblPrEx>
          <w:tblCellMar>
            <w:top w:w="0" w:type="dxa"/>
            <w:left w:w="0" w:type="dxa"/>
            <w:bottom w:w="0" w:type="dxa"/>
            <w:right w:w="0" w:type="dxa"/>
          </w:tblCellMar>
        </w:tblPrEx>
        <w:trPr>
          <w:trHeight w:val="355" w:hRule="atLeast"/>
        </w:trPr>
        <w:tc>
          <w:tcPr>
            <w:tcW w:w="602" w:type="pct"/>
            <w:vMerge w:val="restar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14:paraId="0D0EC1C9">
            <w:pPr>
              <w:pStyle w:val="10"/>
              <w:bidi w:val="0"/>
              <w:jc w:val="center"/>
              <w:rPr>
                <w:rFonts w:hint="eastAsia"/>
                <w:b/>
                <w:bCs/>
                <w:color w:val="000000"/>
              </w:rPr>
            </w:pPr>
            <w:r>
              <w:rPr>
                <w:b/>
                <w:bCs/>
                <w:color w:val="000000"/>
                <w:lang w:val="en-US" w:eastAsia="zh-CN"/>
              </w:rPr>
              <w:t>饮用水源地</w:t>
            </w:r>
          </w:p>
        </w:tc>
        <w:tc>
          <w:tcPr>
            <w:tcW w:w="1686" w:type="pct"/>
            <w:gridSpan w:val="3"/>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4A8FC78">
            <w:pPr>
              <w:pStyle w:val="10"/>
              <w:bidi w:val="0"/>
              <w:jc w:val="center"/>
              <w:rPr>
                <w:rFonts w:hint="eastAsia"/>
                <w:b/>
                <w:bCs/>
                <w:color w:val="000000"/>
              </w:rPr>
            </w:pPr>
            <w:r>
              <w:rPr>
                <w:b/>
                <w:bCs/>
                <w:color w:val="000000"/>
                <w:lang w:val="en-US" w:eastAsia="zh-CN"/>
              </w:rPr>
              <w:t>综合污染指数</w:t>
            </w:r>
          </w:p>
        </w:tc>
        <w:tc>
          <w:tcPr>
            <w:tcW w:w="1204" w:type="pct"/>
            <w:gridSpan w:val="2"/>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3C8CA2F">
            <w:pPr>
              <w:pStyle w:val="10"/>
              <w:bidi w:val="0"/>
              <w:jc w:val="center"/>
              <w:rPr>
                <w:rFonts w:hint="eastAsia"/>
                <w:b/>
                <w:bCs/>
                <w:color w:val="000000"/>
              </w:rPr>
            </w:pPr>
            <w:r>
              <w:rPr>
                <w:b/>
                <w:bCs/>
                <w:color w:val="000000"/>
                <w:lang w:val="en-US" w:eastAsia="zh-CN"/>
              </w:rPr>
              <w:t>水质类别</w:t>
            </w:r>
          </w:p>
        </w:tc>
        <w:tc>
          <w:tcPr>
            <w:tcW w:w="1507" w:type="pct"/>
            <w:gridSpan w:val="2"/>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14:paraId="3A708BDE">
            <w:pPr>
              <w:pStyle w:val="10"/>
              <w:bidi w:val="0"/>
              <w:jc w:val="center"/>
              <w:rPr>
                <w:rFonts w:hint="eastAsia"/>
                <w:b/>
                <w:bCs/>
                <w:color w:val="000000"/>
              </w:rPr>
            </w:pPr>
            <w:r>
              <w:rPr>
                <w:b/>
                <w:bCs/>
                <w:color w:val="000000"/>
                <w:lang w:val="en-US" w:eastAsia="zh-CN"/>
              </w:rPr>
              <w:t>达标率</w:t>
            </w:r>
          </w:p>
        </w:tc>
      </w:tr>
      <w:tr w14:paraId="7DB96C36">
        <w:tblPrEx>
          <w:shd w:val="clear" w:color="auto" w:fill="auto"/>
          <w:tblCellMar>
            <w:top w:w="0" w:type="dxa"/>
            <w:left w:w="0" w:type="dxa"/>
            <w:bottom w:w="0" w:type="dxa"/>
            <w:right w:w="0" w:type="dxa"/>
          </w:tblCellMar>
        </w:tblPrEx>
        <w:trPr>
          <w:trHeight w:val="585" w:hRule="atLeast"/>
        </w:trPr>
        <w:tc>
          <w:tcPr>
            <w:tcW w:w="602" w:type="pct"/>
            <w:vMerge w:val="continue"/>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14:paraId="5D61853C">
            <w:pPr>
              <w:pStyle w:val="10"/>
              <w:bidi w:val="0"/>
              <w:jc w:val="center"/>
              <w:rPr>
                <w:rFonts w:hint="eastAsia"/>
                <w:b/>
                <w:bCs/>
                <w:color w:val="000000"/>
              </w:rPr>
            </w:pPr>
          </w:p>
        </w:tc>
        <w:tc>
          <w:tcPr>
            <w:tcW w:w="55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B57FE8E">
            <w:pPr>
              <w:pStyle w:val="10"/>
              <w:bidi w:val="0"/>
              <w:jc w:val="center"/>
              <w:rPr>
                <w:rFonts w:hint="default"/>
                <w:b/>
                <w:bCs/>
                <w:color w:val="000000"/>
              </w:rPr>
            </w:pPr>
            <w:r>
              <w:rPr>
                <w:b/>
                <w:bCs/>
                <w:color w:val="000000"/>
                <w:lang w:val="en-US" w:eastAsia="zh-CN"/>
              </w:rPr>
              <w:t>2012年</w:t>
            </w:r>
          </w:p>
        </w:tc>
        <w:tc>
          <w:tcPr>
            <w:tcW w:w="52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0DC19D0">
            <w:pPr>
              <w:pStyle w:val="10"/>
              <w:bidi w:val="0"/>
              <w:jc w:val="center"/>
              <w:rPr>
                <w:rFonts w:hint="default"/>
                <w:b/>
                <w:bCs/>
                <w:color w:val="000000"/>
              </w:rPr>
            </w:pPr>
            <w:r>
              <w:rPr>
                <w:b/>
                <w:bCs/>
                <w:color w:val="000000"/>
                <w:lang w:val="en-US" w:eastAsia="zh-CN"/>
              </w:rPr>
              <w:t>2013年</w:t>
            </w:r>
          </w:p>
        </w:tc>
        <w:tc>
          <w:tcPr>
            <w:tcW w:w="60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78697CF">
            <w:pPr>
              <w:pStyle w:val="10"/>
              <w:bidi w:val="0"/>
              <w:jc w:val="center"/>
              <w:rPr>
                <w:rFonts w:hint="eastAsia"/>
                <w:b/>
                <w:bCs/>
                <w:color w:val="000000"/>
              </w:rPr>
            </w:pPr>
            <w:r>
              <w:rPr>
                <w:b/>
                <w:bCs/>
                <w:color w:val="000000"/>
                <w:lang w:val="en-US" w:eastAsia="zh-CN"/>
              </w:rPr>
              <w:t>水质分级</w:t>
            </w:r>
          </w:p>
        </w:tc>
        <w:tc>
          <w:tcPr>
            <w:tcW w:w="60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FF16B8D">
            <w:pPr>
              <w:pStyle w:val="10"/>
              <w:bidi w:val="0"/>
              <w:jc w:val="center"/>
              <w:rPr>
                <w:rFonts w:hint="default"/>
                <w:b/>
                <w:bCs/>
                <w:color w:val="000000"/>
              </w:rPr>
            </w:pPr>
            <w:r>
              <w:rPr>
                <w:b/>
                <w:bCs/>
                <w:color w:val="000000"/>
                <w:lang w:val="en-US" w:eastAsia="zh-CN"/>
              </w:rPr>
              <w:t>2012年</w:t>
            </w:r>
          </w:p>
        </w:tc>
        <w:tc>
          <w:tcPr>
            <w:tcW w:w="60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3F6833A">
            <w:pPr>
              <w:pStyle w:val="10"/>
              <w:bidi w:val="0"/>
              <w:jc w:val="center"/>
              <w:rPr>
                <w:rFonts w:hint="default"/>
                <w:b/>
                <w:bCs/>
                <w:color w:val="000000"/>
              </w:rPr>
            </w:pPr>
            <w:r>
              <w:rPr>
                <w:b/>
                <w:bCs/>
                <w:color w:val="000000"/>
                <w:lang w:val="en-US" w:eastAsia="zh-CN"/>
              </w:rPr>
              <w:t>2013年</w:t>
            </w:r>
          </w:p>
        </w:tc>
        <w:tc>
          <w:tcPr>
            <w:tcW w:w="75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DE338AD">
            <w:pPr>
              <w:pStyle w:val="10"/>
              <w:bidi w:val="0"/>
              <w:jc w:val="center"/>
              <w:rPr>
                <w:rFonts w:hint="default"/>
                <w:b/>
                <w:bCs/>
                <w:color w:val="000000"/>
              </w:rPr>
            </w:pPr>
            <w:r>
              <w:rPr>
                <w:b/>
                <w:bCs/>
                <w:color w:val="000000"/>
                <w:lang w:val="en-US" w:eastAsia="zh-CN"/>
              </w:rPr>
              <w:t>2012年</w:t>
            </w:r>
          </w:p>
        </w:tc>
        <w:tc>
          <w:tcPr>
            <w:tcW w:w="754"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14:paraId="151C45E8">
            <w:pPr>
              <w:pStyle w:val="10"/>
              <w:bidi w:val="0"/>
              <w:jc w:val="center"/>
              <w:rPr>
                <w:rFonts w:hint="default"/>
                <w:b/>
                <w:bCs/>
                <w:color w:val="000000"/>
              </w:rPr>
            </w:pPr>
            <w:r>
              <w:rPr>
                <w:b/>
                <w:bCs/>
                <w:color w:val="000000"/>
                <w:lang w:val="en-US" w:eastAsia="zh-CN"/>
              </w:rPr>
              <w:t>2013年</w:t>
            </w:r>
          </w:p>
        </w:tc>
      </w:tr>
      <w:tr w14:paraId="6DCD2141">
        <w:tblPrEx>
          <w:shd w:val="clear" w:color="auto" w:fill="auto"/>
          <w:tblCellMar>
            <w:top w:w="0" w:type="dxa"/>
            <w:left w:w="0" w:type="dxa"/>
            <w:bottom w:w="0" w:type="dxa"/>
            <w:right w:w="0" w:type="dxa"/>
          </w:tblCellMar>
        </w:tblPrEx>
        <w:trPr>
          <w:trHeight w:val="465" w:hRule="atLeast"/>
        </w:trPr>
        <w:tc>
          <w:tcPr>
            <w:tcW w:w="602"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14:paraId="3A8A49A8">
            <w:pPr>
              <w:pStyle w:val="10"/>
              <w:bidi w:val="0"/>
              <w:jc w:val="center"/>
              <w:rPr>
                <w:rFonts w:hint="eastAsia"/>
                <w:color w:val="000000"/>
              </w:rPr>
            </w:pPr>
            <w:r>
              <w:rPr>
                <w:color w:val="000000"/>
                <w:lang w:val="en-US" w:eastAsia="zh-CN"/>
              </w:rPr>
              <w:t>塘坪</w:t>
            </w:r>
          </w:p>
        </w:tc>
        <w:tc>
          <w:tcPr>
            <w:tcW w:w="55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AA3D620">
            <w:pPr>
              <w:pStyle w:val="10"/>
              <w:bidi w:val="0"/>
              <w:jc w:val="center"/>
              <w:rPr>
                <w:rFonts w:hint="default"/>
                <w:color w:val="000000"/>
              </w:rPr>
            </w:pPr>
            <w:r>
              <w:rPr>
                <w:rFonts w:hint="default"/>
                <w:color w:val="000000"/>
                <w:lang w:val="en-US" w:eastAsia="zh-CN"/>
              </w:rPr>
              <w:t>0.16</w:t>
            </w:r>
          </w:p>
        </w:tc>
        <w:tc>
          <w:tcPr>
            <w:tcW w:w="52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439FB8C">
            <w:pPr>
              <w:pStyle w:val="10"/>
              <w:bidi w:val="0"/>
              <w:jc w:val="center"/>
              <w:rPr>
                <w:rFonts w:hint="default"/>
                <w:color w:val="000000"/>
              </w:rPr>
            </w:pPr>
            <w:r>
              <w:rPr>
                <w:rFonts w:hint="default"/>
                <w:color w:val="000000"/>
                <w:lang w:val="en-US" w:eastAsia="zh-CN"/>
              </w:rPr>
              <w:t>0.16</w:t>
            </w:r>
          </w:p>
        </w:tc>
        <w:tc>
          <w:tcPr>
            <w:tcW w:w="60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BB87C38">
            <w:pPr>
              <w:pStyle w:val="10"/>
              <w:bidi w:val="0"/>
              <w:jc w:val="center"/>
              <w:rPr>
                <w:rFonts w:hint="eastAsia"/>
                <w:color w:val="000000"/>
              </w:rPr>
            </w:pPr>
            <w:r>
              <w:rPr>
                <w:color w:val="000000"/>
                <w:lang w:val="en-US" w:eastAsia="zh-CN"/>
              </w:rPr>
              <w:t>清洁</w:t>
            </w:r>
          </w:p>
        </w:tc>
        <w:tc>
          <w:tcPr>
            <w:tcW w:w="60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9B66371">
            <w:pPr>
              <w:pStyle w:val="10"/>
              <w:bidi w:val="0"/>
              <w:jc w:val="center"/>
              <w:rPr>
                <w:color w:val="000000"/>
              </w:rPr>
            </w:pPr>
            <w:r>
              <w:rPr>
                <w:color w:val="000000"/>
                <w:lang w:val="en-US" w:eastAsia="zh-CN"/>
              </w:rPr>
              <w:t>II</w:t>
            </w:r>
          </w:p>
        </w:tc>
        <w:tc>
          <w:tcPr>
            <w:tcW w:w="60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8929BCB">
            <w:pPr>
              <w:pStyle w:val="10"/>
              <w:bidi w:val="0"/>
              <w:jc w:val="center"/>
              <w:rPr>
                <w:rFonts w:hint="default"/>
                <w:color w:val="000000"/>
              </w:rPr>
            </w:pPr>
            <w:r>
              <w:rPr>
                <w:color w:val="000000"/>
                <w:lang w:val="en-US" w:eastAsia="zh-CN"/>
              </w:rPr>
              <w:t>II</w:t>
            </w:r>
          </w:p>
        </w:tc>
        <w:tc>
          <w:tcPr>
            <w:tcW w:w="75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D990237">
            <w:pPr>
              <w:pStyle w:val="10"/>
              <w:bidi w:val="0"/>
              <w:jc w:val="center"/>
              <w:rPr>
                <w:rFonts w:hint="default"/>
                <w:color w:val="000000"/>
              </w:rPr>
            </w:pPr>
            <w:r>
              <w:rPr>
                <w:rFonts w:hint="default"/>
                <w:color w:val="000000"/>
                <w:lang w:val="en-US" w:eastAsia="zh-CN"/>
              </w:rPr>
              <w:t>100.0%</w:t>
            </w:r>
          </w:p>
        </w:tc>
        <w:tc>
          <w:tcPr>
            <w:tcW w:w="754"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14:paraId="6ED1BBBB">
            <w:pPr>
              <w:pStyle w:val="10"/>
              <w:bidi w:val="0"/>
              <w:jc w:val="center"/>
              <w:rPr>
                <w:rFonts w:hint="default"/>
                <w:color w:val="000000"/>
              </w:rPr>
            </w:pPr>
            <w:r>
              <w:rPr>
                <w:rFonts w:hint="default"/>
                <w:color w:val="000000"/>
                <w:lang w:val="en-US" w:eastAsia="zh-CN"/>
              </w:rPr>
              <w:t>100.0%</w:t>
            </w:r>
          </w:p>
        </w:tc>
      </w:tr>
    </w:tbl>
    <w:p w14:paraId="47A50FCD">
      <w:pPr>
        <w:ind w:left="0" w:leftChars="0" w:firstLine="0" w:firstLineChars="0"/>
        <w:jc w:val="center"/>
        <w:rPr>
          <w:rFonts w:hint="default"/>
          <w:b/>
          <w:bCs/>
          <w:lang w:val="en-US" w:eastAsia="zh-CN"/>
        </w:rPr>
      </w:pPr>
      <w:r>
        <w:rPr>
          <w:rFonts w:hint="default"/>
          <w:b/>
          <w:bCs/>
          <w:lang w:val="en-US" w:eastAsia="zh-CN"/>
        </w:rPr>
        <w:t>2013年南雄市地表水</w:t>
      </w:r>
      <w:r>
        <w:rPr>
          <w:rFonts w:hint="eastAsia"/>
          <w:b/>
          <w:bCs/>
          <w:lang w:val="en-US" w:eastAsia="zh-CN"/>
        </w:rPr>
        <w:t>浈</w:t>
      </w:r>
      <w:r>
        <w:rPr>
          <w:rFonts w:hint="default"/>
          <w:b/>
          <w:bCs/>
          <w:lang w:val="en-US" w:eastAsia="zh-CN"/>
        </w:rPr>
        <w:t>江河水质监测结果、评价表</w:t>
      </w:r>
    </w:p>
    <w:p w14:paraId="446067BD">
      <w:pPr>
        <w:rPr>
          <w:rFonts w:hint="default"/>
          <w:lang w:val="en-US" w:eastAsia="zh-CN"/>
        </w:rPr>
      </w:pPr>
      <w:r>
        <w:rPr>
          <w:rFonts w:hint="eastAsia"/>
          <w:lang w:val="en-US" w:eastAsia="zh-CN"/>
        </w:rPr>
        <w:t>表19</w:t>
      </w:r>
    </w:p>
    <w:p w14:paraId="3FE32017">
      <w:pPr>
        <w:jc w:val="right"/>
        <w:rPr>
          <w:rFonts w:hint="default"/>
          <w:lang w:val="en-US" w:eastAsia="zh-CN"/>
        </w:rPr>
      </w:pPr>
      <w:r>
        <w:rPr>
          <w:rFonts w:hint="default"/>
          <w:lang w:val="en-US" w:eastAsia="zh-CN"/>
        </w:rPr>
        <w:t>单位：mg/L(pH值：无量纲）</w:t>
      </w:r>
    </w:p>
    <w:tbl>
      <w:tblPr>
        <w:tblStyle w:val="7"/>
        <w:tblW w:w="5000"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Layout w:type="fixed"/>
        <w:tblCellMar>
          <w:top w:w="0" w:type="dxa"/>
          <w:left w:w="0" w:type="dxa"/>
          <w:bottom w:w="0" w:type="dxa"/>
          <w:right w:w="0" w:type="dxa"/>
        </w:tblCellMar>
      </w:tblPr>
      <w:tblGrid>
        <w:gridCol w:w="376"/>
        <w:gridCol w:w="376"/>
        <w:gridCol w:w="376"/>
        <w:gridCol w:w="376"/>
        <w:gridCol w:w="376"/>
        <w:gridCol w:w="376"/>
        <w:gridCol w:w="376"/>
        <w:gridCol w:w="376"/>
        <w:gridCol w:w="376"/>
        <w:gridCol w:w="376"/>
        <w:gridCol w:w="376"/>
        <w:gridCol w:w="376"/>
        <w:gridCol w:w="376"/>
        <w:gridCol w:w="376"/>
        <w:gridCol w:w="376"/>
        <w:gridCol w:w="376"/>
        <w:gridCol w:w="376"/>
        <w:gridCol w:w="376"/>
        <w:gridCol w:w="376"/>
        <w:gridCol w:w="376"/>
        <w:gridCol w:w="376"/>
        <w:gridCol w:w="376"/>
        <w:gridCol w:w="376"/>
        <w:gridCol w:w="376"/>
        <w:gridCol w:w="376"/>
        <w:gridCol w:w="376"/>
      </w:tblGrid>
      <w:tr w14:paraId="35912F2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980" w:hRule="atLeast"/>
        </w:trPr>
        <w:tc>
          <w:tcPr>
            <w:tcW w:w="19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1BE208B">
            <w:pPr>
              <w:pStyle w:val="10"/>
              <w:bidi w:val="0"/>
              <w:jc w:val="center"/>
              <w:rPr>
                <w:rFonts w:hint="default"/>
                <w:b/>
                <w:bCs/>
                <w:color w:val="000000"/>
              </w:rPr>
            </w:pPr>
            <w:r>
              <w:rPr>
                <w:rFonts w:hint="eastAsia"/>
                <w:b/>
                <w:bCs/>
                <w:color w:val="000000"/>
                <w:lang w:val="en-US" w:eastAsia="zh-CN"/>
              </w:rPr>
              <w:t>断面</w:t>
            </w:r>
            <w:r>
              <w:rPr>
                <w:b/>
                <w:bCs/>
                <w:color w:val="000000"/>
                <w:lang w:val="en-US" w:eastAsia="zh-CN"/>
              </w:rPr>
              <w:t>名</w:t>
            </w:r>
            <w:r>
              <w:rPr>
                <w:b/>
                <w:bCs/>
                <w:color w:val="000000"/>
                <w:lang w:val="en-US" w:eastAsia="zh-CN"/>
              </w:rPr>
              <w:br w:type="textWrapping"/>
            </w:r>
            <w:r>
              <w:rPr>
                <w:rFonts w:hint="eastAsia"/>
                <w:b/>
                <w:bCs/>
                <w:color w:val="000000"/>
                <w:lang w:val="en-US" w:eastAsia="zh-CN"/>
              </w:rPr>
              <w:t>称</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770FEC4">
            <w:pPr>
              <w:pStyle w:val="10"/>
              <w:bidi w:val="0"/>
              <w:jc w:val="center"/>
              <w:rPr>
                <w:rFonts w:hint="eastAsia"/>
                <w:b/>
                <w:bCs/>
                <w:color w:val="000000"/>
              </w:rPr>
            </w:pPr>
            <w:r>
              <w:rPr>
                <w:rFonts w:hint="eastAsia"/>
                <w:b/>
                <w:bCs/>
                <w:color w:val="000000"/>
                <w:lang w:val="en-US" w:eastAsia="zh-CN"/>
              </w:rPr>
              <w:t>指标</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0326913">
            <w:pPr>
              <w:pStyle w:val="10"/>
              <w:bidi w:val="0"/>
              <w:jc w:val="center"/>
              <w:rPr>
                <w:rFonts w:hint="default"/>
                <w:b/>
                <w:bCs/>
                <w:color w:val="000000"/>
              </w:rPr>
            </w:pPr>
            <w:r>
              <w:rPr>
                <w:b/>
                <w:bCs/>
                <w:color w:val="000000"/>
                <w:lang w:val="en-US" w:eastAsia="zh-CN"/>
              </w:rPr>
              <w:t>pH</w:t>
            </w:r>
            <w:r>
              <w:rPr>
                <w:b/>
                <w:bCs/>
                <w:color w:val="000000"/>
                <w:lang w:val="en-US" w:eastAsia="zh-CN"/>
              </w:rPr>
              <w:br w:type="textWrapping"/>
            </w:r>
            <w:r>
              <w:rPr>
                <w:rFonts w:hint="eastAsia"/>
                <w:b/>
                <w:bCs/>
                <w:color w:val="000000"/>
                <w:lang w:val="en-US" w:eastAsia="zh-CN"/>
              </w:rPr>
              <w:t>值</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2E55BC8">
            <w:pPr>
              <w:pStyle w:val="10"/>
              <w:bidi w:val="0"/>
              <w:jc w:val="center"/>
              <w:rPr>
                <w:rFonts w:hint="eastAsia"/>
                <w:b/>
                <w:bCs/>
                <w:color w:val="000000"/>
              </w:rPr>
            </w:pPr>
            <w:r>
              <w:rPr>
                <w:rFonts w:hint="eastAsia"/>
                <w:b/>
                <w:bCs/>
                <w:color w:val="000000"/>
                <w:lang w:val="en-US" w:eastAsia="zh-CN"/>
              </w:rPr>
              <w:t>溶解</w:t>
            </w:r>
            <w:r>
              <w:rPr>
                <w:b/>
                <w:bCs/>
                <w:color w:val="000000"/>
                <w:lang w:val="en-US" w:eastAsia="zh-CN"/>
              </w:rPr>
              <w:t>氧</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F8AC172">
            <w:pPr>
              <w:pStyle w:val="10"/>
              <w:bidi w:val="0"/>
              <w:jc w:val="center"/>
              <w:rPr>
                <w:rFonts w:hint="eastAsia"/>
                <w:b/>
                <w:bCs/>
                <w:color w:val="000000"/>
              </w:rPr>
            </w:pPr>
            <w:r>
              <w:rPr>
                <w:rFonts w:hint="eastAsia"/>
                <w:b/>
                <w:bCs/>
                <w:color w:val="000000"/>
                <w:lang w:val="en-US" w:eastAsia="zh-CN"/>
              </w:rPr>
              <w:t>高猛酸盐指数</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C888DCC">
            <w:pPr>
              <w:pStyle w:val="10"/>
              <w:bidi w:val="0"/>
              <w:jc w:val="center"/>
              <w:rPr>
                <w:rFonts w:hint="eastAsia"/>
                <w:b/>
                <w:bCs/>
                <w:color w:val="000000"/>
              </w:rPr>
            </w:pPr>
            <w:r>
              <w:rPr>
                <w:rFonts w:hint="eastAsia"/>
                <w:b/>
                <w:bCs/>
                <w:color w:val="000000"/>
                <w:lang w:val="en-US" w:eastAsia="zh-CN"/>
              </w:rPr>
              <w:t>化学</w:t>
            </w:r>
            <w:r>
              <w:rPr>
                <w:b/>
                <w:bCs/>
                <w:color w:val="000000"/>
                <w:lang w:val="en-US" w:eastAsia="zh-CN"/>
              </w:rPr>
              <w:t>需氧</w:t>
            </w:r>
            <w:r>
              <w:rPr>
                <w:rFonts w:hint="eastAsia"/>
                <w:b/>
                <w:bCs/>
                <w:color w:val="000000"/>
                <w:lang w:val="en-US" w:eastAsia="zh-CN"/>
              </w:rPr>
              <w:t>量</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A7193F4">
            <w:pPr>
              <w:pStyle w:val="10"/>
              <w:bidi w:val="0"/>
              <w:jc w:val="center"/>
              <w:rPr>
                <w:rFonts w:hint="default"/>
                <w:b/>
                <w:bCs/>
                <w:color w:val="000000"/>
              </w:rPr>
            </w:pPr>
            <w:r>
              <w:rPr>
                <w:rFonts w:hint="eastAsia"/>
                <w:b/>
                <w:bCs/>
                <w:color w:val="000000"/>
                <w:lang w:val="en-US" w:eastAsia="zh-CN"/>
              </w:rPr>
              <w:t>五日生化需氧</w:t>
            </w:r>
            <w:r>
              <w:rPr>
                <w:rFonts w:hint="eastAsia"/>
                <w:b/>
                <w:bCs/>
                <w:color w:val="000000"/>
                <w:lang w:val="en-US" w:eastAsia="zh-CN"/>
              </w:rPr>
              <w:br w:type="textWrapping"/>
            </w:r>
            <w:r>
              <w:rPr>
                <w:rFonts w:hint="eastAsia"/>
                <w:b/>
                <w:bCs/>
                <w:color w:val="000000"/>
                <w:lang w:val="en-US" w:eastAsia="zh-CN"/>
              </w:rPr>
              <w:t>量</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7E02224">
            <w:pPr>
              <w:pStyle w:val="10"/>
              <w:bidi w:val="0"/>
              <w:jc w:val="center"/>
              <w:rPr>
                <w:rFonts w:hint="eastAsia"/>
                <w:b/>
                <w:bCs/>
                <w:color w:val="000000"/>
              </w:rPr>
            </w:pPr>
            <w:r>
              <w:rPr>
                <w:rFonts w:hint="eastAsia"/>
                <w:b/>
                <w:bCs/>
                <w:color w:val="000000"/>
                <w:lang w:val="en-US" w:eastAsia="zh-CN"/>
              </w:rPr>
              <w:t>氨</w:t>
            </w:r>
            <w:r>
              <w:rPr>
                <w:b/>
                <w:bCs/>
                <w:color w:val="000000"/>
                <w:lang w:val="en-US" w:eastAsia="zh-CN"/>
              </w:rPr>
              <w:t>氮</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A7C837C">
            <w:pPr>
              <w:pStyle w:val="10"/>
              <w:bidi w:val="0"/>
              <w:jc w:val="center"/>
              <w:rPr>
                <w:rFonts w:hint="eastAsia"/>
                <w:b/>
                <w:bCs/>
                <w:color w:val="000000"/>
              </w:rPr>
            </w:pPr>
            <w:r>
              <w:rPr>
                <w:rFonts w:hint="eastAsia"/>
                <w:b/>
                <w:bCs/>
                <w:color w:val="000000"/>
                <w:lang w:val="en-US" w:eastAsia="zh-CN"/>
              </w:rPr>
              <w:t>总磷</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79125BB">
            <w:pPr>
              <w:pStyle w:val="10"/>
              <w:bidi w:val="0"/>
              <w:jc w:val="center"/>
              <w:rPr>
                <w:rFonts w:hint="eastAsia"/>
                <w:b/>
                <w:bCs/>
                <w:color w:val="000000"/>
              </w:rPr>
            </w:pPr>
            <w:r>
              <w:rPr>
                <w:rFonts w:hint="eastAsia"/>
                <w:b/>
                <w:bCs/>
                <w:color w:val="000000"/>
                <w:lang w:val="en-US" w:eastAsia="zh-CN"/>
              </w:rPr>
              <w:t>铜</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8C35099">
            <w:pPr>
              <w:pStyle w:val="10"/>
              <w:bidi w:val="0"/>
              <w:jc w:val="center"/>
              <w:rPr>
                <w:rFonts w:hint="eastAsia"/>
                <w:b/>
                <w:bCs/>
                <w:color w:val="000000"/>
              </w:rPr>
            </w:pPr>
            <w:r>
              <w:rPr>
                <w:rFonts w:hint="eastAsia"/>
                <w:b/>
                <w:bCs/>
                <w:color w:val="000000"/>
                <w:lang w:val="en-US" w:eastAsia="zh-CN"/>
              </w:rPr>
              <w:t>锌</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81AB4C0">
            <w:pPr>
              <w:pStyle w:val="10"/>
              <w:bidi w:val="0"/>
              <w:jc w:val="center"/>
              <w:rPr>
                <w:rFonts w:hint="eastAsia"/>
                <w:b/>
                <w:bCs/>
                <w:color w:val="000000"/>
              </w:rPr>
            </w:pPr>
            <w:r>
              <w:rPr>
                <w:rFonts w:hint="eastAsia"/>
                <w:b/>
                <w:bCs/>
                <w:color w:val="000000"/>
                <w:lang w:val="en-US" w:eastAsia="zh-CN"/>
              </w:rPr>
              <w:t>氛化物</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6CFE037">
            <w:pPr>
              <w:pStyle w:val="10"/>
              <w:bidi w:val="0"/>
              <w:jc w:val="center"/>
              <w:rPr>
                <w:rFonts w:hint="eastAsia"/>
                <w:b/>
                <w:bCs/>
                <w:color w:val="000000"/>
              </w:rPr>
            </w:pPr>
            <w:r>
              <w:rPr>
                <w:rFonts w:hint="eastAsia"/>
                <w:b/>
                <w:bCs/>
                <w:color w:val="000000"/>
                <w:lang w:val="en-US" w:eastAsia="zh-CN"/>
              </w:rPr>
              <w:t>硒</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E2897BD">
            <w:pPr>
              <w:pStyle w:val="10"/>
              <w:bidi w:val="0"/>
              <w:jc w:val="center"/>
              <w:rPr>
                <w:rFonts w:hint="eastAsia"/>
                <w:b/>
                <w:bCs/>
                <w:color w:val="000000"/>
              </w:rPr>
            </w:pPr>
            <w:r>
              <w:rPr>
                <w:rFonts w:hint="eastAsia"/>
                <w:b/>
                <w:bCs/>
                <w:color w:val="000000"/>
                <w:lang w:val="en-US" w:eastAsia="zh-CN"/>
              </w:rPr>
              <w:t>硝</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198603C">
            <w:pPr>
              <w:pStyle w:val="10"/>
              <w:bidi w:val="0"/>
              <w:jc w:val="center"/>
              <w:rPr>
                <w:rFonts w:hint="eastAsia"/>
                <w:b/>
                <w:bCs/>
                <w:color w:val="000000"/>
              </w:rPr>
            </w:pPr>
            <w:r>
              <w:rPr>
                <w:rFonts w:hint="eastAsia"/>
                <w:b/>
                <w:bCs/>
                <w:color w:val="000000"/>
                <w:lang w:val="en-US" w:eastAsia="zh-CN"/>
              </w:rPr>
              <w:t>采</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BE1E78E">
            <w:pPr>
              <w:pStyle w:val="10"/>
              <w:bidi w:val="0"/>
              <w:jc w:val="center"/>
              <w:rPr>
                <w:rFonts w:hint="eastAsia"/>
                <w:b/>
                <w:bCs/>
                <w:color w:val="000000"/>
              </w:rPr>
            </w:pPr>
            <w:r>
              <w:rPr>
                <w:rFonts w:hint="eastAsia"/>
                <w:b/>
                <w:bCs/>
                <w:color w:val="000000"/>
                <w:lang w:val="en-US" w:eastAsia="zh-CN"/>
              </w:rPr>
              <w:t>锅</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B73A229">
            <w:pPr>
              <w:pStyle w:val="10"/>
              <w:bidi w:val="0"/>
              <w:jc w:val="center"/>
              <w:rPr>
                <w:rFonts w:hint="default"/>
                <w:b/>
                <w:bCs/>
                <w:color w:val="000000"/>
              </w:rPr>
            </w:pPr>
            <w:r>
              <w:rPr>
                <w:rFonts w:hint="eastAsia"/>
                <w:b/>
                <w:bCs/>
                <w:color w:val="000000"/>
                <w:lang w:val="en-US" w:eastAsia="zh-CN"/>
              </w:rPr>
              <w:t>六价</w:t>
            </w:r>
            <w:r>
              <w:rPr>
                <w:b/>
                <w:bCs/>
                <w:color w:val="000000"/>
                <w:lang w:val="en-US" w:eastAsia="zh-CN"/>
              </w:rPr>
              <w:t>铭</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9B61193">
            <w:pPr>
              <w:pStyle w:val="10"/>
              <w:bidi w:val="0"/>
              <w:jc w:val="center"/>
              <w:rPr>
                <w:rFonts w:hint="eastAsia"/>
                <w:b/>
                <w:bCs/>
                <w:color w:val="000000"/>
              </w:rPr>
            </w:pPr>
            <w:r>
              <w:rPr>
                <w:rFonts w:hint="eastAsia"/>
                <w:b/>
                <w:bCs/>
                <w:color w:val="000000"/>
                <w:lang w:val="en-US" w:eastAsia="zh-CN"/>
              </w:rPr>
              <w:t>铅</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A113E63">
            <w:pPr>
              <w:pStyle w:val="10"/>
              <w:bidi w:val="0"/>
              <w:jc w:val="center"/>
              <w:rPr>
                <w:rFonts w:hint="eastAsia"/>
                <w:b/>
                <w:bCs/>
                <w:color w:val="000000"/>
              </w:rPr>
            </w:pPr>
            <w:r>
              <w:rPr>
                <w:b/>
                <w:bCs/>
                <w:color w:val="000000"/>
                <w:lang w:val="en-US" w:eastAsia="zh-CN"/>
              </w:rPr>
              <w:t>氧</w:t>
            </w:r>
            <w:r>
              <w:rPr>
                <w:rFonts w:hint="eastAsia"/>
                <w:b/>
                <w:bCs/>
                <w:color w:val="000000"/>
                <w:lang w:val="en-US" w:eastAsia="zh-CN"/>
              </w:rPr>
              <w:t>化物</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ACB0321">
            <w:pPr>
              <w:pStyle w:val="10"/>
              <w:bidi w:val="0"/>
              <w:jc w:val="center"/>
              <w:rPr>
                <w:rFonts w:hint="default"/>
                <w:b/>
                <w:bCs/>
                <w:color w:val="000000"/>
              </w:rPr>
            </w:pPr>
            <w:r>
              <w:rPr>
                <w:b/>
                <w:bCs/>
                <w:color w:val="000000"/>
                <w:lang w:val="en-US" w:eastAsia="zh-CN"/>
              </w:rPr>
              <w:t>挥发</w:t>
            </w:r>
            <w:r>
              <w:rPr>
                <w:rFonts w:hint="eastAsia"/>
                <w:b/>
                <w:bCs/>
                <w:color w:val="000000"/>
                <w:lang w:val="en-US" w:eastAsia="zh-CN"/>
              </w:rPr>
              <w:t>酚</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EA8AA69">
            <w:pPr>
              <w:pStyle w:val="10"/>
              <w:bidi w:val="0"/>
              <w:jc w:val="center"/>
              <w:rPr>
                <w:rFonts w:hint="eastAsia"/>
                <w:b/>
                <w:bCs/>
                <w:color w:val="000000"/>
              </w:rPr>
            </w:pPr>
            <w:r>
              <w:rPr>
                <w:b/>
                <w:bCs/>
                <w:color w:val="000000"/>
                <w:lang w:val="en-US" w:eastAsia="zh-CN"/>
              </w:rPr>
              <w:t>石</w:t>
            </w:r>
            <w:r>
              <w:rPr>
                <w:rFonts w:hint="eastAsia"/>
                <w:b/>
                <w:bCs/>
                <w:color w:val="000000"/>
                <w:lang w:val="en-US" w:eastAsia="zh-CN"/>
              </w:rPr>
              <w:t>油</w:t>
            </w:r>
            <w:r>
              <w:rPr>
                <w:b/>
                <w:bCs/>
                <w:color w:val="000000"/>
                <w:lang w:val="en-US" w:eastAsia="zh-CN"/>
              </w:rPr>
              <w:t>类</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D3D0FF1">
            <w:pPr>
              <w:pStyle w:val="10"/>
              <w:bidi w:val="0"/>
              <w:jc w:val="center"/>
              <w:rPr>
                <w:rFonts w:hint="default"/>
                <w:b/>
                <w:bCs/>
                <w:color w:val="000000"/>
              </w:rPr>
            </w:pPr>
            <w:r>
              <w:rPr>
                <w:rFonts w:hint="eastAsia"/>
                <w:b/>
                <w:bCs/>
                <w:color w:val="000000"/>
                <w:lang w:val="en-US" w:eastAsia="zh-CN"/>
              </w:rPr>
              <w:t>阴离</w:t>
            </w:r>
            <w:r>
              <w:rPr>
                <w:b/>
                <w:bCs/>
                <w:color w:val="000000"/>
                <w:lang w:val="en-US" w:eastAsia="zh-CN"/>
              </w:rPr>
              <w:t>子表</w:t>
            </w:r>
            <w:r>
              <w:rPr>
                <w:rFonts w:hint="eastAsia"/>
                <w:b/>
                <w:bCs/>
                <w:color w:val="000000"/>
                <w:lang w:val="en-US" w:eastAsia="zh-CN"/>
              </w:rPr>
              <w:t>面活</w:t>
            </w:r>
            <w:r>
              <w:rPr>
                <w:rFonts w:hint="eastAsia"/>
                <w:b/>
                <w:bCs/>
                <w:color w:val="000000"/>
                <w:lang w:val="en-US" w:eastAsia="zh-CN"/>
              </w:rPr>
              <w:br w:type="textWrapping"/>
            </w:r>
            <w:r>
              <w:rPr>
                <w:rFonts w:hint="eastAsia"/>
                <w:b/>
                <w:bCs/>
                <w:color w:val="000000"/>
                <w:lang w:val="en-US" w:eastAsia="zh-CN"/>
              </w:rPr>
              <w:t>性剂</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0BA741F">
            <w:pPr>
              <w:pStyle w:val="10"/>
              <w:bidi w:val="0"/>
              <w:jc w:val="center"/>
              <w:rPr>
                <w:rFonts w:hint="eastAsia"/>
                <w:b/>
                <w:bCs/>
                <w:color w:val="000000"/>
              </w:rPr>
            </w:pPr>
            <w:r>
              <w:rPr>
                <w:rFonts w:hint="eastAsia"/>
                <w:b/>
                <w:bCs/>
                <w:color w:val="000000"/>
                <w:lang w:val="en-US" w:eastAsia="zh-CN"/>
              </w:rPr>
              <w:t>硫化物</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950621C">
            <w:pPr>
              <w:pStyle w:val="10"/>
              <w:bidi w:val="0"/>
              <w:jc w:val="center"/>
              <w:rPr>
                <w:rFonts w:hint="default"/>
                <w:b/>
                <w:bCs/>
                <w:color w:val="000000"/>
              </w:rPr>
            </w:pPr>
            <w:r>
              <w:rPr>
                <w:b/>
                <w:bCs/>
                <w:color w:val="000000"/>
                <w:lang w:val="en-US" w:eastAsia="zh-CN"/>
              </w:rPr>
              <w:t>综</w:t>
            </w:r>
            <w:r>
              <w:rPr>
                <w:rFonts w:hint="eastAsia"/>
                <w:b/>
                <w:bCs/>
                <w:color w:val="000000"/>
                <w:lang w:val="en-US" w:eastAsia="zh-CN"/>
              </w:rPr>
              <w:t>合污染指数</w:t>
            </w:r>
            <w:r>
              <w:rPr>
                <w:rFonts w:hint="eastAsia"/>
                <w:b/>
                <w:bCs/>
                <w:color w:val="000000"/>
                <w:lang w:val="en-US" w:eastAsia="zh-CN"/>
              </w:rPr>
              <w:br w:type="textWrapping"/>
            </w:r>
            <w:r>
              <w:rPr>
                <w:rFonts w:hint="eastAsia"/>
                <w:b/>
                <w:bCs/>
                <w:color w:val="000000"/>
                <w:lang w:val="en-US" w:eastAsia="zh-CN"/>
              </w:rPr>
              <w:t>均值</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75B9AF0">
            <w:pPr>
              <w:pStyle w:val="10"/>
              <w:bidi w:val="0"/>
              <w:jc w:val="center"/>
              <w:rPr>
                <w:rFonts w:hint="default"/>
                <w:b/>
                <w:bCs/>
                <w:color w:val="000000"/>
              </w:rPr>
            </w:pPr>
            <w:r>
              <w:rPr>
                <w:rFonts w:hint="eastAsia"/>
                <w:b/>
                <w:bCs/>
                <w:color w:val="000000"/>
                <w:lang w:val="en-US" w:eastAsia="zh-CN"/>
              </w:rPr>
              <w:t>水</w:t>
            </w:r>
            <w:r>
              <w:rPr>
                <w:b/>
                <w:bCs/>
                <w:color w:val="000000"/>
                <w:lang w:val="en-US" w:eastAsia="zh-CN"/>
              </w:rPr>
              <w:t>质类</w:t>
            </w:r>
            <w:r>
              <w:rPr>
                <w:b/>
                <w:bCs/>
                <w:color w:val="000000"/>
                <w:lang w:val="en-US" w:eastAsia="zh-CN"/>
              </w:rPr>
              <w:br w:type="textWrapping"/>
            </w:r>
            <w:r>
              <w:rPr>
                <w:rFonts w:hint="eastAsia"/>
                <w:b/>
                <w:bCs/>
                <w:color w:val="000000"/>
                <w:lang w:val="en-US" w:eastAsia="zh-CN"/>
              </w:rPr>
              <w:t>别</w:t>
            </w:r>
          </w:p>
        </w:tc>
        <w:tc>
          <w:tcPr>
            <w:tcW w:w="19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2EF78E41">
            <w:pPr>
              <w:pStyle w:val="10"/>
              <w:bidi w:val="0"/>
              <w:jc w:val="center"/>
              <w:rPr>
                <w:rFonts w:hint="default"/>
                <w:color w:val="000000"/>
              </w:rPr>
            </w:pPr>
            <w:r>
              <w:rPr>
                <w:b/>
                <w:bCs/>
                <w:color w:val="000000"/>
                <w:lang w:val="en-US" w:eastAsia="zh-CN"/>
              </w:rPr>
              <w:t>评价标</w:t>
            </w:r>
            <w:r>
              <w:rPr>
                <w:rFonts w:hint="eastAsia"/>
                <w:b/>
                <w:bCs/>
                <w:color w:val="000000"/>
                <w:lang w:val="en-US" w:eastAsia="zh-CN"/>
              </w:rPr>
              <w:t>准</w:t>
            </w:r>
          </w:p>
        </w:tc>
      </w:tr>
      <w:tr w14:paraId="2ACD86F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10" w:hRule="atLeast"/>
        </w:trPr>
        <w:tc>
          <w:tcPr>
            <w:tcW w:w="192" w:type="pct"/>
            <w:vMerge w:val="restar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561BB91">
            <w:pPr>
              <w:pStyle w:val="10"/>
              <w:bidi w:val="0"/>
              <w:jc w:val="center"/>
              <w:rPr>
                <w:rFonts w:hint="default"/>
                <w:color w:val="000000"/>
              </w:rPr>
            </w:pPr>
            <w:r>
              <w:rPr>
                <w:rFonts w:hint="eastAsia"/>
                <w:color w:val="000000"/>
                <w:lang w:val="en-US" w:eastAsia="zh-CN"/>
              </w:rPr>
              <w:t>河</w:t>
            </w:r>
            <w:r>
              <w:rPr>
                <w:rFonts w:hint="eastAsia"/>
                <w:color w:val="000000"/>
                <w:lang w:val="en-US" w:eastAsia="zh-CN"/>
              </w:rPr>
              <w:br w:type="textWrapping"/>
            </w:r>
            <w:r>
              <w:rPr>
                <w:rFonts w:hint="eastAsia"/>
                <w:color w:val="000000"/>
                <w:lang w:val="en-US" w:eastAsia="zh-CN"/>
              </w:rPr>
              <w:t>坪</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4C089EC">
            <w:pPr>
              <w:pStyle w:val="10"/>
              <w:bidi w:val="0"/>
              <w:jc w:val="center"/>
              <w:rPr>
                <w:rFonts w:hint="eastAsia"/>
                <w:color w:val="000000"/>
              </w:rPr>
            </w:pPr>
            <w:r>
              <w:rPr>
                <w:rFonts w:hint="eastAsia"/>
                <w:color w:val="000000"/>
                <w:lang w:val="en-US" w:eastAsia="zh-CN"/>
              </w:rPr>
              <w:t>样品数</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A7CB8FF">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D06EB70">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38D82C6">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A52A2CD">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D1A0289">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CBCF7CD">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21F9650">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FF1AAA1">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AB7B641">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B3E6177">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44FEB5C">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F4EF87C">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BD629C1">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3C95060">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4F53902">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3D0BDB1">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16683D6">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FE77A96">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70B73DD">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D3AC41D">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C434396">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7954420">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12F95D0">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615A97A9">
            <w:pPr>
              <w:pStyle w:val="10"/>
              <w:bidi w:val="0"/>
              <w:jc w:val="center"/>
              <w:rPr>
                <w:rFonts w:hint="default"/>
                <w:color w:val="000000"/>
              </w:rPr>
            </w:pPr>
          </w:p>
        </w:tc>
      </w:tr>
      <w:tr w14:paraId="27DC9891">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390" w:hRule="atLeast"/>
        </w:trPr>
        <w:tc>
          <w:tcPr>
            <w:tcW w:w="192" w:type="pct"/>
            <w:vMerge w:val="continue"/>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953B3DD">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14696F0">
            <w:pPr>
              <w:pStyle w:val="10"/>
              <w:bidi w:val="0"/>
              <w:jc w:val="center"/>
              <w:rPr>
                <w:rFonts w:hint="eastAsia"/>
                <w:color w:val="000000"/>
              </w:rPr>
            </w:pPr>
            <w:r>
              <w:rPr>
                <w:rFonts w:hint="eastAsia"/>
                <w:color w:val="000000"/>
                <w:lang w:val="en-US" w:eastAsia="zh-CN"/>
              </w:rPr>
              <w:t>最大值</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6B7D8D7">
            <w:pPr>
              <w:pStyle w:val="10"/>
              <w:bidi w:val="0"/>
              <w:jc w:val="center"/>
              <w:rPr>
                <w:rFonts w:hint="default"/>
                <w:color w:val="000000"/>
              </w:rPr>
            </w:pPr>
            <w:r>
              <w:rPr>
                <w:rFonts w:hint="default"/>
                <w:color w:val="000000"/>
                <w:lang w:val="en-US" w:eastAsia="zh-CN"/>
              </w:rPr>
              <w:t>7.83</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14920A7">
            <w:pPr>
              <w:pStyle w:val="10"/>
              <w:bidi w:val="0"/>
              <w:jc w:val="center"/>
              <w:rPr>
                <w:rFonts w:hint="default"/>
                <w:color w:val="000000"/>
              </w:rPr>
            </w:pPr>
            <w:r>
              <w:rPr>
                <w:rFonts w:hint="default"/>
                <w:color w:val="000000"/>
                <w:lang w:val="en-US" w:eastAsia="zh-CN"/>
              </w:rPr>
              <w:t>9.5</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8BC1D3E">
            <w:pPr>
              <w:pStyle w:val="10"/>
              <w:bidi w:val="0"/>
              <w:jc w:val="center"/>
              <w:rPr>
                <w:rFonts w:hint="default"/>
                <w:color w:val="000000"/>
              </w:rPr>
            </w:pPr>
            <w:r>
              <w:rPr>
                <w:rFonts w:hint="default"/>
                <w:color w:val="000000"/>
                <w:lang w:val="en-US" w:eastAsia="zh-CN"/>
              </w:rPr>
              <w:t>3.0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3420823">
            <w:pPr>
              <w:pStyle w:val="10"/>
              <w:bidi w:val="0"/>
              <w:jc w:val="center"/>
              <w:rPr>
                <w:rFonts w:hint="default"/>
                <w:color w:val="000000"/>
              </w:rPr>
            </w:pPr>
            <w:r>
              <w:rPr>
                <w:rFonts w:hint="default"/>
                <w:color w:val="000000"/>
                <w:lang w:val="en-US" w:eastAsia="zh-CN"/>
              </w:rPr>
              <w:t>12.3</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FC724A6">
            <w:pPr>
              <w:pStyle w:val="10"/>
              <w:bidi w:val="0"/>
              <w:jc w:val="center"/>
              <w:rPr>
                <w:rFonts w:hint="default"/>
                <w:color w:val="000000"/>
              </w:rPr>
            </w:pPr>
            <w:r>
              <w:rPr>
                <w:rFonts w:hint="default"/>
                <w:color w:val="000000"/>
                <w:lang w:val="en-US" w:eastAsia="zh-CN"/>
              </w:rPr>
              <w:t>2.8</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EB784B1">
            <w:pPr>
              <w:pStyle w:val="10"/>
              <w:bidi w:val="0"/>
              <w:jc w:val="center"/>
              <w:rPr>
                <w:rFonts w:hint="default"/>
                <w:color w:val="000000"/>
              </w:rPr>
            </w:pPr>
            <w:r>
              <w:rPr>
                <w:rFonts w:hint="default"/>
                <w:color w:val="000000"/>
                <w:lang w:val="en-US" w:eastAsia="zh-CN"/>
              </w:rPr>
              <w:t>0.486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9E3D8E5">
            <w:pPr>
              <w:pStyle w:val="10"/>
              <w:bidi w:val="0"/>
              <w:jc w:val="center"/>
              <w:rPr>
                <w:rFonts w:hint="default"/>
                <w:color w:val="000000"/>
              </w:rPr>
            </w:pPr>
            <w:r>
              <w:rPr>
                <w:rFonts w:hint="default"/>
                <w:color w:val="000000"/>
                <w:lang w:val="en-US" w:eastAsia="zh-CN"/>
              </w:rPr>
              <w:t>0.090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1BA4FB5">
            <w:pPr>
              <w:pStyle w:val="10"/>
              <w:bidi w:val="0"/>
              <w:jc w:val="center"/>
              <w:rPr>
                <w:rFonts w:hint="default"/>
                <w:color w:val="000000"/>
              </w:rPr>
            </w:pPr>
            <w:r>
              <w:rPr>
                <w:rFonts w:hint="default"/>
                <w:color w:val="000000"/>
                <w:lang w:val="en-US" w:eastAsia="zh-CN"/>
              </w:rPr>
              <w:t>0.002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2AE43CB">
            <w:pPr>
              <w:pStyle w:val="10"/>
              <w:bidi w:val="0"/>
              <w:jc w:val="center"/>
              <w:rPr>
                <w:rFonts w:hint="default"/>
                <w:color w:val="000000"/>
              </w:rPr>
            </w:pPr>
            <w:r>
              <w:rPr>
                <w:rFonts w:hint="default"/>
                <w:color w:val="000000"/>
                <w:lang w:val="en-US" w:eastAsia="zh-CN"/>
              </w:rPr>
              <w:t>0.033</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45E14D9">
            <w:pPr>
              <w:pStyle w:val="10"/>
              <w:bidi w:val="0"/>
              <w:jc w:val="center"/>
              <w:rPr>
                <w:rFonts w:hint="default"/>
                <w:color w:val="000000"/>
              </w:rPr>
            </w:pPr>
            <w:r>
              <w:rPr>
                <w:rFonts w:hint="default"/>
                <w:color w:val="000000"/>
                <w:lang w:val="en-US" w:eastAsia="zh-CN"/>
              </w:rPr>
              <w:t>0.30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5FB0777">
            <w:pPr>
              <w:pStyle w:val="10"/>
              <w:bidi w:val="0"/>
              <w:jc w:val="center"/>
              <w:rPr>
                <w:rFonts w:hint="default"/>
                <w:color w:val="000000"/>
              </w:rPr>
            </w:pPr>
            <w:r>
              <w:rPr>
                <w:rFonts w:hint="default"/>
                <w:color w:val="000000"/>
                <w:lang w:val="en-US" w:eastAsia="zh-CN"/>
              </w:rPr>
              <w:t>0.00004</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2AD8529">
            <w:pPr>
              <w:pStyle w:val="10"/>
              <w:bidi w:val="0"/>
              <w:jc w:val="center"/>
              <w:rPr>
                <w:rFonts w:hint="default"/>
                <w:color w:val="000000"/>
              </w:rPr>
            </w:pPr>
            <w:r>
              <w:rPr>
                <w:rFonts w:hint="default"/>
                <w:color w:val="000000"/>
                <w:lang w:val="en-US" w:eastAsia="zh-CN"/>
              </w:rPr>
              <w:t>0.00001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BBFFC6A">
            <w:pPr>
              <w:pStyle w:val="10"/>
              <w:bidi w:val="0"/>
              <w:jc w:val="center"/>
              <w:rPr>
                <w:rFonts w:hint="default"/>
                <w:color w:val="000000"/>
              </w:rPr>
            </w:pPr>
            <w:r>
              <w:rPr>
                <w:rFonts w:hint="default"/>
                <w:color w:val="000000"/>
                <w:lang w:val="en-US" w:eastAsia="zh-CN"/>
              </w:rPr>
              <w:t>0.00001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DF40F1E">
            <w:pPr>
              <w:pStyle w:val="10"/>
              <w:bidi w:val="0"/>
              <w:jc w:val="center"/>
              <w:rPr>
                <w:rFonts w:hint="default"/>
                <w:color w:val="000000"/>
              </w:rPr>
            </w:pPr>
            <w:r>
              <w:rPr>
                <w:rFonts w:hint="default"/>
                <w:color w:val="000000"/>
                <w:lang w:val="en-US" w:eastAsia="zh-CN"/>
              </w:rPr>
              <w:t>0.002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D4DADD3">
            <w:pPr>
              <w:pStyle w:val="10"/>
              <w:bidi w:val="0"/>
              <w:jc w:val="center"/>
              <w:rPr>
                <w:rFonts w:hint="default"/>
                <w:color w:val="000000"/>
              </w:rPr>
            </w:pPr>
            <w:r>
              <w:rPr>
                <w:rFonts w:hint="default"/>
                <w:color w:val="000000"/>
                <w:lang w:val="en-US" w:eastAsia="zh-CN"/>
              </w:rPr>
              <w:t>0.018</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652AFEB">
            <w:pPr>
              <w:pStyle w:val="10"/>
              <w:bidi w:val="0"/>
              <w:jc w:val="center"/>
              <w:rPr>
                <w:rFonts w:hint="default"/>
                <w:color w:val="000000"/>
              </w:rPr>
            </w:pPr>
            <w:r>
              <w:rPr>
                <w:rFonts w:hint="default"/>
                <w:color w:val="000000"/>
                <w:lang w:val="en-US" w:eastAsia="zh-CN"/>
              </w:rPr>
              <w:t>0.0005</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F09FD0E">
            <w:pPr>
              <w:pStyle w:val="10"/>
              <w:bidi w:val="0"/>
              <w:jc w:val="center"/>
              <w:rPr>
                <w:rFonts w:hint="default"/>
                <w:color w:val="000000"/>
              </w:rPr>
            </w:pPr>
            <w:r>
              <w:rPr>
                <w:rFonts w:hint="default"/>
                <w:color w:val="000000"/>
                <w:lang w:val="en-US" w:eastAsia="zh-CN"/>
              </w:rPr>
              <w:t>0.002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7E17499">
            <w:pPr>
              <w:pStyle w:val="10"/>
              <w:bidi w:val="0"/>
              <w:jc w:val="center"/>
              <w:rPr>
                <w:rFonts w:hint="default"/>
                <w:color w:val="000000"/>
              </w:rPr>
            </w:pPr>
            <w:r>
              <w:rPr>
                <w:rFonts w:hint="default"/>
                <w:color w:val="000000"/>
                <w:lang w:val="en-US" w:eastAsia="zh-CN"/>
              </w:rPr>
              <w:t>0.0018</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B3CD3A8">
            <w:pPr>
              <w:pStyle w:val="10"/>
              <w:bidi w:val="0"/>
              <w:jc w:val="center"/>
              <w:rPr>
                <w:rFonts w:hint="default"/>
                <w:color w:val="000000"/>
              </w:rPr>
            </w:pPr>
            <w:r>
              <w:rPr>
                <w:rFonts w:hint="default"/>
                <w:color w:val="000000"/>
                <w:lang w:val="en-US" w:eastAsia="zh-CN"/>
              </w:rPr>
              <w:t>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4017D61">
            <w:pPr>
              <w:pStyle w:val="10"/>
              <w:bidi w:val="0"/>
              <w:jc w:val="center"/>
              <w:rPr>
                <w:rFonts w:hint="default"/>
                <w:color w:val="000000"/>
              </w:rPr>
            </w:pPr>
            <w:r>
              <w:rPr>
                <w:rFonts w:hint="default"/>
                <w:color w:val="000000"/>
                <w:lang w:val="en-US" w:eastAsia="zh-CN"/>
              </w:rPr>
              <w:t>0.10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D6CC3C9">
            <w:pPr>
              <w:pStyle w:val="10"/>
              <w:bidi w:val="0"/>
              <w:jc w:val="center"/>
              <w:rPr>
                <w:rFonts w:hint="default"/>
                <w:color w:val="000000"/>
              </w:rPr>
            </w:pPr>
            <w:r>
              <w:rPr>
                <w:rFonts w:hint="default"/>
                <w:color w:val="000000"/>
                <w:lang w:val="en-US" w:eastAsia="zh-CN"/>
              </w:rPr>
              <w:t>0.045</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71C8493">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86FFEDC">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4D2661DF">
            <w:pPr>
              <w:pStyle w:val="10"/>
              <w:bidi w:val="0"/>
              <w:jc w:val="center"/>
              <w:rPr>
                <w:rFonts w:hint="default"/>
                <w:color w:val="000000"/>
              </w:rPr>
            </w:pPr>
          </w:p>
        </w:tc>
      </w:tr>
      <w:tr w14:paraId="699B359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10" w:hRule="atLeast"/>
        </w:trPr>
        <w:tc>
          <w:tcPr>
            <w:tcW w:w="192" w:type="pct"/>
            <w:vMerge w:val="continue"/>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5C2B14C">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A99F870">
            <w:pPr>
              <w:pStyle w:val="10"/>
              <w:bidi w:val="0"/>
              <w:jc w:val="center"/>
              <w:rPr>
                <w:rFonts w:hint="eastAsia"/>
                <w:color w:val="000000"/>
              </w:rPr>
            </w:pPr>
            <w:r>
              <w:rPr>
                <w:rFonts w:hint="eastAsia"/>
                <w:color w:val="000000"/>
                <w:lang w:val="en-US" w:eastAsia="zh-CN"/>
              </w:rPr>
              <w:t>最小值</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3B745DA">
            <w:pPr>
              <w:pStyle w:val="10"/>
              <w:bidi w:val="0"/>
              <w:jc w:val="center"/>
              <w:rPr>
                <w:rFonts w:hint="default"/>
                <w:color w:val="000000"/>
              </w:rPr>
            </w:pPr>
            <w:r>
              <w:rPr>
                <w:rFonts w:hint="default"/>
                <w:color w:val="000000"/>
                <w:lang w:val="en-US" w:eastAsia="zh-CN"/>
              </w:rPr>
              <w:t>7.08</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A499426">
            <w:pPr>
              <w:pStyle w:val="10"/>
              <w:bidi w:val="0"/>
              <w:jc w:val="center"/>
              <w:rPr>
                <w:rFonts w:hint="default"/>
                <w:color w:val="000000"/>
              </w:rPr>
            </w:pPr>
            <w:r>
              <w:rPr>
                <w:rFonts w:hint="default"/>
                <w:color w:val="000000"/>
                <w:lang w:val="en-US" w:eastAsia="zh-CN"/>
              </w:rPr>
              <w:t>7.4</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B039335">
            <w:pPr>
              <w:pStyle w:val="10"/>
              <w:bidi w:val="0"/>
              <w:jc w:val="center"/>
              <w:rPr>
                <w:rFonts w:hint="default"/>
                <w:color w:val="000000"/>
              </w:rPr>
            </w:pPr>
            <w:r>
              <w:rPr>
                <w:rFonts w:hint="default"/>
                <w:color w:val="000000"/>
                <w:lang w:val="en-US" w:eastAsia="zh-CN"/>
              </w:rPr>
              <w:t>1.7</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44AE597">
            <w:pPr>
              <w:pStyle w:val="10"/>
              <w:bidi w:val="0"/>
              <w:jc w:val="center"/>
              <w:rPr>
                <w:rFonts w:hint="default"/>
                <w:color w:val="000000"/>
              </w:rPr>
            </w:pPr>
            <w:r>
              <w:rPr>
                <w:rFonts w:hint="default"/>
                <w:color w:val="000000"/>
                <w:lang w:val="en-US" w:eastAsia="zh-CN"/>
              </w:rPr>
              <w:t>4.3</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B3E7A63">
            <w:pPr>
              <w:pStyle w:val="10"/>
              <w:bidi w:val="0"/>
              <w:jc w:val="center"/>
              <w:rPr>
                <w:rFonts w:hint="default"/>
                <w:color w:val="000000"/>
              </w:rPr>
            </w:pPr>
            <w:r>
              <w:rPr>
                <w:rFonts w:hint="default"/>
                <w:color w:val="000000"/>
                <w:lang w:val="en-US" w:eastAsia="zh-CN"/>
              </w:rPr>
              <w:t>1.5</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CE59B4F">
            <w:pPr>
              <w:pStyle w:val="10"/>
              <w:bidi w:val="0"/>
              <w:jc w:val="center"/>
              <w:rPr>
                <w:rFonts w:hint="default"/>
                <w:color w:val="000000"/>
              </w:rPr>
            </w:pPr>
            <w:r>
              <w:rPr>
                <w:rFonts w:hint="default"/>
                <w:color w:val="000000"/>
                <w:lang w:val="en-US" w:eastAsia="zh-CN"/>
              </w:rPr>
              <w:t>0.119</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5DC9389">
            <w:pPr>
              <w:pStyle w:val="10"/>
              <w:bidi w:val="0"/>
              <w:jc w:val="center"/>
              <w:rPr>
                <w:rFonts w:hint="default"/>
                <w:color w:val="000000"/>
              </w:rPr>
            </w:pPr>
            <w:r>
              <w:rPr>
                <w:rFonts w:hint="default"/>
                <w:color w:val="000000"/>
                <w:lang w:val="en-US" w:eastAsia="zh-CN"/>
              </w:rPr>
              <w:t>0.060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9E720D3">
            <w:pPr>
              <w:pStyle w:val="10"/>
              <w:bidi w:val="0"/>
              <w:jc w:val="center"/>
              <w:rPr>
                <w:rFonts w:hint="default"/>
                <w:color w:val="000000"/>
              </w:rPr>
            </w:pPr>
            <w:r>
              <w:rPr>
                <w:rFonts w:hint="default"/>
                <w:color w:val="000000"/>
                <w:lang w:val="en-US" w:eastAsia="zh-CN"/>
              </w:rPr>
              <w:t>0.002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8F23860">
            <w:pPr>
              <w:pStyle w:val="10"/>
              <w:bidi w:val="0"/>
              <w:jc w:val="center"/>
              <w:rPr>
                <w:rFonts w:hint="default"/>
                <w:color w:val="000000"/>
              </w:rPr>
            </w:pPr>
            <w:r>
              <w:rPr>
                <w:color w:val="000000"/>
                <w:lang w:val="en-US" w:eastAsia="zh-CN"/>
              </w:rPr>
              <w:t>0.000</w:t>
            </w:r>
            <w:r>
              <w:rPr>
                <w:color w:val="000000"/>
                <w:lang w:val="en-US" w:eastAsia="zh-CN"/>
              </w:rPr>
              <w:br w:type="textWrapping"/>
            </w:r>
            <w:r>
              <w:rPr>
                <w:color w:val="000000"/>
                <w:lang w:val="en-US" w:eastAsia="zh-CN"/>
              </w:rPr>
              <w:t>5</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3FD3DF2">
            <w:pPr>
              <w:pStyle w:val="10"/>
              <w:bidi w:val="0"/>
              <w:jc w:val="center"/>
              <w:rPr>
                <w:rFonts w:hint="default"/>
                <w:color w:val="000000"/>
              </w:rPr>
            </w:pPr>
            <w:r>
              <w:rPr>
                <w:rFonts w:hint="default"/>
                <w:color w:val="000000"/>
                <w:lang w:val="en-US" w:eastAsia="zh-CN"/>
              </w:rPr>
              <w:t>0.09</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B9F403D">
            <w:pPr>
              <w:pStyle w:val="10"/>
              <w:bidi w:val="0"/>
              <w:jc w:val="center"/>
              <w:rPr>
                <w:rFonts w:hint="default"/>
                <w:color w:val="000000"/>
              </w:rPr>
            </w:pPr>
            <w:r>
              <w:rPr>
                <w:rFonts w:hint="default"/>
                <w:color w:val="000000"/>
                <w:lang w:val="en-US" w:eastAsia="zh-CN"/>
              </w:rPr>
              <w:t>0.00004</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B5DC83C">
            <w:pPr>
              <w:pStyle w:val="10"/>
              <w:bidi w:val="0"/>
              <w:jc w:val="center"/>
              <w:rPr>
                <w:rFonts w:hint="default"/>
                <w:color w:val="000000"/>
              </w:rPr>
            </w:pPr>
            <w:r>
              <w:rPr>
                <w:rFonts w:hint="default"/>
                <w:color w:val="000000"/>
                <w:lang w:val="en-US" w:eastAsia="zh-CN"/>
              </w:rPr>
              <w:t>0.00001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A23FCDC">
            <w:pPr>
              <w:pStyle w:val="10"/>
              <w:bidi w:val="0"/>
              <w:jc w:val="center"/>
              <w:rPr>
                <w:rFonts w:hint="default"/>
                <w:color w:val="000000"/>
              </w:rPr>
            </w:pPr>
            <w:r>
              <w:rPr>
                <w:rFonts w:hint="default"/>
                <w:color w:val="000000"/>
                <w:lang w:val="en-US" w:eastAsia="zh-CN"/>
              </w:rPr>
              <w:t>0.00001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3BE5589">
            <w:pPr>
              <w:pStyle w:val="10"/>
              <w:bidi w:val="0"/>
              <w:jc w:val="center"/>
              <w:rPr>
                <w:rFonts w:hint="default"/>
                <w:color w:val="000000"/>
              </w:rPr>
            </w:pPr>
            <w:r>
              <w:rPr>
                <w:rFonts w:hint="default"/>
                <w:color w:val="000000"/>
                <w:lang w:val="en-US" w:eastAsia="zh-CN"/>
              </w:rPr>
              <w:t>0.002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1AE1B52">
            <w:pPr>
              <w:pStyle w:val="10"/>
              <w:bidi w:val="0"/>
              <w:jc w:val="center"/>
              <w:rPr>
                <w:rFonts w:hint="default"/>
                <w:color w:val="000000"/>
              </w:rPr>
            </w:pPr>
            <w:r>
              <w:rPr>
                <w:rFonts w:hint="default"/>
                <w:color w:val="000000"/>
                <w:lang w:val="en-US" w:eastAsia="zh-CN"/>
              </w:rPr>
              <w:t>0.005</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78814BB">
            <w:pPr>
              <w:pStyle w:val="10"/>
              <w:bidi w:val="0"/>
              <w:jc w:val="center"/>
              <w:rPr>
                <w:rFonts w:hint="default"/>
                <w:color w:val="000000"/>
              </w:rPr>
            </w:pPr>
            <w:r>
              <w:rPr>
                <w:rFonts w:hint="default"/>
                <w:color w:val="000000"/>
                <w:lang w:val="en-US" w:eastAsia="zh-CN"/>
              </w:rPr>
              <w:t>0.0005</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650BC73">
            <w:pPr>
              <w:pStyle w:val="10"/>
              <w:bidi w:val="0"/>
              <w:jc w:val="center"/>
              <w:rPr>
                <w:rFonts w:hint="default"/>
                <w:color w:val="000000"/>
              </w:rPr>
            </w:pPr>
            <w:r>
              <w:rPr>
                <w:rFonts w:hint="default"/>
                <w:color w:val="000000"/>
                <w:lang w:val="en-US" w:eastAsia="zh-CN"/>
              </w:rPr>
              <w:t>0.002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6A30E6D">
            <w:pPr>
              <w:pStyle w:val="10"/>
              <w:bidi w:val="0"/>
              <w:jc w:val="center"/>
              <w:rPr>
                <w:rFonts w:hint="default"/>
                <w:color w:val="000000"/>
              </w:rPr>
            </w:pPr>
            <w:r>
              <w:rPr>
                <w:rFonts w:hint="default"/>
                <w:color w:val="000000"/>
                <w:lang w:val="en-US" w:eastAsia="zh-CN"/>
              </w:rPr>
              <w:t>0.0003</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1278005">
            <w:pPr>
              <w:pStyle w:val="10"/>
              <w:bidi w:val="0"/>
              <w:jc w:val="center"/>
              <w:rPr>
                <w:rFonts w:hint="default"/>
                <w:color w:val="000000"/>
              </w:rPr>
            </w:pPr>
            <w:r>
              <w:rPr>
                <w:rFonts w:hint="default"/>
                <w:color w:val="000000"/>
                <w:lang w:val="en-US" w:eastAsia="zh-CN"/>
              </w:rPr>
              <w:t>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C9CD298">
            <w:pPr>
              <w:pStyle w:val="10"/>
              <w:bidi w:val="0"/>
              <w:jc w:val="center"/>
              <w:rPr>
                <w:rFonts w:hint="default"/>
                <w:color w:val="000000"/>
              </w:rPr>
            </w:pPr>
            <w:r>
              <w:rPr>
                <w:rFonts w:hint="default"/>
                <w:color w:val="000000"/>
                <w:lang w:val="en-US" w:eastAsia="zh-CN"/>
              </w:rPr>
              <w:t>0.025</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4E661D9">
            <w:pPr>
              <w:pStyle w:val="10"/>
              <w:bidi w:val="0"/>
              <w:jc w:val="center"/>
              <w:rPr>
                <w:rFonts w:hint="default"/>
                <w:color w:val="000000"/>
              </w:rPr>
            </w:pPr>
            <w:r>
              <w:rPr>
                <w:rFonts w:hint="default"/>
                <w:color w:val="000000"/>
                <w:lang w:val="en-US" w:eastAsia="zh-CN"/>
              </w:rPr>
              <w:t>0.009</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E09A8CF">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B41F941">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3181DA1B">
            <w:pPr>
              <w:pStyle w:val="10"/>
              <w:bidi w:val="0"/>
              <w:jc w:val="center"/>
              <w:rPr>
                <w:rFonts w:hint="default"/>
                <w:color w:val="000000"/>
              </w:rPr>
            </w:pPr>
          </w:p>
        </w:tc>
      </w:tr>
      <w:tr w14:paraId="13CE308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00" w:hRule="atLeast"/>
        </w:trPr>
        <w:tc>
          <w:tcPr>
            <w:tcW w:w="192" w:type="pct"/>
            <w:vMerge w:val="continue"/>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93BDAFA">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DFEA9F0">
            <w:pPr>
              <w:pStyle w:val="10"/>
              <w:bidi w:val="0"/>
              <w:jc w:val="center"/>
              <w:rPr>
                <w:rFonts w:hint="eastAsia"/>
                <w:color w:val="000000"/>
              </w:rPr>
            </w:pPr>
            <w:r>
              <w:rPr>
                <w:color w:val="000000"/>
                <w:lang w:val="en-US" w:eastAsia="zh-CN"/>
              </w:rPr>
              <w:t>平均值</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193D54D">
            <w:pPr>
              <w:pStyle w:val="10"/>
              <w:bidi w:val="0"/>
              <w:jc w:val="center"/>
              <w:rPr>
                <w:rFonts w:hint="default"/>
                <w:color w:val="000000"/>
              </w:rPr>
            </w:pPr>
            <w:r>
              <w:rPr>
                <w:rFonts w:hint="default"/>
                <w:color w:val="000000"/>
                <w:lang w:val="en-US" w:eastAsia="zh-CN"/>
              </w:rPr>
              <w:t>7.53</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BACD0E7">
            <w:pPr>
              <w:pStyle w:val="10"/>
              <w:bidi w:val="0"/>
              <w:jc w:val="center"/>
              <w:rPr>
                <w:rFonts w:hint="default"/>
                <w:color w:val="000000"/>
              </w:rPr>
            </w:pPr>
            <w:r>
              <w:rPr>
                <w:rFonts w:hint="default"/>
                <w:color w:val="000000"/>
                <w:lang w:val="en-US" w:eastAsia="zh-CN"/>
              </w:rPr>
              <w:t>8.6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910F0DE">
            <w:pPr>
              <w:pStyle w:val="10"/>
              <w:bidi w:val="0"/>
              <w:jc w:val="center"/>
              <w:rPr>
                <w:rFonts w:hint="default"/>
                <w:color w:val="000000"/>
              </w:rPr>
            </w:pPr>
            <w:r>
              <w:rPr>
                <w:rFonts w:hint="default"/>
                <w:color w:val="000000"/>
                <w:lang w:val="en-US" w:eastAsia="zh-CN"/>
              </w:rPr>
              <w:t>2.5</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E4ED047">
            <w:pPr>
              <w:pStyle w:val="10"/>
              <w:bidi w:val="0"/>
              <w:jc w:val="center"/>
              <w:rPr>
                <w:rFonts w:hint="default"/>
                <w:color w:val="000000"/>
              </w:rPr>
            </w:pPr>
            <w:r>
              <w:rPr>
                <w:rFonts w:hint="default"/>
                <w:color w:val="000000"/>
                <w:lang w:val="en-US" w:eastAsia="zh-CN"/>
              </w:rPr>
              <w:t>7.9</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23FC502">
            <w:pPr>
              <w:pStyle w:val="10"/>
              <w:bidi w:val="0"/>
              <w:jc w:val="center"/>
              <w:rPr>
                <w:rFonts w:hint="default"/>
                <w:color w:val="000000"/>
              </w:rPr>
            </w:pPr>
            <w:r>
              <w:rPr>
                <w:rFonts w:hint="default"/>
                <w:color w:val="000000"/>
                <w:lang w:val="en-US" w:eastAsia="zh-CN"/>
              </w:rPr>
              <w:t>2.3</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7D9B8A9">
            <w:pPr>
              <w:pStyle w:val="10"/>
              <w:bidi w:val="0"/>
              <w:jc w:val="center"/>
              <w:rPr>
                <w:rFonts w:hint="default"/>
                <w:color w:val="000000"/>
              </w:rPr>
            </w:pPr>
            <w:r>
              <w:rPr>
                <w:rFonts w:hint="default"/>
                <w:color w:val="000000"/>
                <w:lang w:val="en-US" w:eastAsia="zh-CN"/>
              </w:rPr>
              <w:t>0.273</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9E5C9AB">
            <w:pPr>
              <w:pStyle w:val="10"/>
              <w:bidi w:val="0"/>
              <w:jc w:val="center"/>
              <w:rPr>
                <w:rFonts w:hint="default"/>
                <w:color w:val="000000"/>
              </w:rPr>
            </w:pPr>
            <w:r>
              <w:rPr>
                <w:rFonts w:hint="default"/>
                <w:color w:val="000000"/>
                <w:lang w:val="en-US" w:eastAsia="zh-CN"/>
              </w:rPr>
              <w:t>0.082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207AE3E">
            <w:pPr>
              <w:pStyle w:val="10"/>
              <w:bidi w:val="0"/>
              <w:jc w:val="center"/>
              <w:rPr>
                <w:rFonts w:hint="default"/>
                <w:color w:val="000000"/>
              </w:rPr>
            </w:pPr>
            <w:r>
              <w:rPr>
                <w:rFonts w:hint="default"/>
                <w:color w:val="000000"/>
                <w:lang w:val="en-US" w:eastAsia="zh-CN"/>
              </w:rPr>
              <w:t>0.002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C665DCA">
            <w:pPr>
              <w:pStyle w:val="10"/>
              <w:bidi w:val="0"/>
              <w:jc w:val="center"/>
              <w:rPr>
                <w:rFonts w:hint="default"/>
                <w:color w:val="000000"/>
              </w:rPr>
            </w:pPr>
            <w:r>
              <w:rPr>
                <w:rFonts w:hint="default"/>
                <w:color w:val="000000"/>
                <w:lang w:val="en-US" w:eastAsia="zh-CN"/>
              </w:rPr>
              <w:t>0.010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BCC808F">
            <w:pPr>
              <w:pStyle w:val="10"/>
              <w:bidi w:val="0"/>
              <w:jc w:val="center"/>
              <w:rPr>
                <w:rFonts w:hint="default"/>
                <w:color w:val="000000"/>
              </w:rPr>
            </w:pPr>
            <w:r>
              <w:rPr>
                <w:rFonts w:hint="default"/>
                <w:color w:val="000000"/>
                <w:lang w:val="en-US" w:eastAsia="zh-CN"/>
              </w:rPr>
              <w:t>0.18</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06F2107">
            <w:pPr>
              <w:pStyle w:val="10"/>
              <w:bidi w:val="0"/>
              <w:jc w:val="center"/>
              <w:rPr>
                <w:rFonts w:hint="default"/>
                <w:color w:val="000000"/>
              </w:rPr>
            </w:pPr>
            <w:r>
              <w:rPr>
                <w:rFonts w:hint="default"/>
                <w:color w:val="000000"/>
                <w:lang w:val="en-US" w:eastAsia="zh-CN"/>
              </w:rPr>
              <w:t>0.00004</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F1A60BF">
            <w:pPr>
              <w:pStyle w:val="10"/>
              <w:bidi w:val="0"/>
              <w:jc w:val="center"/>
              <w:rPr>
                <w:rFonts w:hint="default"/>
                <w:color w:val="000000"/>
              </w:rPr>
            </w:pPr>
            <w:r>
              <w:rPr>
                <w:rFonts w:hint="default"/>
                <w:color w:val="000000"/>
                <w:lang w:val="en-US" w:eastAsia="zh-CN"/>
              </w:rPr>
              <w:t>0.00001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77B2859">
            <w:pPr>
              <w:pStyle w:val="10"/>
              <w:bidi w:val="0"/>
              <w:jc w:val="center"/>
              <w:rPr>
                <w:rFonts w:hint="default"/>
                <w:color w:val="000000"/>
              </w:rPr>
            </w:pPr>
            <w:r>
              <w:rPr>
                <w:rFonts w:hint="default"/>
                <w:color w:val="000000"/>
                <w:lang w:val="en-US" w:eastAsia="zh-CN"/>
              </w:rPr>
              <w:t>0.00001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0F67A22">
            <w:pPr>
              <w:pStyle w:val="10"/>
              <w:bidi w:val="0"/>
              <w:jc w:val="center"/>
              <w:rPr>
                <w:rFonts w:hint="default"/>
                <w:color w:val="000000"/>
              </w:rPr>
            </w:pPr>
            <w:r>
              <w:rPr>
                <w:rFonts w:hint="default"/>
                <w:color w:val="000000"/>
                <w:lang w:val="en-US" w:eastAsia="zh-CN"/>
              </w:rPr>
              <w:t>0.002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4363D02">
            <w:pPr>
              <w:pStyle w:val="10"/>
              <w:bidi w:val="0"/>
              <w:jc w:val="center"/>
              <w:rPr>
                <w:rFonts w:hint="default"/>
                <w:color w:val="000000"/>
              </w:rPr>
            </w:pPr>
            <w:r>
              <w:rPr>
                <w:rFonts w:hint="default"/>
                <w:color w:val="000000"/>
                <w:lang w:val="en-US" w:eastAsia="zh-CN"/>
              </w:rPr>
              <w:t>0.011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FCACA8E">
            <w:pPr>
              <w:pStyle w:val="10"/>
              <w:bidi w:val="0"/>
              <w:jc w:val="center"/>
              <w:rPr>
                <w:rFonts w:hint="default"/>
                <w:color w:val="000000"/>
              </w:rPr>
            </w:pPr>
            <w:r>
              <w:rPr>
                <w:rFonts w:hint="default"/>
                <w:color w:val="000000"/>
                <w:lang w:val="en-US" w:eastAsia="zh-CN"/>
              </w:rPr>
              <w:t>0.0005</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49C3B8E">
            <w:pPr>
              <w:pStyle w:val="10"/>
              <w:bidi w:val="0"/>
              <w:jc w:val="center"/>
              <w:rPr>
                <w:rFonts w:hint="default"/>
                <w:color w:val="000000"/>
              </w:rPr>
            </w:pPr>
            <w:r>
              <w:rPr>
                <w:rFonts w:hint="default"/>
                <w:color w:val="000000"/>
                <w:lang w:val="en-US" w:eastAsia="zh-CN"/>
              </w:rPr>
              <w:t>0.002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D8565BE">
            <w:pPr>
              <w:pStyle w:val="10"/>
              <w:bidi w:val="0"/>
              <w:jc w:val="center"/>
              <w:rPr>
                <w:rFonts w:hint="default"/>
                <w:color w:val="000000"/>
              </w:rPr>
            </w:pPr>
            <w:r>
              <w:rPr>
                <w:rFonts w:hint="default"/>
                <w:color w:val="000000"/>
                <w:lang w:val="en-US" w:eastAsia="zh-CN"/>
              </w:rPr>
              <w:t>0.0012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83CB698">
            <w:pPr>
              <w:pStyle w:val="10"/>
              <w:bidi w:val="0"/>
              <w:jc w:val="center"/>
              <w:rPr>
                <w:rFonts w:hint="default"/>
                <w:color w:val="000000"/>
              </w:rPr>
            </w:pPr>
            <w:r>
              <w:rPr>
                <w:rFonts w:hint="default"/>
                <w:color w:val="000000"/>
                <w:lang w:val="en-US" w:eastAsia="zh-CN"/>
              </w:rPr>
              <w:t>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977BE46">
            <w:pPr>
              <w:pStyle w:val="10"/>
              <w:bidi w:val="0"/>
              <w:jc w:val="center"/>
              <w:rPr>
                <w:rFonts w:hint="default"/>
                <w:color w:val="000000"/>
              </w:rPr>
            </w:pPr>
            <w:r>
              <w:rPr>
                <w:rFonts w:hint="default"/>
                <w:color w:val="000000"/>
                <w:lang w:val="en-US" w:eastAsia="zh-CN"/>
              </w:rPr>
              <w:t>0.048</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C50D86E">
            <w:pPr>
              <w:pStyle w:val="10"/>
              <w:bidi w:val="0"/>
              <w:jc w:val="center"/>
              <w:rPr>
                <w:rFonts w:hint="default"/>
                <w:color w:val="000000"/>
              </w:rPr>
            </w:pPr>
            <w:r>
              <w:rPr>
                <w:rFonts w:hint="default"/>
                <w:color w:val="000000"/>
                <w:lang w:val="en-US" w:eastAsia="zh-CN"/>
              </w:rPr>
              <w:t>0.029</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72FD9C4">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D28C8E0">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18192C77">
            <w:pPr>
              <w:pStyle w:val="10"/>
              <w:bidi w:val="0"/>
              <w:jc w:val="center"/>
              <w:rPr>
                <w:rFonts w:hint="default"/>
                <w:color w:val="000000"/>
              </w:rPr>
            </w:pPr>
          </w:p>
        </w:tc>
      </w:tr>
      <w:tr w14:paraId="385E78C4">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90" w:hRule="atLeast"/>
        </w:trPr>
        <w:tc>
          <w:tcPr>
            <w:tcW w:w="192" w:type="pct"/>
            <w:vMerge w:val="continue"/>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4A27831">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448650B">
            <w:pPr>
              <w:pStyle w:val="10"/>
              <w:bidi w:val="0"/>
              <w:jc w:val="center"/>
              <w:rPr>
                <w:rFonts w:hint="eastAsia"/>
                <w:color w:val="000000"/>
              </w:rPr>
            </w:pPr>
            <w:r>
              <w:rPr>
                <w:color w:val="000000"/>
                <w:lang w:val="en-US" w:eastAsia="zh-CN"/>
              </w:rPr>
              <w:t>水质类</w:t>
            </w:r>
            <w:r>
              <w:rPr>
                <w:rFonts w:hint="eastAsia"/>
                <w:color w:val="000000"/>
                <w:lang w:val="en-US" w:eastAsia="zh-CN"/>
              </w:rPr>
              <w:t>别</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293B7F6">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B63F019">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C501178">
            <w:pPr>
              <w:pStyle w:val="10"/>
              <w:bidi w:val="0"/>
              <w:jc w:val="center"/>
              <w:rPr>
                <w:rFonts w:hint="default"/>
                <w:color w:val="000000"/>
              </w:rPr>
            </w:pPr>
            <w:r>
              <w:rPr>
                <w:rFonts w:hint="default"/>
                <w:color w:val="000000"/>
                <w:lang w:val="en-US" w:eastAsia="zh-CN"/>
              </w:rPr>
              <w:t>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78EECF7">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087DDC4">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542D3B0">
            <w:pPr>
              <w:pStyle w:val="10"/>
              <w:bidi w:val="0"/>
              <w:jc w:val="center"/>
              <w:rPr>
                <w:rFonts w:hint="default"/>
                <w:color w:val="000000"/>
              </w:rPr>
            </w:pPr>
            <w:r>
              <w:rPr>
                <w:rFonts w:hint="default"/>
                <w:color w:val="000000"/>
                <w:lang w:val="en-US" w:eastAsia="zh-CN"/>
              </w:rPr>
              <w:t>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9CECA34">
            <w:pPr>
              <w:pStyle w:val="10"/>
              <w:bidi w:val="0"/>
              <w:jc w:val="center"/>
              <w:rPr>
                <w:rFonts w:hint="default"/>
                <w:color w:val="000000"/>
              </w:rPr>
            </w:pPr>
            <w:r>
              <w:rPr>
                <w:rFonts w:hint="default"/>
                <w:color w:val="000000"/>
                <w:lang w:val="en-US" w:eastAsia="zh-CN"/>
              </w:rPr>
              <w:t>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C5EE8AC">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78E959A">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EC9CEBE">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46BE26D">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702E298">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EAFE5FF">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EC83863">
            <w:pPr>
              <w:pStyle w:val="10"/>
              <w:bidi w:val="0"/>
              <w:jc w:val="center"/>
              <w:rPr>
                <w:rFonts w:hint="default"/>
                <w:color w:val="000000"/>
              </w:rPr>
            </w:pPr>
            <w:r>
              <w:rPr>
                <w:rFonts w:hint="default"/>
                <w:color w:val="000000"/>
                <w:lang w:val="en-US" w:eastAsia="zh-CN"/>
              </w:rPr>
              <w:t>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92E249D">
            <w:pPr>
              <w:pStyle w:val="10"/>
              <w:bidi w:val="0"/>
              <w:jc w:val="center"/>
              <w:rPr>
                <w:rFonts w:hint="default"/>
                <w:color w:val="000000"/>
              </w:rPr>
            </w:pPr>
            <w:r>
              <w:rPr>
                <w:rFonts w:hint="default"/>
                <w:color w:val="000000"/>
                <w:lang w:val="en-US" w:eastAsia="zh-CN"/>
              </w:rPr>
              <w:t>2</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0C0E6AA">
            <w:pPr>
              <w:pStyle w:val="10"/>
              <w:bidi w:val="0"/>
              <w:jc w:val="center"/>
              <w:rPr>
                <w:rFonts w:hint="default"/>
                <w:color w:val="000000"/>
              </w:rPr>
            </w:pPr>
            <w:r>
              <w:rPr>
                <w:color w:val="000000"/>
                <w:lang w:val="en-US" w:eastAsia="zh-CN"/>
              </w:rPr>
              <w:t>I</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47D1C5A">
            <w:pPr>
              <w:pStyle w:val="10"/>
              <w:bidi w:val="0"/>
              <w:jc w:val="center"/>
              <w:rPr>
                <w:rFonts w:hint="default"/>
                <w:color w:val="000000"/>
              </w:rPr>
            </w:pPr>
            <w:r>
              <w:rPr>
                <w:color w:val="000000"/>
                <w:lang w:val="en-US" w:eastAsia="zh-CN"/>
              </w:rPr>
              <w:t>l</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B14E2F0">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5EC1EEE">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4C7794B">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E14A19E">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A55F962">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27AFF76">
            <w:pPr>
              <w:pStyle w:val="10"/>
              <w:bidi w:val="0"/>
              <w:jc w:val="center"/>
              <w:rPr>
                <w:rFonts w:hint="default"/>
                <w:color w:val="000000"/>
              </w:rPr>
            </w:pPr>
            <w:r>
              <w:rPr>
                <w:rFonts w:hint="default"/>
                <w:color w:val="000000"/>
                <w:lang w:val="en-US" w:eastAsia="zh-CN"/>
              </w:rPr>
              <w:t>2</w:t>
            </w:r>
          </w:p>
        </w:tc>
        <w:tc>
          <w:tcPr>
            <w:tcW w:w="19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5DD93E77">
            <w:pPr>
              <w:pStyle w:val="10"/>
              <w:bidi w:val="0"/>
              <w:jc w:val="center"/>
              <w:rPr>
                <w:rFonts w:hint="default"/>
                <w:color w:val="000000"/>
              </w:rPr>
            </w:pPr>
          </w:p>
        </w:tc>
      </w:tr>
      <w:tr w14:paraId="47D7FDC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55" w:hRule="atLeast"/>
        </w:trPr>
        <w:tc>
          <w:tcPr>
            <w:tcW w:w="192" w:type="pct"/>
            <w:vMerge w:val="continue"/>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9032F08">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B6BDB34">
            <w:pPr>
              <w:pStyle w:val="10"/>
              <w:bidi w:val="0"/>
              <w:jc w:val="center"/>
              <w:rPr>
                <w:rFonts w:hint="default"/>
                <w:color w:val="000000"/>
              </w:rPr>
            </w:pPr>
            <w:r>
              <w:rPr>
                <w:rFonts w:hint="eastAsia"/>
                <w:color w:val="000000"/>
                <w:lang w:val="en-US" w:eastAsia="zh-CN"/>
              </w:rPr>
              <w:t>超标</w:t>
            </w:r>
            <w:r>
              <w:rPr>
                <w:rFonts w:hint="eastAsia"/>
                <w:color w:val="000000"/>
                <w:lang w:val="en-US" w:eastAsia="zh-CN"/>
              </w:rPr>
              <w:br w:type="textWrapping"/>
            </w:r>
            <w:r>
              <w:rPr>
                <w:rFonts w:hint="eastAsia"/>
                <w:color w:val="000000"/>
                <w:lang w:val="en-US" w:eastAsia="zh-CN"/>
              </w:rPr>
              <w:t>率％</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89B261F">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BEFB670">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5B869BC">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B55ECD1">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9938FEE">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A492F44">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B6E11DD">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C44FD8B">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B380B44">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4156C06">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CBAC060">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34011AF">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01156F9">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46FC09B">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5D6CBF4">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85CDC0B">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27A6CBF">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1F4644C">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051476A">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7E9B665">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27AFCDA">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91D5B4C">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373A7F0">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14:paraId="17CE1B34">
            <w:pPr>
              <w:pStyle w:val="10"/>
              <w:bidi w:val="0"/>
              <w:jc w:val="center"/>
              <w:rPr>
                <w:rFonts w:hint="default"/>
                <w:color w:val="000000"/>
              </w:rPr>
            </w:pPr>
            <w:r>
              <w:rPr>
                <w:rFonts w:hint="default"/>
                <w:color w:val="000000"/>
                <w:lang w:val="en-US" w:eastAsia="zh-CN"/>
              </w:rPr>
              <w:t>2</w:t>
            </w:r>
          </w:p>
        </w:tc>
      </w:tr>
      <w:tr w14:paraId="74BAA6A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00" w:hRule="atLeast"/>
        </w:trPr>
        <w:tc>
          <w:tcPr>
            <w:tcW w:w="192" w:type="pct"/>
            <w:vMerge w:val="continue"/>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6F91D71">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4F4E09B">
            <w:pPr>
              <w:pStyle w:val="10"/>
              <w:bidi w:val="0"/>
              <w:jc w:val="center"/>
              <w:rPr>
                <w:rFonts w:hint="eastAsia"/>
                <w:color w:val="000000"/>
              </w:rPr>
            </w:pPr>
            <w:r>
              <w:rPr>
                <w:color w:val="000000"/>
                <w:lang w:val="en-US" w:eastAsia="zh-CN"/>
              </w:rPr>
              <w:t>污染指数</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253E813">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8EBE42D">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F78A74F">
            <w:pPr>
              <w:pStyle w:val="10"/>
              <w:bidi w:val="0"/>
              <w:jc w:val="center"/>
              <w:rPr>
                <w:rFonts w:hint="default"/>
                <w:color w:val="000000"/>
              </w:rPr>
            </w:pPr>
            <w:r>
              <w:rPr>
                <w:rFonts w:hint="default"/>
                <w:color w:val="000000"/>
                <w:lang w:val="en-US" w:eastAsia="zh-CN"/>
              </w:rPr>
              <w:t>0.42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9BC1746">
            <w:pPr>
              <w:pStyle w:val="10"/>
              <w:bidi w:val="0"/>
              <w:jc w:val="center"/>
              <w:rPr>
                <w:rFonts w:hint="default"/>
                <w:color w:val="000000"/>
              </w:rPr>
            </w:pPr>
            <w:r>
              <w:rPr>
                <w:rFonts w:hint="default"/>
                <w:color w:val="000000"/>
                <w:lang w:val="en-US" w:eastAsia="zh-CN"/>
              </w:rPr>
              <w:t>0.39</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4764BB9">
            <w:pPr>
              <w:pStyle w:val="10"/>
              <w:bidi w:val="0"/>
              <w:jc w:val="center"/>
              <w:rPr>
                <w:rFonts w:hint="default"/>
                <w:color w:val="000000"/>
              </w:rPr>
            </w:pPr>
            <w:r>
              <w:rPr>
                <w:rFonts w:hint="default"/>
                <w:color w:val="000000"/>
                <w:lang w:val="en-US" w:eastAsia="zh-CN"/>
              </w:rPr>
              <w:t>0.58</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D856A45">
            <w:pPr>
              <w:pStyle w:val="10"/>
              <w:bidi w:val="0"/>
              <w:jc w:val="center"/>
              <w:rPr>
                <w:rFonts w:hint="default"/>
                <w:color w:val="000000"/>
              </w:rPr>
            </w:pPr>
            <w:r>
              <w:rPr>
                <w:rFonts w:hint="default"/>
                <w:color w:val="000000"/>
                <w:lang w:val="en-US" w:eastAsia="zh-CN"/>
              </w:rPr>
              <w:t>0.27</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FEBA678">
            <w:pPr>
              <w:pStyle w:val="10"/>
              <w:bidi w:val="0"/>
              <w:jc w:val="center"/>
              <w:rPr>
                <w:rFonts w:hint="default"/>
                <w:color w:val="000000"/>
              </w:rPr>
            </w:pPr>
            <w:r>
              <w:rPr>
                <w:rFonts w:hint="default"/>
                <w:color w:val="000000"/>
                <w:lang w:val="en-US" w:eastAsia="zh-CN"/>
              </w:rPr>
              <w:t>0.41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8A9C25F">
            <w:pPr>
              <w:pStyle w:val="10"/>
              <w:bidi w:val="0"/>
              <w:jc w:val="center"/>
              <w:rPr>
                <w:rFonts w:hint="default"/>
                <w:color w:val="000000"/>
              </w:rPr>
            </w:pPr>
            <w:r>
              <w:rPr>
                <w:rFonts w:hint="default"/>
                <w:color w:val="000000"/>
                <w:lang w:val="en-US" w:eastAsia="zh-CN"/>
              </w:rPr>
              <w:t>0.00</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74DE4E8">
            <w:pPr>
              <w:pStyle w:val="10"/>
              <w:bidi w:val="0"/>
              <w:jc w:val="center"/>
              <w:rPr>
                <w:rFonts w:hint="default"/>
                <w:color w:val="000000"/>
              </w:rPr>
            </w:pPr>
            <w:r>
              <w:rPr>
                <w:rFonts w:hint="default"/>
                <w:color w:val="000000"/>
                <w:lang w:val="en-US" w:eastAsia="zh-CN"/>
              </w:rPr>
              <w:t>0.01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5190A95">
            <w:pPr>
              <w:pStyle w:val="10"/>
              <w:bidi w:val="0"/>
              <w:jc w:val="center"/>
              <w:rPr>
                <w:rFonts w:hint="default"/>
                <w:color w:val="000000"/>
              </w:rPr>
            </w:pPr>
            <w:r>
              <w:rPr>
                <w:rFonts w:hint="default"/>
                <w:color w:val="000000"/>
                <w:lang w:val="en-US" w:eastAsia="zh-CN"/>
              </w:rPr>
              <w:t>0.18</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1DFE760">
            <w:pPr>
              <w:pStyle w:val="10"/>
              <w:bidi w:val="0"/>
              <w:jc w:val="center"/>
              <w:rPr>
                <w:rFonts w:hint="default"/>
                <w:color w:val="000000"/>
              </w:rPr>
            </w:pPr>
            <w:r>
              <w:rPr>
                <w:rFonts w:hint="default"/>
                <w:color w:val="000000"/>
                <w:lang w:val="en-US" w:eastAsia="zh-CN"/>
              </w:rPr>
              <w:t>0.00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E950E0A">
            <w:pPr>
              <w:pStyle w:val="10"/>
              <w:bidi w:val="0"/>
              <w:jc w:val="center"/>
              <w:rPr>
                <w:rFonts w:hint="default"/>
                <w:color w:val="000000"/>
              </w:rPr>
            </w:pPr>
            <w:r>
              <w:rPr>
                <w:rFonts w:hint="default"/>
                <w:color w:val="000000"/>
                <w:lang w:val="en-US" w:eastAsia="zh-CN"/>
              </w:rPr>
              <w:t>0.00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B222765">
            <w:pPr>
              <w:pStyle w:val="10"/>
              <w:bidi w:val="0"/>
              <w:jc w:val="center"/>
              <w:rPr>
                <w:rFonts w:hint="default"/>
                <w:color w:val="000000"/>
              </w:rPr>
            </w:pPr>
            <w:r>
              <w:rPr>
                <w:rFonts w:hint="default"/>
                <w:color w:val="000000"/>
                <w:lang w:val="en-US" w:eastAsia="zh-CN"/>
              </w:rPr>
              <w:t>0.10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21C5074">
            <w:pPr>
              <w:pStyle w:val="10"/>
              <w:bidi w:val="0"/>
              <w:jc w:val="center"/>
              <w:rPr>
                <w:rFonts w:hint="default"/>
                <w:color w:val="000000"/>
              </w:rPr>
            </w:pPr>
            <w:r>
              <w:rPr>
                <w:rFonts w:hint="default"/>
                <w:color w:val="000000"/>
                <w:lang w:val="en-US" w:eastAsia="zh-CN"/>
              </w:rPr>
              <w:t>0.40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8824358">
            <w:pPr>
              <w:pStyle w:val="10"/>
              <w:bidi w:val="0"/>
              <w:jc w:val="center"/>
              <w:rPr>
                <w:rFonts w:hint="default"/>
                <w:color w:val="000000"/>
              </w:rPr>
            </w:pPr>
            <w:r>
              <w:rPr>
                <w:rFonts w:hint="default"/>
                <w:color w:val="000000"/>
                <w:lang w:val="en-US" w:eastAsia="zh-CN"/>
              </w:rPr>
              <w:t>0.22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C08A861">
            <w:pPr>
              <w:pStyle w:val="10"/>
              <w:bidi w:val="0"/>
              <w:jc w:val="center"/>
              <w:rPr>
                <w:rFonts w:hint="default"/>
                <w:color w:val="000000"/>
              </w:rPr>
            </w:pPr>
            <w:r>
              <w:rPr>
                <w:rFonts w:hint="default"/>
                <w:color w:val="000000"/>
                <w:lang w:val="en-US" w:eastAsia="zh-CN"/>
              </w:rPr>
              <w:t>0.01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4623F77">
            <w:pPr>
              <w:pStyle w:val="10"/>
              <w:bidi w:val="0"/>
              <w:jc w:val="center"/>
              <w:rPr>
                <w:rFonts w:hint="default"/>
                <w:color w:val="000000"/>
              </w:rPr>
            </w:pPr>
            <w:r>
              <w:rPr>
                <w:rFonts w:hint="default"/>
                <w:color w:val="000000"/>
                <w:lang w:val="en-US" w:eastAsia="zh-CN"/>
              </w:rPr>
              <w:t>0.01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13A78E0">
            <w:pPr>
              <w:pStyle w:val="10"/>
              <w:bidi w:val="0"/>
              <w:jc w:val="center"/>
              <w:rPr>
                <w:rFonts w:hint="default"/>
                <w:color w:val="000000"/>
              </w:rPr>
            </w:pPr>
            <w:r>
              <w:rPr>
                <w:rFonts w:hint="default"/>
                <w:color w:val="000000"/>
                <w:lang w:val="en-US" w:eastAsia="zh-CN"/>
              </w:rPr>
              <w:t>0.24</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2CF3716">
            <w:pPr>
              <w:pStyle w:val="10"/>
              <w:bidi w:val="0"/>
              <w:jc w:val="center"/>
              <w:rPr>
                <w:rFonts w:hint="default"/>
                <w:color w:val="000000"/>
              </w:rPr>
            </w:pPr>
            <w:r>
              <w:rPr>
                <w:rFonts w:hint="default"/>
                <w:color w:val="000000"/>
                <w:lang w:val="en-US" w:eastAsia="zh-CN"/>
              </w:rPr>
              <w:t>0.40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D3FC286">
            <w:pPr>
              <w:pStyle w:val="10"/>
              <w:bidi w:val="0"/>
              <w:jc w:val="center"/>
              <w:rPr>
                <w:rFonts w:hint="default"/>
                <w:color w:val="000000"/>
              </w:rPr>
            </w:pPr>
            <w:r>
              <w:rPr>
                <w:rFonts w:hint="default"/>
                <w:color w:val="000000"/>
                <w:lang w:val="en-US" w:eastAsia="zh-CN"/>
              </w:rPr>
              <w:t>0.24</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24309F8">
            <w:pPr>
              <w:pStyle w:val="10"/>
              <w:bidi w:val="0"/>
              <w:jc w:val="center"/>
              <w:rPr>
                <w:rFonts w:hint="default"/>
                <w:color w:val="000000"/>
              </w:rPr>
            </w:pPr>
            <w:r>
              <w:rPr>
                <w:rFonts w:hint="default"/>
                <w:color w:val="000000"/>
                <w:lang w:val="en-US" w:eastAsia="zh-CN"/>
              </w:rPr>
              <w:t>0.15</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A5D62CB">
            <w:pPr>
              <w:pStyle w:val="10"/>
              <w:bidi w:val="0"/>
              <w:jc w:val="center"/>
              <w:rPr>
                <w:rFonts w:hint="default"/>
                <w:color w:val="000000"/>
              </w:rPr>
            </w:pPr>
            <w:r>
              <w:rPr>
                <w:rFonts w:hint="default"/>
                <w:color w:val="000000"/>
                <w:lang w:val="en-US" w:eastAsia="zh-CN"/>
              </w:rPr>
              <w:t>0.21</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8115EE5">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14:paraId="29CBB689">
            <w:pPr>
              <w:pStyle w:val="10"/>
              <w:bidi w:val="0"/>
              <w:jc w:val="center"/>
              <w:rPr>
                <w:rFonts w:hint="default"/>
                <w:color w:val="000000"/>
              </w:rPr>
            </w:pPr>
            <w:r>
              <w:rPr>
                <w:rFonts w:hint="default"/>
                <w:color w:val="000000"/>
                <w:lang w:val="en-US" w:eastAsia="zh-CN"/>
              </w:rPr>
              <w:t>3</w:t>
            </w:r>
          </w:p>
        </w:tc>
      </w:tr>
      <w:tr w14:paraId="29FE9608">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70" w:hRule="atLeast"/>
        </w:trPr>
        <w:tc>
          <w:tcPr>
            <w:tcW w:w="192" w:type="pct"/>
            <w:vMerge w:val="restar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DA171B5">
            <w:pPr>
              <w:pStyle w:val="10"/>
              <w:bidi w:val="0"/>
              <w:jc w:val="center"/>
              <w:rPr>
                <w:rFonts w:hint="eastAsia"/>
                <w:color w:val="000000"/>
              </w:rPr>
            </w:pPr>
            <w:r>
              <w:rPr>
                <w:color w:val="000000"/>
                <w:lang w:val="en-US" w:eastAsia="zh-CN"/>
              </w:rPr>
              <w:t>判</w:t>
            </w:r>
            <w:r>
              <w:rPr>
                <w:rFonts w:hint="eastAsia"/>
                <w:color w:val="000000"/>
                <w:lang w:val="en-US" w:eastAsia="zh-CN"/>
              </w:rPr>
              <w:t>官塘</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238D27E">
            <w:pPr>
              <w:pStyle w:val="10"/>
              <w:bidi w:val="0"/>
              <w:jc w:val="center"/>
              <w:rPr>
                <w:rFonts w:hint="eastAsia"/>
                <w:color w:val="000000"/>
              </w:rPr>
            </w:pPr>
            <w:r>
              <w:rPr>
                <w:color w:val="000000"/>
                <w:lang w:val="en-US" w:eastAsia="zh-CN"/>
              </w:rPr>
              <w:t>样品数</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B62A0F6">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1A8F273">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6250F0B">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AF51C7F">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D861952">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A11199D">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0D1F5CE">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42658D9">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31595CF">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ED4B00C">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17D4670">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A0A8AD0">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9580C28">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1611C38">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2207596">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A943430">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03A8B4C">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7E5A955">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D75713A">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F174F03">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DBADE55">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03BFC6B">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A01A163">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0B518E15">
            <w:pPr>
              <w:pStyle w:val="10"/>
              <w:bidi w:val="0"/>
              <w:jc w:val="center"/>
              <w:rPr>
                <w:rFonts w:hint="default"/>
                <w:color w:val="000000"/>
              </w:rPr>
            </w:pPr>
          </w:p>
        </w:tc>
      </w:tr>
      <w:tr w14:paraId="2076DB4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0" w:hRule="atLeast"/>
        </w:trPr>
        <w:tc>
          <w:tcPr>
            <w:tcW w:w="192" w:type="pct"/>
            <w:vMerge w:val="continue"/>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4C797FE">
            <w:pPr>
              <w:pStyle w:val="10"/>
              <w:bidi w:val="0"/>
              <w:jc w:val="center"/>
              <w:rPr>
                <w:rFonts w:hint="eastAsia"/>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C8F8D56">
            <w:pPr>
              <w:pStyle w:val="10"/>
              <w:bidi w:val="0"/>
              <w:jc w:val="center"/>
              <w:rPr>
                <w:rFonts w:hint="eastAsia"/>
                <w:color w:val="000000"/>
              </w:rPr>
            </w:pPr>
            <w:r>
              <w:rPr>
                <w:color w:val="000000"/>
                <w:lang w:val="en-US" w:eastAsia="zh-CN"/>
              </w:rPr>
              <w:t>最大值</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2E950D1">
            <w:pPr>
              <w:pStyle w:val="10"/>
              <w:bidi w:val="0"/>
              <w:jc w:val="center"/>
              <w:rPr>
                <w:rFonts w:hint="default"/>
                <w:color w:val="000000"/>
              </w:rPr>
            </w:pPr>
            <w:r>
              <w:rPr>
                <w:rFonts w:hint="default"/>
                <w:color w:val="000000"/>
                <w:lang w:val="en-US" w:eastAsia="zh-CN"/>
              </w:rPr>
              <w:t>7.85</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8D2ECD6">
            <w:pPr>
              <w:pStyle w:val="10"/>
              <w:bidi w:val="0"/>
              <w:jc w:val="center"/>
              <w:rPr>
                <w:rFonts w:hint="default"/>
                <w:color w:val="000000"/>
              </w:rPr>
            </w:pPr>
            <w:r>
              <w:rPr>
                <w:rFonts w:hint="default"/>
                <w:color w:val="000000"/>
                <w:lang w:val="en-US" w:eastAsia="zh-CN"/>
              </w:rPr>
              <w:t>9.5</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67DA3CA">
            <w:pPr>
              <w:pStyle w:val="10"/>
              <w:bidi w:val="0"/>
              <w:jc w:val="center"/>
              <w:rPr>
                <w:rFonts w:hint="default"/>
                <w:color w:val="000000"/>
              </w:rPr>
            </w:pPr>
            <w:r>
              <w:rPr>
                <w:rFonts w:hint="default"/>
                <w:color w:val="000000"/>
                <w:lang w:val="en-US" w:eastAsia="zh-CN"/>
              </w:rPr>
              <w:t>3.1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9CB5C5C">
            <w:pPr>
              <w:pStyle w:val="10"/>
              <w:bidi w:val="0"/>
              <w:jc w:val="center"/>
              <w:rPr>
                <w:rFonts w:hint="default"/>
                <w:color w:val="000000"/>
              </w:rPr>
            </w:pPr>
            <w:r>
              <w:rPr>
                <w:rFonts w:hint="default"/>
                <w:color w:val="000000"/>
                <w:lang w:val="en-US" w:eastAsia="zh-CN"/>
              </w:rPr>
              <w:t>9.6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3D5ED6F">
            <w:pPr>
              <w:pStyle w:val="10"/>
              <w:bidi w:val="0"/>
              <w:jc w:val="center"/>
              <w:rPr>
                <w:rFonts w:hint="default"/>
                <w:color w:val="000000"/>
              </w:rPr>
            </w:pPr>
            <w:r>
              <w:rPr>
                <w:rFonts w:hint="default"/>
                <w:color w:val="000000"/>
                <w:lang w:val="en-US" w:eastAsia="zh-CN"/>
              </w:rPr>
              <w:t>3.2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76983D8">
            <w:pPr>
              <w:pStyle w:val="10"/>
              <w:bidi w:val="0"/>
              <w:jc w:val="center"/>
              <w:rPr>
                <w:rFonts w:hint="default"/>
                <w:color w:val="000000"/>
              </w:rPr>
            </w:pPr>
            <w:r>
              <w:rPr>
                <w:rFonts w:hint="default"/>
                <w:color w:val="000000"/>
                <w:lang w:val="en-US" w:eastAsia="zh-CN"/>
              </w:rPr>
              <w:t>0.467</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0EFD358">
            <w:pPr>
              <w:pStyle w:val="10"/>
              <w:bidi w:val="0"/>
              <w:jc w:val="center"/>
              <w:rPr>
                <w:rFonts w:hint="default"/>
                <w:color w:val="000000"/>
              </w:rPr>
            </w:pPr>
            <w:r>
              <w:rPr>
                <w:rFonts w:hint="default"/>
                <w:color w:val="000000"/>
                <w:lang w:val="en-US" w:eastAsia="zh-CN"/>
              </w:rPr>
              <w:t>0.087</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5B9A658">
            <w:pPr>
              <w:pStyle w:val="10"/>
              <w:bidi w:val="0"/>
              <w:jc w:val="center"/>
              <w:rPr>
                <w:rFonts w:hint="default"/>
                <w:color w:val="000000"/>
              </w:rPr>
            </w:pPr>
            <w:r>
              <w:rPr>
                <w:rFonts w:hint="default"/>
                <w:color w:val="000000"/>
                <w:lang w:val="en-US" w:eastAsia="zh-CN"/>
              </w:rPr>
              <w:t>0.002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88C4C4D">
            <w:pPr>
              <w:pStyle w:val="10"/>
              <w:bidi w:val="0"/>
              <w:jc w:val="center"/>
              <w:rPr>
                <w:rFonts w:hint="default"/>
                <w:color w:val="000000"/>
              </w:rPr>
            </w:pPr>
            <w:r>
              <w:rPr>
                <w:rFonts w:hint="default"/>
                <w:color w:val="000000"/>
                <w:lang w:val="en-US" w:eastAsia="zh-CN"/>
              </w:rPr>
              <w:t>0.024</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F7BC312">
            <w:pPr>
              <w:pStyle w:val="10"/>
              <w:bidi w:val="0"/>
              <w:jc w:val="center"/>
              <w:rPr>
                <w:rFonts w:hint="default"/>
                <w:color w:val="000000"/>
              </w:rPr>
            </w:pPr>
            <w:r>
              <w:rPr>
                <w:rFonts w:hint="default"/>
                <w:color w:val="000000"/>
                <w:lang w:val="en-US" w:eastAsia="zh-CN"/>
              </w:rPr>
              <w:t>0.33</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309106B">
            <w:pPr>
              <w:pStyle w:val="10"/>
              <w:bidi w:val="0"/>
              <w:jc w:val="center"/>
              <w:rPr>
                <w:rFonts w:hint="default"/>
                <w:color w:val="000000"/>
              </w:rPr>
            </w:pPr>
            <w:r>
              <w:rPr>
                <w:rFonts w:hint="default"/>
                <w:color w:val="000000"/>
                <w:lang w:val="en-US" w:eastAsia="zh-CN"/>
              </w:rPr>
              <w:t>0.00004</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B722FB2">
            <w:pPr>
              <w:pStyle w:val="10"/>
              <w:bidi w:val="0"/>
              <w:jc w:val="center"/>
              <w:rPr>
                <w:rFonts w:hint="default"/>
                <w:color w:val="000000"/>
              </w:rPr>
            </w:pPr>
            <w:r>
              <w:rPr>
                <w:rFonts w:hint="default"/>
                <w:color w:val="000000"/>
                <w:lang w:val="en-US" w:eastAsia="zh-CN"/>
              </w:rPr>
              <w:t>0.00001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291E55D">
            <w:pPr>
              <w:pStyle w:val="10"/>
              <w:bidi w:val="0"/>
              <w:jc w:val="center"/>
              <w:rPr>
                <w:rFonts w:hint="default"/>
                <w:color w:val="000000"/>
              </w:rPr>
            </w:pPr>
            <w:r>
              <w:rPr>
                <w:rFonts w:hint="default"/>
                <w:color w:val="000000"/>
                <w:lang w:val="en-US" w:eastAsia="zh-CN"/>
              </w:rPr>
              <w:t>0.00001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4DD8363">
            <w:pPr>
              <w:pStyle w:val="10"/>
              <w:bidi w:val="0"/>
              <w:jc w:val="center"/>
              <w:rPr>
                <w:rFonts w:hint="default"/>
                <w:color w:val="000000"/>
              </w:rPr>
            </w:pPr>
            <w:r>
              <w:rPr>
                <w:rFonts w:hint="default"/>
                <w:color w:val="000000"/>
                <w:lang w:val="en-US" w:eastAsia="zh-CN"/>
              </w:rPr>
              <w:t>0.002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210FD77">
            <w:pPr>
              <w:pStyle w:val="10"/>
              <w:bidi w:val="0"/>
              <w:jc w:val="center"/>
              <w:rPr>
                <w:rFonts w:hint="default"/>
                <w:color w:val="000000"/>
              </w:rPr>
            </w:pPr>
            <w:r>
              <w:rPr>
                <w:color w:val="000000"/>
                <w:lang w:val="en-US" w:eastAsia="zh-CN"/>
              </w:rPr>
              <w:t>0,018</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474591E">
            <w:pPr>
              <w:pStyle w:val="10"/>
              <w:bidi w:val="0"/>
              <w:jc w:val="center"/>
              <w:rPr>
                <w:rFonts w:hint="default"/>
                <w:color w:val="000000"/>
              </w:rPr>
            </w:pPr>
            <w:r>
              <w:rPr>
                <w:rFonts w:hint="default"/>
                <w:color w:val="000000"/>
                <w:lang w:val="en-US" w:eastAsia="zh-CN"/>
              </w:rPr>
              <w:t>0.0005</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52E3391">
            <w:pPr>
              <w:pStyle w:val="10"/>
              <w:bidi w:val="0"/>
              <w:jc w:val="center"/>
              <w:rPr>
                <w:rFonts w:hint="default"/>
                <w:color w:val="000000"/>
              </w:rPr>
            </w:pPr>
            <w:r>
              <w:rPr>
                <w:rFonts w:hint="default"/>
                <w:color w:val="000000"/>
                <w:lang w:val="en-US" w:eastAsia="zh-CN"/>
              </w:rPr>
              <w:t>0.002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32AF2F9">
            <w:pPr>
              <w:pStyle w:val="10"/>
              <w:bidi w:val="0"/>
              <w:jc w:val="center"/>
              <w:rPr>
                <w:rFonts w:hint="default"/>
                <w:color w:val="000000"/>
              </w:rPr>
            </w:pPr>
            <w:r>
              <w:rPr>
                <w:rFonts w:hint="default"/>
                <w:color w:val="000000"/>
                <w:lang w:val="en-US" w:eastAsia="zh-CN"/>
              </w:rPr>
              <w:t>0.0018</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7D617E1">
            <w:pPr>
              <w:pStyle w:val="10"/>
              <w:bidi w:val="0"/>
              <w:jc w:val="center"/>
              <w:rPr>
                <w:rFonts w:hint="default"/>
                <w:color w:val="000000"/>
              </w:rPr>
            </w:pPr>
            <w:r>
              <w:rPr>
                <w:rFonts w:hint="default"/>
                <w:color w:val="000000"/>
                <w:lang w:val="en-US" w:eastAsia="zh-CN"/>
              </w:rPr>
              <w:t>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7976AAB">
            <w:pPr>
              <w:pStyle w:val="10"/>
              <w:bidi w:val="0"/>
              <w:jc w:val="center"/>
              <w:rPr>
                <w:rFonts w:hint="default"/>
                <w:color w:val="000000"/>
              </w:rPr>
            </w:pPr>
            <w:r>
              <w:rPr>
                <w:rFonts w:hint="default"/>
                <w:color w:val="000000"/>
                <w:lang w:val="en-US" w:eastAsia="zh-CN"/>
              </w:rPr>
              <w:t>0.089</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7B513D1">
            <w:pPr>
              <w:pStyle w:val="10"/>
              <w:bidi w:val="0"/>
              <w:jc w:val="center"/>
              <w:rPr>
                <w:rFonts w:hint="default"/>
                <w:color w:val="000000"/>
              </w:rPr>
            </w:pPr>
            <w:r>
              <w:rPr>
                <w:rFonts w:hint="default"/>
                <w:color w:val="000000"/>
                <w:lang w:val="en-US" w:eastAsia="zh-CN"/>
              </w:rPr>
              <w:t>0.067</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905D26A">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CD5659D">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4D36B53E">
            <w:pPr>
              <w:pStyle w:val="10"/>
              <w:bidi w:val="0"/>
              <w:jc w:val="center"/>
              <w:rPr>
                <w:rFonts w:hint="default"/>
                <w:color w:val="000000"/>
              </w:rPr>
            </w:pPr>
          </w:p>
        </w:tc>
      </w:tr>
      <w:tr w14:paraId="0FF16DE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0" w:hRule="atLeast"/>
        </w:trPr>
        <w:tc>
          <w:tcPr>
            <w:tcW w:w="192" w:type="pct"/>
            <w:vMerge w:val="continue"/>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87D6722">
            <w:pPr>
              <w:pStyle w:val="10"/>
              <w:bidi w:val="0"/>
              <w:jc w:val="center"/>
              <w:rPr>
                <w:rFonts w:hint="eastAsia"/>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69F8A01">
            <w:pPr>
              <w:pStyle w:val="10"/>
              <w:bidi w:val="0"/>
              <w:jc w:val="center"/>
              <w:rPr>
                <w:rFonts w:hint="eastAsia"/>
                <w:color w:val="000000"/>
              </w:rPr>
            </w:pPr>
            <w:r>
              <w:rPr>
                <w:color w:val="000000"/>
                <w:lang w:val="en-US" w:eastAsia="zh-CN"/>
              </w:rPr>
              <w:t>最小</w:t>
            </w:r>
            <w:r>
              <w:rPr>
                <w:rFonts w:hint="eastAsia"/>
                <w:color w:val="000000"/>
                <w:lang w:val="en-US" w:eastAsia="zh-CN"/>
              </w:rPr>
              <w:t>值</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9003961">
            <w:pPr>
              <w:pStyle w:val="10"/>
              <w:bidi w:val="0"/>
              <w:jc w:val="center"/>
              <w:rPr>
                <w:rFonts w:hint="default"/>
                <w:color w:val="000000"/>
              </w:rPr>
            </w:pPr>
            <w:r>
              <w:rPr>
                <w:rFonts w:hint="default"/>
                <w:color w:val="000000"/>
                <w:lang w:val="en-US" w:eastAsia="zh-CN"/>
              </w:rPr>
              <w:t>7.14</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3DFB698">
            <w:pPr>
              <w:pStyle w:val="10"/>
              <w:bidi w:val="0"/>
              <w:jc w:val="center"/>
              <w:rPr>
                <w:rFonts w:hint="default"/>
                <w:color w:val="000000"/>
              </w:rPr>
            </w:pPr>
            <w:r>
              <w:rPr>
                <w:rFonts w:hint="default"/>
                <w:color w:val="000000"/>
                <w:lang w:val="en-US" w:eastAsia="zh-CN"/>
              </w:rPr>
              <w:t>6.8</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BB48867">
            <w:pPr>
              <w:pStyle w:val="10"/>
              <w:bidi w:val="0"/>
              <w:jc w:val="center"/>
              <w:rPr>
                <w:rFonts w:hint="default"/>
                <w:color w:val="000000"/>
              </w:rPr>
            </w:pPr>
            <w:r>
              <w:rPr>
                <w:rFonts w:hint="default"/>
                <w:color w:val="000000"/>
                <w:lang w:val="en-US" w:eastAsia="zh-CN"/>
              </w:rPr>
              <w:t>1.9</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5F0B409">
            <w:pPr>
              <w:pStyle w:val="10"/>
              <w:bidi w:val="0"/>
              <w:jc w:val="center"/>
              <w:rPr>
                <w:rFonts w:hint="default"/>
                <w:color w:val="000000"/>
              </w:rPr>
            </w:pPr>
            <w:r>
              <w:rPr>
                <w:rFonts w:hint="default"/>
                <w:color w:val="000000"/>
                <w:lang w:val="en-US" w:eastAsia="zh-CN"/>
              </w:rPr>
              <w:t>3.2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01603C1">
            <w:pPr>
              <w:pStyle w:val="10"/>
              <w:bidi w:val="0"/>
              <w:jc w:val="center"/>
              <w:rPr>
                <w:rFonts w:hint="default"/>
                <w:color w:val="000000"/>
              </w:rPr>
            </w:pPr>
            <w:r>
              <w:rPr>
                <w:rFonts w:hint="default"/>
                <w:color w:val="000000"/>
                <w:lang w:val="en-US" w:eastAsia="zh-CN"/>
              </w:rPr>
              <w:t>1.1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E938EF8">
            <w:pPr>
              <w:pStyle w:val="10"/>
              <w:bidi w:val="0"/>
              <w:jc w:val="center"/>
              <w:rPr>
                <w:rFonts w:hint="default"/>
                <w:color w:val="000000"/>
              </w:rPr>
            </w:pPr>
            <w:r>
              <w:rPr>
                <w:rFonts w:hint="default"/>
                <w:color w:val="000000"/>
                <w:lang w:val="en-US" w:eastAsia="zh-CN"/>
              </w:rPr>
              <w:t>0.149</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AF8A34E">
            <w:pPr>
              <w:pStyle w:val="10"/>
              <w:bidi w:val="0"/>
              <w:jc w:val="center"/>
              <w:rPr>
                <w:rFonts w:hint="default"/>
                <w:color w:val="000000"/>
              </w:rPr>
            </w:pPr>
            <w:r>
              <w:rPr>
                <w:rFonts w:hint="default"/>
                <w:color w:val="000000"/>
                <w:lang w:val="en-US" w:eastAsia="zh-CN"/>
              </w:rPr>
              <w:t>0.023</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FD2E6C2">
            <w:pPr>
              <w:pStyle w:val="10"/>
              <w:bidi w:val="0"/>
              <w:jc w:val="center"/>
              <w:rPr>
                <w:rFonts w:hint="default"/>
                <w:color w:val="000000"/>
              </w:rPr>
            </w:pPr>
            <w:r>
              <w:rPr>
                <w:rFonts w:hint="default"/>
                <w:color w:val="000000"/>
                <w:lang w:val="en-US" w:eastAsia="zh-CN"/>
              </w:rPr>
              <w:t>0.002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CA47409">
            <w:pPr>
              <w:pStyle w:val="10"/>
              <w:bidi w:val="0"/>
              <w:jc w:val="center"/>
              <w:rPr>
                <w:rFonts w:hint="default"/>
                <w:color w:val="000000"/>
              </w:rPr>
            </w:pPr>
            <w:r>
              <w:rPr>
                <w:rFonts w:hint="default"/>
                <w:color w:val="000000"/>
                <w:lang w:val="en-US" w:eastAsia="zh-CN"/>
              </w:rPr>
              <w:t>0.0005</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4ED8292">
            <w:pPr>
              <w:pStyle w:val="10"/>
              <w:bidi w:val="0"/>
              <w:jc w:val="center"/>
              <w:rPr>
                <w:rFonts w:hint="default"/>
                <w:color w:val="000000"/>
              </w:rPr>
            </w:pPr>
            <w:r>
              <w:rPr>
                <w:rFonts w:hint="default"/>
                <w:color w:val="000000"/>
                <w:lang w:val="en-US" w:eastAsia="zh-CN"/>
              </w:rPr>
              <w:t>0.11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DA5C587">
            <w:pPr>
              <w:pStyle w:val="10"/>
              <w:bidi w:val="0"/>
              <w:jc w:val="center"/>
              <w:rPr>
                <w:rFonts w:hint="default"/>
                <w:color w:val="000000"/>
              </w:rPr>
            </w:pPr>
            <w:r>
              <w:rPr>
                <w:rFonts w:hint="default"/>
                <w:color w:val="000000"/>
                <w:lang w:val="en-US" w:eastAsia="zh-CN"/>
              </w:rPr>
              <w:t>0.00004</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E64CAF0">
            <w:pPr>
              <w:pStyle w:val="10"/>
              <w:bidi w:val="0"/>
              <w:jc w:val="center"/>
              <w:rPr>
                <w:rFonts w:hint="default"/>
                <w:color w:val="000000"/>
              </w:rPr>
            </w:pPr>
            <w:r>
              <w:rPr>
                <w:rFonts w:hint="default"/>
                <w:color w:val="000000"/>
                <w:lang w:val="en-US" w:eastAsia="zh-CN"/>
              </w:rPr>
              <w:t>0.00001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7970262">
            <w:pPr>
              <w:pStyle w:val="10"/>
              <w:bidi w:val="0"/>
              <w:jc w:val="center"/>
              <w:rPr>
                <w:rFonts w:hint="default"/>
                <w:color w:val="000000"/>
              </w:rPr>
            </w:pPr>
            <w:r>
              <w:rPr>
                <w:rFonts w:hint="default"/>
                <w:color w:val="000000"/>
                <w:lang w:val="en-US" w:eastAsia="zh-CN"/>
              </w:rPr>
              <w:t>0.00001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8B1B15F">
            <w:pPr>
              <w:pStyle w:val="10"/>
              <w:bidi w:val="0"/>
              <w:jc w:val="center"/>
              <w:rPr>
                <w:rFonts w:hint="default"/>
                <w:color w:val="000000"/>
              </w:rPr>
            </w:pPr>
            <w:r>
              <w:rPr>
                <w:rFonts w:hint="default"/>
                <w:color w:val="000000"/>
                <w:lang w:val="en-US" w:eastAsia="zh-CN"/>
              </w:rPr>
              <w:t>0.002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6D8BE33">
            <w:pPr>
              <w:pStyle w:val="10"/>
              <w:bidi w:val="0"/>
              <w:jc w:val="center"/>
              <w:rPr>
                <w:rFonts w:hint="default"/>
                <w:color w:val="000000"/>
              </w:rPr>
            </w:pPr>
            <w:r>
              <w:rPr>
                <w:rFonts w:hint="default"/>
                <w:color w:val="000000"/>
                <w:lang w:val="en-US" w:eastAsia="zh-CN"/>
              </w:rPr>
              <w:t>0.009</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380E656">
            <w:pPr>
              <w:pStyle w:val="10"/>
              <w:bidi w:val="0"/>
              <w:jc w:val="center"/>
              <w:rPr>
                <w:rFonts w:hint="default"/>
                <w:color w:val="000000"/>
              </w:rPr>
            </w:pPr>
            <w:r>
              <w:rPr>
                <w:rFonts w:hint="default"/>
                <w:color w:val="000000"/>
                <w:lang w:val="en-US" w:eastAsia="zh-CN"/>
              </w:rPr>
              <w:t>0.0005</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F6515E5">
            <w:pPr>
              <w:pStyle w:val="10"/>
              <w:bidi w:val="0"/>
              <w:jc w:val="center"/>
              <w:rPr>
                <w:rFonts w:hint="default"/>
                <w:color w:val="000000"/>
              </w:rPr>
            </w:pPr>
            <w:r>
              <w:rPr>
                <w:rFonts w:hint="default"/>
                <w:color w:val="000000"/>
                <w:lang w:val="en-US" w:eastAsia="zh-CN"/>
              </w:rPr>
              <w:t>0.002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19E8E5D">
            <w:pPr>
              <w:pStyle w:val="10"/>
              <w:bidi w:val="0"/>
              <w:jc w:val="center"/>
              <w:rPr>
                <w:rFonts w:hint="default"/>
                <w:color w:val="000000"/>
              </w:rPr>
            </w:pPr>
            <w:r>
              <w:rPr>
                <w:rFonts w:hint="default"/>
                <w:color w:val="000000"/>
                <w:lang w:val="en-US" w:eastAsia="zh-CN"/>
              </w:rPr>
              <w:t>0.0005</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57D64A4">
            <w:pPr>
              <w:pStyle w:val="10"/>
              <w:bidi w:val="0"/>
              <w:jc w:val="center"/>
              <w:rPr>
                <w:rFonts w:hint="default"/>
                <w:color w:val="000000"/>
              </w:rPr>
            </w:pPr>
            <w:r>
              <w:rPr>
                <w:rFonts w:hint="default"/>
                <w:color w:val="000000"/>
                <w:lang w:val="en-US" w:eastAsia="zh-CN"/>
              </w:rPr>
              <w:t>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45E246C">
            <w:pPr>
              <w:pStyle w:val="10"/>
              <w:bidi w:val="0"/>
              <w:jc w:val="center"/>
              <w:rPr>
                <w:rFonts w:hint="default"/>
                <w:color w:val="000000"/>
              </w:rPr>
            </w:pPr>
            <w:r>
              <w:rPr>
                <w:rFonts w:hint="default"/>
                <w:color w:val="000000"/>
                <w:lang w:val="en-US" w:eastAsia="zh-CN"/>
              </w:rPr>
              <w:t>0.025</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DB53EED">
            <w:pPr>
              <w:pStyle w:val="10"/>
              <w:bidi w:val="0"/>
              <w:jc w:val="center"/>
              <w:rPr>
                <w:rFonts w:hint="default"/>
                <w:color w:val="000000"/>
              </w:rPr>
            </w:pPr>
            <w:r>
              <w:rPr>
                <w:rFonts w:hint="default"/>
                <w:color w:val="000000"/>
                <w:lang w:val="en-US" w:eastAsia="zh-CN"/>
              </w:rPr>
              <w:t>0.012</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8A0D59F">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8D29EB2">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5C40DCAD">
            <w:pPr>
              <w:pStyle w:val="10"/>
              <w:bidi w:val="0"/>
              <w:jc w:val="center"/>
              <w:rPr>
                <w:rFonts w:hint="default"/>
                <w:color w:val="000000"/>
              </w:rPr>
            </w:pPr>
          </w:p>
        </w:tc>
      </w:tr>
      <w:tr w14:paraId="5B47FA8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05" w:hRule="atLeast"/>
        </w:trPr>
        <w:tc>
          <w:tcPr>
            <w:tcW w:w="192" w:type="pct"/>
            <w:vMerge w:val="continue"/>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89DD4E7">
            <w:pPr>
              <w:pStyle w:val="10"/>
              <w:bidi w:val="0"/>
              <w:jc w:val="center"/>
              <w:rPr>
                <w:rFonts w:hint="eastAsia"/>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6599CBD">
            <w:pPr>
              <w:pStyle w:val="10"/>
              <w:bidi w:val="0"/>
              <w:jc w:val="center"/>
              <w:rPr>
                <w:rFonts w:hint="eastAsia"/>
                <w:color w:val="000000"/>
              </w:rPr>
            </w:pPr>
            <w:r>
              <w:rPr>
                <w:color w:val="000000"/>
                <w:lang w:val="en-US" w:eastAsia="zh-CN"/>
              </w:rPr>
              <w:t>平均值</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2C8FA6C">
            <w:pPr>
              <w:pStyle w:val="10"/>
              <w:bidi w:val="0"/>
              <w:jc w:val="center"/>
              <w:rPr>
                <w:rFonts w:hint="default"/>
                <w:color w:val="000000"/>
              </w:rPr>
            </w:pPr>
            <w:r>
              <w:rPr>
                <w:rFonts w:hint="default"/>
                <w:color w:val="000000"/>
                <w:lang w:val="en-US" w:eastAsia="zh-CN"/>
              </w:rPr>
              <w:t>7.64</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D6AA9D2">
            <w:pPr>
              <w:pStyle w:val="10"/>
              <w:bidi w:val="0"/>
              <w:jc w:val="center"/>
              <w:rPr>
                <w:rFonts w:hint="default"/>
                <w:color w:val="000000"/>
              </w:rPr>
            </w:pPr>
            <w:r>
              <w:rPr>
                <w:rFonts w:hint="default"/>
                <w:color w:val="000000"/>
                <w:lang w:val="en-US" w:eastAsia="zh-CN"/>
              </w:rPr>
              <w:t>8.4</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E0F6C73">
            <w:pPr>
              <w:pStyle w:val="10"/>
              <w:bidi w:val="0"/>
              <w:jc w:val="center"/>
              <w:rPr>
                <w:rFonts w:hint="default"/>
                <w:color w:val="000000"/>
              </w:rPr>
            </w:pPr>
            <w:r>
              <w:rPr>
                <w:rFonts w:hint="default"/>
                <w:color w:val="000000"/>
                <w:lang w:val="en-US" w:eastAsia="zh-CN"/>
              </w:rPr>
              <w:t>2.5</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FFED7EA">
            <w:pPr>
              <w:pStyle w:val="10"/>
              <w:bidi w:val="0"/>
              <w:jc w:val="center"/>
              <w:rPr>
                <w:rFonts w:hint="default"/>
                <w:color w:val="000000"/>
              </w:rPr>
            </w:pPr>
            <w:r>
              <w:rPr>
                <w:rFonts w:hint="default"/>
                <w:color w:val="000000"/>
                <w:lang w:val="en-US" w:eastAsia="zh-CN"/>
              </w:rPr>
              <w:t>7.4</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71DC26E">
            <w:pPr>
              <w:pStyle w:val="10"/>
              <w:bidi w:val="0"/>
              <w:jc w:val="center"/>
              <w:rPr>
                <w:rFonts w:hint="default"/>
                <w:color w:val="000000"/>
              </w:rPr>
            </w:pPr>
            <w:r>
              <w:rPr>
                <w:rFonts w:hint="default"/>
                <w:color w:val="000000"/>
                <w:lang w:val="en-US" w:eastAsia="zh-CN"/>
              </w:rPr>
              <w:t>2.3</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31E38D3">
            <w:pPr>
              <w:pStyle w:val="10"/>
              <w:bidi w:val="0"/>
              <w:jc w:val="center"/>
              <w:rPr>
                <w:rFonts w:hint="default"/>
                <w:color w:val="000000"/>
              </w:rPr>
            </w:pPr>
            <w:r>
              <w:rPr>
                <w:rFonts w:hint="default"/>
                <w:color w:val="000000"/>
                <w:lang w:val="en-US" w:eastAsia="zh-CN"/>
              </w:rPr>
              <w:t>0.300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C7830CA">
            <w:pPr>
              <w:pStyle w:val="10"/>
              <w:bidi w:val="0"/>
              <w:jc w:val="center"/>
              <w:rPr>
                <w:rFonts w:hint="default"/>
                <w:color w:val="000000"/>
              </w:rPr>
            </w:pPr>
            <w:r>
              <w:rPr>
                <w:rFonts w:hint="default"/>
                <w:color w:val="000000"/>
                <w:lang w:val="en-US" w:eastAsia="zh-CN"/>
              </w:rPr>
              <w:t>0.057</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C0778FF">
            <w:pPr>
              <w:pStyle w:val="10"/>
              <w:bidi w:val="0"/>
              <w:jc w:val="center"/>
              <w:rPr>
                <w:rFonts w:hint="default"/>
                <w:color w:val="000000"/>
              </w:rPr>
            </w:pPr>
            <w:r>
              <w:rPr>
                <w:rFonts w:hint="default"/>
                <w:color w:val="000000"/>
                <w:lang w:val="en-US" w:eastAsia="zh-CN"/>
              </w:rPr>
              <w:t>0.002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0968144">
            <w:pPr>
              <w:pStyle w:val="10"/>
              <w:bidi w:val="0"/>
              <w:jc w:val="center"/>
              <w:rPr>
                <w:rFonts w:hint="default"/>
                <w:color w:val="000000"/>
              </w:rPr>
            </w:pPr>
            <w:r>
              <w:rPr>
                <w:rFonts w:hint="default"/>
                <w:color w:val="000000"/>
                <w:lang w:val="en-US" w:eastAsia="zh-CN"/>
              </w:rPr>
              <w:t>0.007</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AC1E416">
            <w:pPr>
              <w:pStyle w:val="10"/>
              <w:bidi w:val="0"/>
              <w:jc w:val="center"/>
              <w:rPr>
                <w:rFonts w:hint="default"/>
                <w:color w:val="000000"/>
              </w:rPr>
            </w:pPr>
            <w:r>
              <w:rPr>
                <w:rFonts w:hint="default"/>
                <w:color w:val="000000"/>
                <w:lang w:val="en-US" w:eastAsia="zh-CN"/>
              </w:rPr>
              <w:t>0.23</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CA41FB3">
            <w:pPr>
              <w:pStyle w:val="10"/>
              <w:bidi w:val="0"/>
              <w:jc w:val="center"/>
              <w:rPr>
                <w:rFonts w:hint="default"/>
                <w:color w:val="000000"/>
              </w:rPr>
            </w:pPr>
            <w:r>
              <w:rPr>
                <w:rFonts w:hint="default"/>
                <w:color w:val="000000"/>
                <w:lang w:val="en-US" w:eastAsia="zh-CN"/>
              </w:rPr>
              <w:t>0.00004</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0A6906F">
            <w:pPr>
              <w:pStyle w:val="10"/>
              <w:bidi w:val="0"/>
              <w:jc w:val="center"/>
              <w:rPr>
                <w:rFonts w:hint="default"/>
                <w:color w:val="000000"/>
              </w:rPr>
            </w:pPr>
            <w:r>
              <w:rPr>
                <w:rFonts w:hint="default"/>
                <w:color w:val="000000"/>
                <w:lang w:val="en-US" w:eastAsia="zh-CN"/>
              </w:rPr>
              <w:t>0.00001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6A3F6EB">
            <w:pPr>
              <w:pStyle w:val="10"/>
              <w:bidi w:val="0"/>
              <w:jc w:val="center"/>
              <w:rPr>
                <w:rFonts w:hint="default"/>
                <w:color w:val="000000"/>
              </w:rPr>
            </w:pPr>
            <w:r>
              <w:rPr>
                <w:rFonts w:hint="default"/>
                <w:color w:val="000000"/>
                <w:lang w:val="en-US" w:eastAsia="zh-CN"/>
              </w:rPr>
              <w:t>0.00001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F6AD0FC">
            <w:pPr>
              <w:pStyle w:val="10"/>
              <w:bidi w:val="0"/>
              <w:jc w:val="center"/>
              <w:rPr>
                <w:rFonts w:hint="default"/>
                <w:color w:val="000000"/>
              </w:rPr>
            </w:pPr>
            <w:r>
              <w:rPr>
                <w:rFonts w:hint="default"/>
                <w:color w:val="000000"/>
                <w:lang w:val="en-US" w:eastAsia="zh-CN"/>
              </w:rPr>
              <w:t>0.002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7666A28">
            <w:pPr>
              <w:pStyle w:val="10"/>
              <w:bidi w:val="0"/>
              <w:jc w:val="center"/>
              <w:rPr>
                <w:rFonts w:hint="default"/>
                <w:color w:val="000000"/>
              </w:rPr>
            </w:pPr>
            <w:r>
              <w:rPr>
                <w:rFonts w:hint="default"/>
                <w:color w:val="000000"/>
                <w:lang w:val="en-US" w:eastAsia="zh-CN"/>
              </w:rPr>
              <w:t>0.012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2991296">
            <w:pPr>
              <w:pStyle w:val="10"/>
              <w:bidi w:val="0"/>
              <w:jc w:val="center"/>
              <w:rPr>
                <w:rFonts w:hint="default"/>
                <w:color w:val="000000"/>
              </w:rPr>
            </w:pPr>
            <w:r>
              <w:rPr>
                <w:rFonts w:hint="default"/>
                <w:color w:val="000000"/>
                <w:lang w:val="en-US" w:eastAsia="zh-CN"/>
              </w:rPr>
              <w:t>0.0005</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4028994">
            <w:pPr>
              <w:pStyle w:val="10"/>
              <w:bidi w:val="0"/>
              <w:jc w:val="center"/>
              <w:rPr>
                <w:rFonts w:hint="default"/>
                <w:color w:val="000000"/>
              </w:rPr>
            </w:pPr>
            <w:r>
              <w:rPr>
                <w:rFonts w:hint="default"/>
                <w:color w:val="000000"/>
                <w:lang w:val="en-US" w:eastAsia="zh-CN"/>
              </w:rPr>
              <w:t>0.002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995A429">
            <w:pPr>
              <w:pStyle w:val="10"/>
              <w:bidi w:val="0"/>
              <w:jc w:val="center"/>
              <w:rPr>
                <w:rFonts w:hint="default"/>
                <w:color w:val="000000"/>
              </w:rPr>
            </w:pPr>
            <w:r>
              <w:rPr>
                <w:rFonts w:hint="default"/>
                <w:color w:val="000000"/>
                <w:lang w:val="en-US" w:eastAsia="zh-CN"/>
              </w:rPr>
              <w:t>0.0014</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115959E">
            <w:pPr>
              <w:pStyle w:val="10"/>
              <w:bidi w:val="0"/>
              <w:jc w:val="center"/>
              <w:rPr>
                <w:rFonts w:hint="default"/>
                <w:color w:val="000000"/>
              </w:rPr>
            </w:pPr>
            <w:r>
              <w:rPr>
                <w:rFonts w:hint="default"/>
                <w:color w:val="000000"/>
                <w:lang w:val="en-US" w:eastAsia="zh-CN"/>
              </w:rPr>
              <w:t>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7FEC497">
            <w:pPr>
              <w:pStyle w:val="10"/>
              <w:bidi w:val="0"/>
              <w:jc w:val="center"/>
              <w:rPr>
                <w:rFonts w:hint="default"/>
                <w:color w:val="000000"/>
              </w:rPr>
            </w:pPr>
            <w:r>
              <w:rPr>
                <w:rFonts w:hint="default"/>
                <w:color w:val="000000"/>
                <w:lang w:val="en-US" w:eastAsia="zh-CN"/>
              </w:rPr>
              <w:t>0.050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6A1D7AE">
            <w:pPr>
              <w:pStyle w:val="10"/>
              <w:bidi w:val="0"/>
              <w:jc w:val="center"/>
              <w:rPr>
                <w:rFonts w:hint="default"/>
                <w:color w:val="000000"/>
              </w:rPr>
            </w:pPr>
            <w:r>
              <w:rPr>
                <w:rFonts w:hint="default"/>
                <w:color w:val="000000"/>
                <w:lang w:val="en-US" w:eastAsia="zh-CN"/>
              </w:rPr>
              <w:t>0.031</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5DD4D6E">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A01832A">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56E9F171">
            <w:pPr>
              <w:pStyle w:val="10"/>
              <w:bidi w:val="0"/>
              <w:jc w:val="center"/>
              <w:rPr>
                <w:rFonts w:hint="default"/>
                <w:color w:val="000000"/>
              </w:rPr>
            </w:pPr>
          </w:p>
        </w:tc>
      </w:tr>
      <w:tr w14:paraId="05569BA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40" w:hRule="atLeast"/>
        </w:trPr>
        <w:tc>
          <w:tcPr>
            <w:tcW w:w="192" w:type="pct"/>
            <w:vMerge w:val="continue"/>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3DDAC65">
            <w:pPr>
              <w:pStyle w:val="10"/>
              <w:bidi w:val="0"/>
              <w:jc w:val="center"/>
              <w:rPr>
                <w:rFonts w:hint="eastAsia"/>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1DC5E69">
            <w:pPr>
              <w:pStyle w:val="10"/>
              <w:bidi w:val="0"/>
              <w:jc w:val="center"/>
              <w:rPr>
                <w:rFonts w:hint="default"/>
                <w:color w:val="000000"/>
              </w:rPr>
            </w:pPr>
            <w:r>
              <w:rPr>
                <w:rFonts w:hint="eastAsia"/>
                <w:color w:val="000000"/>
                <w:lang w:val="en-US" w:eastAsia="zh-CN"/>
              </w:rPr>
              <w:t>水质</w:t>
            </w:r>
            <w:r>
              <w:rPr>
                <w:color w:val="000000"/>
                <w:lang w:val="en-US" w:eastAsia="zh-CN"/>
              </w:rPr>
              <w:t>类</w:t>
            </w:r>
            <w:r>
              <w:rPr>
                <w:color w:val="000000"/>
                <w:lang w:val="en-US" w:eastAsia="zh-CN"/>
              </w:rPr>
              <w:br w:type="textWrapping"/>
            </w:r>
            <w:r>
              <w:rPr>
                <w:rFonts w:hint="eastAsia"/>
                <w:color w:val="000000"/>
                <w:lang w:val="en-US" w:eastAsia="zh-CN"/>
              </w:rPr>
              <w:t>别</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ED0663E">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7B3F9E3">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C5708F2">
            <w:pPr>
              <w:pStyle w:val="10"/>
              <w:bidi w:val="0"/>
              <w:jc w:val="center"/>
              <w:rPr>
                <w:rFonts w:hint="default"/>
                <w:color w:val="000000"/>
              </w:rPr>
            </w:pPr>
            <w:r>
              <w:rPr>
                <w:rFonts w:hint="default"/>
                <w:color w:val="000000"/>
                <w:lang w:val="en-US" w:eastAsia="zh-CN"/>
              </w:rPr>
              <w:t>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4192F6B">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953DC53">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525E925">
            <w:pPr>
              <w:pStyle w:val="10"/>
              <w:bidi w:val="0"/>
              <w:jc w:val="center"/>
              <w:rPr>
                <w:rFonts w:hint="default"/>
                <w:color w:val="000000"/>
              </w:rPr>
            </w:pPr>
            <w:r>
              <w:rPr>
                <w:rFonts w:hint="default"/>
                <w:color w:val="000000"/>
                <w:lang w:val="en-US" w:eastAsia="zh-CN"/>
              </w:rPr>
              <w:t>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95EC411">
            <w:pPr>
              <w:pStyle w:val="10"/>
              <w:bidi w:val="0"/>
              <w:jc w:val="center"/>
              <w:rPr>
                <w:rFonts w:hint="default"/>
                <w:color w:val="000000"/>
              </w:rPr>
            </w:pPr>
            <w:r>
              <w:rPr>
                <w:rFonts w:hint="default"/>
                <w:color w:val="000000"/>
                <w:lang w:val="en-US" w:eastAsia="zh-CN"/>
              </w:rPr>
              <w:t>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5E42F88">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F38AA07">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8C1FEDB">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E3FE522">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37EF920">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95F9ADA">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807A64F">
            <w:pPr>
              <w:pStyle w:val="10"/>
              <w:bidi w:val="0"/>
              <w:jc w:val="center"/>
              <w:rPr>
                <w:rFonts w:hint="default"/>
                <w:color w:val="000000"/>
              </w:rPr>
            </w:pPr>
            <w:r>
              <w:rPr>
                <w:rFonts w:hint="default"/>
                <w:color w:val="000000"/>
                <w:lang w:val="en-US" w:eastAsia="zh-CN"/>
              </w:rPr>
              <w:t>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5850E00">
            <w:pPr>
              <w:pStyle w:val="10"/>
              <w:bidi w:val="0"/>
              <w:jc w:val="center"/>
              <w:rPr>
                <w:rFonts w:hint="default"/>
                <w:color w:val="000000"/>
              </w:rPr>
            </w:pPr>
            <w:r>
              <w:rPr>
                <w:rFonts w:hint="default"/>
                <w:color w:val="000000"/>
                <w:lang w:val="en-US" w:eastAsia="zh-CN"/>
              </w:rPr>
              <w:t>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2E891AE">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6B1F94E">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B68BA0E">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877D38D">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21F2D1F">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02AF016">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B018E19">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C565E9E">
            <w:pPr>
              <w:pStyle w:val="10"/>
              <w:bidi w:val="0"/>
              <w:jc w:val="center"/>
              <w:rPr>
                <w:rFonts w:hint="default"/>
                <w:color w:val="000000"/>
              </w:rPr>
            </w:pPr>
            <w:r>
              <w:rPr>
                <w:rFonts w:hint="default"/>
                <w:color w:val="000000"/>
                <w:lang w:val="en-US" w:eastAsia="zh-CN"/>
              </w:rPr>
              <w:t>2</w:t>
            </w:r>
          </w:p>
        </w:tc>
        <w:tc>
          <w:tcPr>
            <w:tcW w:w="19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5F2BD4DD">
            <w:pPr>
              <w:pStyle w:val="10"/>
              <w:bidi w:val="0"/>
              <w:jc w:val="center"/>
              <w:rPr>
                <w:rFonts w:hint="default"/>
                <w:color w:val="000000"/>
              </w:rPr>
            </w:pPr>
          </w:p>
        </w:tc>
      </w:tr>
      <w:tr w14:paraId="0F4B7C2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55" w:hRule="atLeast"/>
        </w:trPr>
        <w:tc>
          <w:tcPr>
            <w:tcW w:w="192" w:type="pct"/>
            <w:vMerge w:val="continue"/>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1AD26B4">
            <w:pPr>
              <w:pStyle w:val="10"/>
              <w:bidi w:val="0"/>
              <w:jc w:val="center"/>
              <w:rPr>
                <w:rFonts w:hint="eastAsia"/>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6ED356A">
            <w:pPr>
              <w:pStyle w:val="10"/>
              <w:bidi w:val="0"/>
              <w:jc w:val="center"/>
              <w:rPr>
                <w:rFonts w:hint="default"/>
                <w:color w:val="000000"/>
              </w:rPr>
            </w:pPr>
            <w:r>
              <w:rPr>
                <w:rFonts w:hint="eastAsia"/>
                <w:color w:val="000000"/>
                <w:lang w:val="en-US" w:eastAsia="zh-CN"/>
              </w:rPr>
              <w:t>超标率％</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724C1FF">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C6E8A97">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22FFBCF">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0DBDD4C">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BF1F8D5">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8CEF78B">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F9D6E31">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B9117F8">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DB8DB92">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B23DD71">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543CEFD">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D97A441">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B357D81">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4E522B9">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6AC5928">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FD2FB47">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20040FA">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F376F7D">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E32E5F0">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96407DF">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447DF63">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D4344C0">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13C7D36">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14:paraId="3F311BBB">
            <w:pPr>
              <w:pStyle w:val="10"/>
              <w:bidi w:val="0"/>
              <w:jc w:val="center"/>
              <w:rPr>
                <w:rFonts w:hint="default"/>
                <w:color w:val="000000"/>
              </w:rPr>
            </w:pPr>
            <w:r>
              <w:rPr>
                <w:rFonts w:hint="default"/>
                <w:color w:val="000000"/>
                <w:lang w:val="en-US" w:eastAsia="zh-CN"/>
              </w:rPr>
              <w:t>2</w:t>
            </w:r>
          </w:p>
        </w:tc>
      </w:tr>
      <w:tr w14:paraId="5120AF1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90" w:hRule="atLeast"/>
        </w:trPr>
        <w:tc>
          <w:tcPr>
            <w:tcW w:w="192" w:type="pct"/>
            <w:vMerge w:val="continue"/>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5F25E14">
            <w:pPr>
              <w:pStyle w:val="10"/>
              <w:bidi w:val="0"/>
              <w:jc w:val="center"/>
              <w:rPr>
                <w:rFonts w:hint="eastAsia"/>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30D58A0">
            <w:pPr>
              <w:pStyle w:val="10"/>
              <w:bidi w:val="0"/>
              <w:jc w:val="center"/>
              <w:rPr>
                <w:rFonts w:hint="eastAsia"/>
                <w:color w:val="000000"/>
              </w:rPr>
            </w:pPr>
            <w:r>
              <w:rPr>
                <w:color w:val="000000"/>
                <w:lang w:val="en-US" w:eastAsia="zh-CN"/>
              </w:rPr>
              <w:t>污染指</w:t>
            </w:r>
            <w:r>
              <w:rPr>
                <w:rFonts w:hint="eastAsia"/>
                <w:color w:val="000000"/>
                <w:lang w:val="en-US" w:eastAsia="zh-CN"/>
              </w:rPr>
              <w:t>数</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627B057">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7B38F68">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07BAB42">
            <w:pPr>
              <w:pStyle w:val="10"/>
              <w:bidi w:val="0"/>
              <w:jc w:val="center"/>
              <w:rPr>
                <w:rFonts w:hint="default"/>
                <w:color w:val="000000"/>
              </w:rPr>
            </w:pPr>
            <w:r>
              <w:rPr>
                <w:rFonts w:hint="default"/>
                <w:color w:val="000000"/>
                <w:lang w:val="en-US" w:eastAsia="zh-CN"/>
              </w:rPr>
              <w:t>0.42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AD5DDE4">
            <w:pPr>
              <w:pStyle w:val="10"/>
              <w:bidi w:val="0"/>
              <w:jc w:val="center"/>
              <w:rPr>
                <w:rFonts w:hint="default"/>
                <w:color w:val="000000"/>
              </w:rPr>
            </w:pPr>
            <w:r>
              <w:rPr>
                <w:rFonts w:hint="default"/>
                <w:color w:val="000000"/>
                <w:lang w:val="en-US" w:eastAsia="zh-CN"/>
              </w:rPr>
              <w:t>0.37</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9E2570B">
            <w:pPr>
              <w:pStyle w:val="10"/>
              <w:bidi w:val="0"/>
              <w:jc w:val="center"/>
              <w:rPr>
                <w:rFonts w:hint="default"/>
                <w:color w:val="000000"/>
              </w:rPr>
            </w:pPr>
            <w:r>
              <w:rPr>
                <w:rFonts w:hint="default"/>
                <w:color w:val="000000"/>
                <w:lang w:val="en-US" w:eastAsia="zh-CN"/>
              </w:rPr>
              <w:t>0.59</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9A2BB32">
            <w:pPr>
              <w:pStyle w:val="10"/>
              <w:bidi w:val="0"/>
              <w:jc w:val="center"/>
              <w:rPr>
                <w:rFonts w:hint="default"/>
                <w:color w:val="000000"/>
              </w:rPr>
            </w:pPr>
            <w:r>
              <w:rPr>
                <w:rFonts w:hint="default"/>
                <w:color w:val="000000"/>
                <w:lang w:val="en-US" w:eastAsia="zh-CN"/>
              </w:rPr>
              <w:t>0.30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5E78327">
            <w:pPr>
              <w:pStyle w:val="10"/>
              <w:bidi w:val="0"/>
              <w:jc w:val="center"/>
              <w:rPr>
                <w:rFonts w:hint="default"/>
                <w:color w:val="000000"/>
              </w:rPr>
            </w:pPr>
            <w:r>
              <w:rPr>
                <w:rFonts w:hint="default"/>
                <w:color w:val="000000"/>
                <w:lang w:val="en-US" w:eastAsia="zh-CN"/>
              </w:rPr>
              <w:t>0.28</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724B674">
            <w:pPr>
              <w:pStyle w:val="10"/>
              <w:bidi w:val="0"/>
              <w:jc w:val="center"/>
              <w:rPr>
                <w:rFonts w:hint="default"/>
                <w:color w:val="000000"/>
              </w:rPr>
            </w:pPr>
            <w:r>
              <w:rPr>
                <w:color w:val="000000"/>
                <w:lang w:val="en-US" w:eastAsia="zh-CN"/>
              </w:rPr>
              <w:t>0,00</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1EA15CA">
            <w:pPr>
              <w:pStyle w:val="10"/>
              <w:bidi w:val="0"/>
              <w:jc w:val="center"/>
              <w:rPr>
                <w:rFonts w:hint="default"/>
                <w:color w:val="000000"/>
              </w:rPr>
            </w:pPr>
            <w:r>
              <w:rPr>
                <w:color w:val="000000"/>
                <w:lang w:val="en-US" w:eastAsia="zh-CN"/>
              </w:rPr>
              <w:t>O.oI</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0868DCF">
            <w:pPr>
              <w:pStyle w:val="10"/>
              <w:bidi w:val="0"/>
              <w:jc w:val="center"/>
              <w:rPr>
                <w:rFonts w:hint="default"/>
                <w:color w:val="000000"/>
              </w:rPr>
            </w:pPr>
            <w:r>
              <w:rPr>
                <w:rFonts w:hint="default"/>
                <w:color w:val="000000"/>
                <w:lang w:val="en-US" w:eastAsia="zh-CN"/>
              </w:rPr>
              <w:t>0.23</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B2DBF88">
            <w:pPr>
              <w:pStyle w:val="10"/>
              <w:bidi w:val="0"/>
              <w:jc w:val="center"/>
              <w:rPr>
                <w:rFonts w:hint="default"/>
                <w:color w:val="000000"/>
              </w:rPr>
            </w:pPr>
            <w:r>
              <w:rPr>
                <w:rFonts w:hint="default"/>
                <w:color w:val="000000"/>
                <w:lang w:val="en-US" w:eastAsia="zh-CN"/>
              </w:rPr>
              <w:t>0.00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50D809B">
            <w:pPr>
              <w:pStyle w:val="10"/>
              <w:bidi w:val="0"/>
              <w:jc w:val="center"/>
              <w:rPr>
                <w:rFonts w:hint="default"/>
                <w:color w:val="000000"/>
              </w:rPr>
            </w:pPr>
            <w:r>
              <w:rPr>
                <w:rFonts w:hint="default"/>
                <w:color w:val="000000"/>
                <w:lang w:val="en-US" w:eastAsia="zh-CN"/>
              </w:rPr>
              <w:t>0.00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1EACCC6">
            <w:pPr>
              <w:pStyle w:val="10"/>
              <w:bidi w:val="0"/>
              <w:jc w:val="center"/>
              <w:rPr>
                <w:rFonts w:hint="default"/>
                <w:color w:val="000000"/>
              </w:rPr>
            </w:pPr>
            <w:r>
              <w:rPr>
                <w:rFonts w:hint="default"/>
                <w:color w:val="000000"/>
                <w:lang w:val="en-US" w:eastAsia="zh-CN"/>
              </w:rPr>
              <w:t>0.10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4BF574E">
            <w:pPr>
              <w:pStyle w:val="10"/>
              <w:bidi w:val="0"/>
              <w:jc w:val="center"/>
              <w:rPr>
                <w:rFonts w:hint="default"/>
                <w:color w:val="000000"/>
              </w:rPr>
            </w:pPr>
            <w:r>
              <w:rPr>
                <w:rFonts w:hint="default"/>
                <w:color w:val="000000"/>
                <w:lang w:val="en-US" w:eastAsia="zh-CN"/>
              </w:rPr>
              <w:t>0.40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3B72AB9">
            <w:pPr>
              <w:pStyle w:val="10"/>
              <w:bidi w:val="0"/>
              <w:jc w:val="center"/>
              <w:rPr>
                <w:rFonts w:hint="default"/>
                <w:color w:val="000000"/>
              </w:rPr>
            </w:pPr>
            <w:r>
              <w:rPr>
                <w:rFonts w:hint="default"/>
                <w:color w:val="000000"/>
                <w:lang w:val="en-US" w:eastAsia="zh-CN"/>
              </w:rPr>
              <w:t>0.23</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892B6C1">
            <w:pPr>
              <w:pStyle w:val="10"/>
              <w:bidi w:val="0"/>
              <w:jc w:val="center"/>
              <w:rPr>
                <w:rFonts w:hint="default"/>
                <w:color w:val="000000"/>
              </w:rPr>
            </w:pPr>
            <w:r>
              <w:rPr>
                <w:rFonts w:hint="default"/>
                <w:color w:val="000000"/>
                <w:lang w:val="en-US" w:eastAsia="zh-CN"/>
              </w:rPr>
              <w:t>0.01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1D0F542">
            <w:pPr>
              <w:pStyle w:val="10"/>
              <w:bidi w:val="0"/>
              <w:jc w:val="center"/>
              <w:rPr>
                <w:rFonts w:hint="default"/>
                <w:color w:val="000000"/>
              </w:rPr>
            </w:pPr>
            <w:r>
              <w:rPr>
                <w:rFonts w:hint="default"/>
                <w:color w:val="000000"/>
                <w:lang w:val="en-US" w:eastAsia="zh-CN"/>
              </w:rPr>
              <w:t>0.01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559B7D9">
            <w:pPr>
              <w:pStyle w:val="10"/>
              <w:bidi w:val="0"/>
              <w:jc w:val="center"/>
              <w:rPr>
                <w:rFonts w:hint="default"/>
                <w:color w:val="000000"/>
              </w:rPr>
            </w:pPr>
            <w:r>
              <w:rPr>
                <w:rFonts w:hint="default"/>
                <w:color w:val="000000"/>
                <w:lang w:val="en-US" w:eastAsia="zh-CN"/>
              </w:rPr>
              <w:t>0.29</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D0492E1">
            <w:pPr>
              <w:pStyle w:val="10"/>
              <w:bidi w:val="0"/>
              <w:jc w:val="center"/>
              <w:rPr>
                <w:rFonts w:hint="default"/>
                <w:color w:val="000000"/>
              </w:rPr>
            </w:pPr>
            <w:r>
              <w:rPr>
                <w:rFonts w:hint="default"/>
                <w:color w:val="000000"/>
                <w:lang w:val="en-US" w:eastAsia="zh-CN"/>
              </w:rPr>
              <w:t>0.40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20E04C5">
            <w:pPr>
              <w:pStyle w:val="10"/>
              <w:bidi w:val="0"/>
              <w:jc w:val="center"/>
              <w:rPr>
                <w:rFonts w:hint="default"/>
                <w:color w:val="000000"/>
              </w:rPr>
            </w:pPr>
            <w:r>
              <w:rPr>
                <w:rFonts w:hint="default"/>
                <w:color w:val="000000"/>
                <w:lang w:val="en-US" w:eastAsia="zh-CN"/>
              </w:rPr>
              <w:t>0.25</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8717701">
            <w:pPr>
              <w:pStyle w:val="10"/>
              <w:bidi w:val="0"/>
              <w:jc w:val="center"/>
              <w:rPr>
                <w:rFonts w:hint="default"/>
                <w:color w:val="000000"/>
              </w:rPr>
            </w:pPr>
            <w:r>
              <w:rPr>
                <w:rFonts w:hint="default"/>
                <w:color w:val="000000"/>
                <w:lang w:val="en-US" w:eastAsia="zh-CN"/>
              </w:rPr>
              <w:t>0.16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F6DC705">
            <w:pPr>
              <w:pStyle w:val="10"/>
              <w:bidi w:val="0"/>
              <w:jc w:val="center"/>
              <w:rPr>
                <w:rFonts w:hint="default"/>
                <w:color w:val="000000"/>
              </w:rPr>
            </w:pPr>
            <w:r>
              <w:rPr>
                <w:rFonts w:hint="default"/>
                <w:color w:val="000000"/>
                <w:lang w:val="en-US" w:eastAsia="zh-CN"/>
              </w:rPr>
              <w:t>0.21</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75C2FD7">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14:paraId="48CCF309">
            <w:pPr>
              <w:pStyle w:val="10"/>
              <w:bidi w:val="0"/>
              <w:jc w:val="center"/>
              <w:rPr>
                <w:rFonts w:hint="default"/>
                <w:color w:val="000000"/>
              </w:rPr>
            </w:pPr>
            <w:r>
              <w:rPr>
                <w:rFonts w:hint="default"/>
                <w:color w:val="000000"/>
                <w:lang w:val="en-US" w:eastAsia="zh-CN"/>
              </w:rPr>
              <w:t>3</w:t>
            </w:r>
          </w:p>
        </w:tc>
      </w:tr>
    </w:tbl>
    <w:p w14:paraId="64BBF06C">
      <w:pPr>
        <w:ind w:left="0" w:leftChars="0" w:firstLine="0" w:firstLineChars="0"/>
        <w:jc w:val="center"/>
        <w:rPr>
          <w:rFonts w:hint="default"/>
          <w:lang w:val="en-US" w:eastAsia="zh-CN"/>
        </w:rPr>
      </w:pPr>
      <w:r>
        <w:rPr>
          <w:rFonts w:hint="default"/>
          <w:b/>
          <w:bCs/>
          <w:lang w:val="en-US" w:eastAsia="zh-CN"/>
        </w:rPr>
        <w:t>2013年南雄市地表水</w:t>
      </w:r>
      <w:r>
        <w:rPr>
          <w:rFonts w:hint="eastAsia"/>
          <w:b/>
          <w:bCs/>
          <w:lang w:val="en-US" w:eastAsia="zh-CN"/>
        </w:rPr>
        <w:t>浈</w:t>
      </w:r>
      <w:r>
        <w:rPr>
          <w:rFonts w:hint="default"/>
          <w:b/>
          <w:bCs/>
          <w:lang w:val="en-US" w:eastAsia="zh-CN"/>
        </w:rPr>
        <w:t>江河和凌江河水质监测结果、评价表</w:t>
      </w:r>
    </w:p>
    <w:p w14:paraId="2BDD9CFD">
      <w:pPr>
        <w:rPr>
          <w:rFonts w:hint="default"/>
          <w:lang w:val="en-US" w:eastAsia="zh-CN"/>
        </w:rPr>
      </w:pPr>
      <w:r>
        <w:rPr>
          <w:rFonts w:hint="eastAsia"/>
          <w:lang w:val="en-US" w:eastAsia="zh-CN"/>
        </w:rPr>
        <w:t>表20</w:t>
      </w:r>
    </w:p>
    <w:p w14:paraId="380778C3">
      <w:pPr>
        <w:jc w:val="right"/>
        <w:rPr>
          <w:rFonts w:hint="default"/>
          <w:lang w:val="en-US" w:eastAsia="zh-CN"/>
        </w:rPr>
      </w:pPr>
      <w:r>
        <w:rPr>
          <w:rFonts w:hint="default"/>
          <w:lang w:val="en-US" w:eastAsia="zh-CN"/>
        </w:rPr>
        <w:t>单位：mg/L(pH值：无量纲）</w:t>
      </w:r>
    </w:p>
    <w:tbl>
      <w:tblPr>
        <w:tblStyle w:val="7"/>
        <w:tblW w:w="5000"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Layout w:type="fixed"/>
        <w:tblCellMar>
          <w:top w:w="0" w:type="dxa"/>
          <w:left w:w="0" w:type="dxa"/>
          <w:bottom w:w="0" w:type="dxa"/>
          <w:right w:w="0" w:type="dxa"/>
        </w:tblCellMar>
      </w:tblPr>
      <w:tblGrid>
        <w:gridCol w:w="376"/>
        <w:gridCol w:w="376"/>
        <w:gridCol w:w="376"/>
        <w:gridCol w:w="376"/>
        <w:gridCol w:w="376"/>
        <w:gridCol w:w="376"/>
        <w:gridCol w:w="376"/>
        <w:gridCol w:w="376"/>
        <w:gridCol w:w="376"/>
        <w:gridCol w:w="376"/>
        <w:gridCol w:w="376"/>
        <w:gridCol w:w="376"/>
        <w:gridCol w:w="376"/>
        <w:gridCol w:w="376"/>
        <w:gridCol w:w="376"/>
        <w:gridCol w:w="376"/>
        <w:gridCol w:w="376"/>
        <w:gridCol w:w="376"/>
        <w:gridCol w:w="376"/>
        <w:gridCol w:w="376"/>
        <w:gridCol w:w="376"/>
        <w:gridCol w:w="376"/>
        <w:gridCol w:w="376"/>
        <w:gridCol w:w="376"/>
        <w:gridCol w:w="376"/>
        <w:gridCol w:w="376"/>
      </w:tblGrid>
      <w:tr w14:paraId="02EFD3E9">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PrEx>
        <w:trPr>
          <w:trHeight w:val="1225" w:hRule="atLeast"/>
        </w:trPr>
        <w:tc>
          <w:tcPr>
            <w:tcW w:w="19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389DB8C">
            <w:pPr>
              <w:pStyle w:val="10"/>
              <w:bidi w:val="0"/>
              <w:jc w:val="center"/>
              <w:rPr>
                <w:rFonts w:hint="eastAsia"/>
                <w:b/>
                <w:bCs/>
                <w:color w:val="000000"/>
              </w:rPr>
            </w:pPr>
            <w:r>
              <w:rPr>
                <w:rFonts w:hint="eastAsia"/>
                <w:b/>
                <w:bCs/>
                <w:color w:val="000000"/>
                <w:lang w:val="en-US" w:eastAsia="zh-CN"/>
              </w:rPr>
              <w:t>断面</w:t>
            </w:r>
            <w:r>
              <w:rPr>
                <w:b/>
                <w:bCs/>
                <w:color w:val="000000"/>
                <w:lang w:val="en-US" w:eastAsia="zh-CN"/>
              </w:rPr>
              <w:t>名</w:t>
            </w:r>
            <w:r>
              <w:rPr>
                <w:rFonts w:hint="eastAsia"/>
                <w:b/>
                <w:bCs/>
                <w:color w:val="000000"/>
                <w:lang w:val="en-US" w:eastAsia="zh-CN"/>
              </w:rPr>
              <w:t>称</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99E9C1E">
            <w:pPr>
              <w:pStyle w:val="10"/>
              <w:bidi w:val="0"/>
              <w:jc w:val="center"/>
              <w:rPr>
                <w:rFonts w:hint="eastAsia"/>
                <w:b/>
                <w:bCs/>
                <w:color w:val="000000"/>
              </w:rPr>
            </w:pPr>
            <w:r>
              <w:rPr>
                <w:b/>
                <w:bCs/>
                <w:color w:val="000000"/>
                <w:lang w:val="en-US" w:eastAsia="zh-CN"/>
              </w:rPr>
              <w:t>指标</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D478A4B">
            <w:pPr>
              <w:pStyle w:val="10"/>
              <w:bidi w:val="0"/>
              <w:jc w:val="center"/>
              <w:rPr>
                <w:rFonts w:hint="default"/>
                <w:b/>
                <w:bCs/>
                <w:color w:val="000000"/>
              </w:rPr>
            </w:pPr>
            <w:r>
              <w:rPr>
                <w:b/>
                <w:bCs/>
                <w:color w:val="000000"/>
                <w:lang w:val="en-US" w:eastAsia="zh-CN"/>
              </w:rPr>
              <w:t>pH</w:t>
            </w:r>
            <w:r>
              <w:rPr>
                <w:b/>
                <w:bCs/>
                <w:color w:val="000000"/>
                <w:lang w:val="en-US" w:eastAsia="zh-CN"/>
              </w:rPr>
              <w:br w:type="textWrapping"/>
            </w:r>
            <w:r>
              <w:rPr>
                <w:b/>
                <w:bCs/>
                <w:color w:val="000000"/>
                <w:lang w:val="en-US" w:eastAsia="zh-CN"/>
              </w:rPr>
              <w:t>值</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533FB77">
            <w:pPr>
              <w:pStyle w:val="10"/>
              <w:bidi w:val="0"/>
              <w:jc w:val="center"/>
              <w:rPr>
                <w:rFonts w:hint="default"/>
                <w:b/>
                <w:bCs/>
                <w:color w:val="000000"/>
              </w:rPr>
            </w:pPr>
            <w:r>
              <w:rPr>
                <w:b/>
                <w:bCs/>
                <w:color w:val="000000"/>
                <w:lang w:val="en-US" w:eastAsia="zh-CN"/>
              </w:rPr>
              <w:t>溶</w:t>
            </w:r>
            <w:r>
              <w:rPr>
                <w:rFonts w:hint="eastAsia"/>
                <w:b/>
                <w:bCs/>
                <w:color w:val="000000"/>
                <w:lang w:val="en-US" w:eastAsia="zh-CN"/>
              </w:rPr>
              <w:t>解</w:t>
            </w:r>
            <w:r>
              <w:rPr>
                <w:b/>
                <w:bCs/>
                <w:color w:val="000000"/>
                <w:lang w:val="en-US" w:eastAsia="zh-CN"/>
              </w:rPr>
              <w:t>氧</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4C45E76">
            <w:pPr>
              <w:pStyle w:val="10"/>
              <w:bidi w:val="0"/>
              <w:jc w:val="center"/>
              <w:rPr>
                <w:rFonts w:hint="eastAsia"/>
                <w:b/>
                <w:bCs/>
                <w:color w:val="000000"/>
              </w:rPr>
            </w:pPr>
            <w:r>
              <w:rPr>
                <w:b/>
                <w:bCs/>
                <w:color w:val="000000"/>
                <w:lang w:val="en-US" w:eastAsia="zh-CN"/>
              </w:rPr>
              <w:t>高猛酸盐指数</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F3C17D2">
            <w:pPr>
              <w:pStyle w:val="10"/>
              <w:bidi w:val="0"/>
              <w:jc w:val="center"/>
              <w:rPr>
                <w:rFonts w:hint="default"/>
                <w:b/>
                <w:bCs/>
                <w:color w:val="000000"/>
              </w:rPr>
            </w:pPr>
            <w:r>
              <w:rPr>
                <w:b/>
                <w:bCs/>
                <w:color w:val="000000"/>
                <w:lang w:val="en-US" w:eastAsia="zh-CN"/>
              </w:rPr>
              <w:t>化学需氧</w:t>
            </w:r>
            <w:r>
              <w:rPr>
                <w:rFonts w:hint="eastAsia"/>
                <w:b/>
                <w:bCs/>
                <w:color w:val="000000"/>
                <w:lang w:val="en-US" w:eastAsia="zh-CN"/>
              </w:rPr>
              <w:t>量</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76052C8">
            <w:pPr>
              <w:pStyle w:val="10"/>
              <w:bidi w:val="0"/>
              <w:jc w:val="center"/>
              <w:rPr>
                <w:rFonts w:hint="default"/>
                <w:b/>
                <w:bCs/>
                <w:color w:val="000000"/>
              </w:rPr>
            </w:pPr>
            <w:r>
              <w:rPr>
                <w:b/>
                <w:bCs/>
                <w:color w:val="000000"/>
                <w:lang w:val="en-US" w:eastAsia="zh-CN"/>
              </w:rPr>
              <w:t>五日生化需氧</w:t>
            </w:r>
            <w:r>
              <w:rPr>
                <w:rFonts w:hint="eastAsia"/>
                <w:b/>
                <w:bCs/>
                <w:color w:val="000000"/>
                <w:lang w:val="en-US" w:eastAsia="zh-CN"/>
              </w:rPr>
              <w:t>量</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5399F1D">
            <w:pPr>
              <w:pStyle w:val="10"/>
              <w:bidi w:val="0"/>
              <w:jc w:val="center"/>
              <w:rPr>
                <w:rFonts w:hint="eastAsia"/>
                <w:b/>
                <w:bCs/>
                <w:color w:val="000000"/>
              </w:rPr>
            </w:pPr>
            <w:r>
              <w:rPr>
                <w:b/>
                <w:bCs/>
                <w:color w:val="000000"/>
                <w:lang w:val="en-US" w:eastAsia="zh-CN"/>
              </w:rPr>
              <w:t>氨氮</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4E751C9">
            <w:pPr>
              <w:pStyle w:val="10"/>
              <w:bidi w:val="0"/>
              <w:jc w:val="center"/>
              <w:rPr>
                <w:rFonts w:hint="eastAsia"/>
                <w:b/>
                <w:bCs/>
                <w:color w:val="000000"/>
              </w:rPr>
            </w:pPr>
            <w:r>
              <w:rPr>
                <w:b/>
                <w:bCs/>
                <w:color w:val="000000"/>
                <w:lang w:val="en-US" w:eastAsia="zh-CN"/>
              </w:rPr>
              <w:t>总磷</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1B76D24">
            <w:pPr>
              <w:pStyle w:val="10"/>
              <w:bidi w:val="0"/>
              <w:jc w:val="center"/>
              <w:rPr>
                <w:rFonts w:hint="eastAsia"/>
                <w:b/>
                <w:bCs/>
                <w:color w:val="000000"/>
              </w:rPr>
            </w:pPr>
            <w:r>
              <w:rPr>
                <w:b/>
                <w:bCs/>
                <w:color w:val="000000"/>
                <w:lang w:val="en-US" w:eastAsia="zh-CN"/>
              </w:rPr>
              <w:t>铜</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E207ABC">
            <w:pPr>
              <w:pStyle w:val="10"/>
              <w:bidi w:val="0"/>
              <w:jc w:val="center"/>
              <w:rPr>
                <w:rFonts w:hint="eastAsia"/>
                <w:b/>
                <w:bCs/>
                <w:color w:val="000000"/>
              </w:rPr>
            </w:pPr>
            <w:r>
              <w:rPr>
                <w:b/>
                <w:bCs/>
                <w:color w:val="000000"/>
                <w:lang w:val="en-US" w:eastAsia="zh-CN"/>
              </w:rPr>
              <w:t>锌</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1D83687">
            <w:pPr>
              <w:pStyle w:val="10"/>
              <w:bidi w:val="0"/>
              <w:jc w:val="center"/>
              <w:rPr>
                <w:rFonts w:hint="default"/>
                <w:b/>
                <w:bCs/>
                <w:color w:val="000000"/>
              </w:rPr>
            </w:pPr>
            <w:r>
              <w:rPr>
                <w:b/>
                <w:bCs/>
                <w:color w:val="000000"/>
                <w:lang w:val="en-US" w:eastAsia="zh-CN"/>
              </w:rPr>
              <w:t>氪化物</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BC8E5B2">
            <w:pPr>
              <w:pStyle w:val="10"/>
              <w:bidi w:val="0"/>
              <w:jc w:val="center"/>
              <w:rPr>
                <w:rFonts w:hint="eastAsia"/>
                <w:b/>
                <w:bCs/>
                <w:color w:val="000000"/>
              </w:rPr>
            </w:pPr>
            <w:r>
              <w:rPr>
                <w:rFonts w:hint="eastAsia"/>
                <w:b/>
                <w:bCs/>
                <w:color w:val="000000"/>
                <w:lang w:val="en-US" w:eastAsia="zh-CN"/>
              </w:rPr>
              <w:t>硒</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531CC3F">
            <w:pPr>
              <w:pStyle w:val="10"/>
              <w:bidi w:val="0"/>
              <w:jc w:val="center"/>
              <w:rPr>
                <w:rFonts w:hint="eastAsia"/>
                <w:b/>
                <w:bCs/>
                <w:color w:val="000000"/>
              </w:rPr>
            </w:pPr>
            <w:r>
              <w:rPr>
                <w:b/>
                <w:bCs/>
                <w:color w:val="000000"/>
                <w:lang w:val="en-US" w:eastAsia="zh-CN"/>
              </w:rPr>
              <w:t>惮</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6F7EA3C">
            <w:pPr>
              <w:pStyle w:val="10"/>
              <w:bidi w:val="0"/>
              <w:jc w:val="center"/>
              <w:rPr>
                <w:rFonts w:hint="eastAsia"/>
                <w:b/>
                <w:bCs/>
                <w:color w:val="000000"/>
              </w:rPr>
            </w:pPr>
            <w:r>
              <w:rPr>
                <w:b/>
                <w:bCs/>
                <w:color w:val="000000"/>
                <w:lang w:val="en-US" w:eastAsia="zh-CN"/>
              </w:rPr>
              <w:t>采</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5337C01">
            <w:pPr>
              <w:pStyle w:val="10"/>
              <w:bidi w:val="0"/>
              <w:jc w:val="center"/>
              <w:rPr>
                <w:rFonts w:hint="eastAsia"/>
                <w:b/>
                <w:bCs/>
                <w:color w:val="000000"/>
              </w:rPr>
            </w:pPr>
            <w:r>
              <w:rPr>
                <w:b/>
                <w:bCs/>
                <w:color w:val="000000"/>
                <w:lang w:val="en-US" w:eastAsia="zh-CN"/>
              </w:rPr>
              <w:t>锅</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88A993D">
            <w:pPr>
              <w:pStyle w:val="10"/>
              <w:bidi w:val="0"/>
              <w:jc w:val="center"/>
              <w:rPr>
                <w:rFonts w:hint="default"/>
                <w:b/>
                <w:bCs/>
                <w:color w:val="000000"/>
              </w:rPr>
            </w:pPr>
            <w:r>
              <w:rPr>
                <w:b/>
                <w:bCs/>
                <w:color w:val="000000"/>
                <w:lang w:val="en-US" w:eastAsia="zh-CN"/>
              </w:rPr>
              <w:t>六价铭</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2963138">
            <w:pPr>
              <w:pStyle w:val="10"/>
              <w:bidi w:val="0"/>
              <w:jc w:val="center"/>
              <w:rPr>
                <w:rFonts w:hint="eastAsia"/>
                <w:b/>
                <w:bCs/>
                <w:color w:val="000000"/>
              </w:rPr>
            </w:pPr>
            <w:r>
              <w:rPr>
                <w:b/>
                <w:bCs/>
                <w:color w:val="000000"/>
                <w:lang w:val="en-US" w:eastAsia="zh-CN"/>
              </w:rPr>
              <w:t>铅</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44254EC">
            <w:pPr>
              <w:pStyle w:val="10"/>
              <w:bidi w:val="0"/>
              <w:jc w:val="center"/>
              <w:rPr>
                <w:rFonts w:hint="default"/>
                <w:b/>
                <w:bCs/>
                <w:color w:val="000000"/>
              </w:rPr>
            </w:pPr>
            <w:r>
              <w:rPr>
                <w:b/>
                <w:bCs/>
                <w:color w:val="000000"/>
                <w:lang w:val="en-US" w:eastAsia="zh-CN"/>
              </w:rPr>
              <w:t>氧化</w:t>
            </w:r>
            <w:r>
              <w:rPr>
                <w:rFonts w:hint="eastAsia"/>
                <w:b/>
                <w:bCs/>
                <w:color w:val="000000"/>
                <w:lang w:val="en-US" w:eastAsia="zh-CN"/>
              </w:rPr>
              <w:t>物</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68ABC1B">
            <w:pPr>
              <w:pStyle w:val="10"/>
              <w:bidi w:val="0"/>
              <w:jc w:val="center"/>
              <w:rPr>
                <w:rFonts w:hint="eastAsia"/>
                <w:b/>
                <w:bCs/>
                <w:color w:val="000000"/>
              </w:rPr>
            </w:pPr>
            <w:r>
              <w:rPr>
                <w:b/>
                <w:bCs/>
                <w:color w:val="000000"/>
                <w:lang w:val="en-US" w:eastAsia="zh-CN"/>
              </w:rPr>
              <w:t>挥发酚</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09CAAD9">
            <w:pPr>
              <w:pStyle w:val="10"/>
              <w:bidi w:val="0"/>
              <w:jc w:val="center"/>
              <w:rPr>
                <w:rFonts w:hint="eastAsia"/>
                <w:b/>
                <w:bCs/>
                <w:color w:val="000000"/>
              </w:rPr>
            </w:pPr>
            <w:r>
              <w:rPr>
                <w:b/>
                <w:bCs/>
                <w:color w:val="000000"/>
                <w:lang w:val="en-US" w:eastAsia="zh-CN"/>
              </w:rPr>
              <w:t>石油</w:t>
            </w:r>
            <w:r>
              <w:rPr>
                <w:rFonts w:hint="eastAsia"/>
                <w:b/>
                <w:bCs/>
                <w:color w:val="000000"/>
                <w:lang w:val="en-US" w:eastAsia="zh-CN"/>
              </w:rPr>
              <w:t>类</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244EA6F">
            <w:pPr>
              <w:pStyle w:val="10"/>
              <w:bidi w:val="0"/>
              <w:jc w:val="center"/>
              <w:rPr>
                <w:rFonts w:hint="eastAsia"/>
                <w:b/>
                <w:bCs/>
                <w:color w:val="000000"/>
              </w:rPr>
            </w:pPr>
            <w:r>
              <w:rPr>
                <w:b/>
                <w:bCs/>
                <w:color w:val="000000"/>
                <w:lang w:val="en-US" w:eastAsia="zh-CN"/>
              </w:rPr>
              <w:t>阴离</w:t>
            </w:r>
            <w:r>
              <w:rPr>
                <w:rFonts w:hint="eastAsia"/>
                <w:b/>
                <w:bCs/>
                <w:color w:val="000000"/>
                <w:lang w:val="en-US" w:eastAsia="zh-CN"/>
              </w:rPr>
              <w:t>子表</w:t>
            </w:r>
            <w:r>
              <w:rPr>
                <w:b/>
                <w:bCs/>
                <w:color w:val="000000"/>
                <w:lang w:val="en-US" w:eastAsia="zh-CN"/>
              </w:rPr>
              <w:t>面活性剂</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87C9B69">
            <w:pPr>
              <w:pStyle w:val="10"/>
              <w:bidi w:val="0"/>
              <w:jc w:val="center"/>
              <w:rPr>
                <w:rFonts w:hint="default"/>
                <w:b/>
                <w:bCs/>
                <w:color w:val="000000"/>
              </w:rPr>
            </w:pPr>
            <w:r>
              <w:rPr>
                <w:b/>
                <w:bCs/>
                <w:color w:val="000000"/>
                <w:lang w:val="en-US" w:eastAsia="zh-CN"/>
              </w:rPr>
              <w:t>硫化物</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7096FD8">
            <w:pPr>
              <w:pStyle w:val="10"/>
              <w:bidi w:val="0"/>
              <w:jc w:val="center"/>
              <w:rPr>
                <w:rFonts w:hint="eastAsia"/>
                <w:b/>
                <w:bCs/>
                <w:color w:val="000000"/>
              </w:rPr>
            </w:pPr>
            <w:r>
              <w:rPr>
                <w:b/>
                <w:bCs/>
                <w:color w:val="000000"/>
                <w:lang w:val="en-US" w:eastAsia="zh-CN"/>
              </w:rPr>
              <w:t>综合污染指数均值</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5FD265F">
            <w:pPr>
              <w:pStyle w:val="10"/>
              <w:bidi w:val="0"/>
              <w:jc w:val="center"/>
              <w:rPr>
                <w:rFonts w:hint="eastAsia"/>
                <w:b/>
                <w:bCs/>
                <w:color w:val="000000"/>
              </w:rPr>
            </w:pPr>
            <w:r>
              <w:rPr>
                <w:b/>
                <w:bCs/>
                <w:color w:val="000000"/>
                <w:lang w:val="en-US" w:eastAsia="zh-CN"/>
              </w:rPr>
              <w:t>水质</w:t>
            </w:r>
            <w:r>
              <w:rPr>
                <w:rFonts w:hint="eastAsia"/>
                <w:b/>
                <w:bCs/>
                <w:color w:val="000000"/>
                <w:lang w:val="en-US" w:eastAsia="zh-CN"/>
              </w:rPr>
              <w:t>类</w:t>
            </w:r>
            <w:r>
              <w:rPr>
                <w:b/>
                <w:bCs/>
                <w:color w:val="000000"/>
                <w:lang w:val="en-US" w:eastAsia="zh-CN"/>
              </w:rPr>
              <w:t>别</w:t>
            </w:r>
          </w:p>
        </w:tc>
        <w:tc>
          <w:tcPr>
            <w:tcW w:w="19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62B6DF23">
            <w:pPr>
              <w:pStyle w:val="10"/>
              <w:bidi w:val="0"/>
              <w:jc w:val="center"/>
              <w:rPr>
                <w:rFonts w:hint="eastAsia"/>
                <w:b/>
                <w:bCs/>
                <w:color w:val="000000"/>
              </w:rPr>
            </w:pPr>
            <w:r>
              <w:rPr>
                <w:rFonts w:hint="eastAsia"/>
                <w:b/>
                <w:bCs/>
                <w:color w:val="000000"/>
                <w:lang w:val="en-US" w:eastAsia="zh-CN"/>
              </w:rPr>
              <w:t>评</w:t>
            </w:r>
            <w:r>
              <w:rPr>
                <w:b/>
                <w:bCs/>
                <w:color w:val="000000"/>
                <w:lang w:val="en-US" w:eastAsia="zh-CN"/>
              </w:rPr>
              <w:t>价标准</w:t>
            </w:r>
          </w:p>
        </w:tc>
      </w:tr>
      <w:tr w14:paraId="21D08410">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05" w:hRule="atLeast"/>
        </w:trPr>
        <w:tc>
          <w:tcPr>
            <w:tcW w:w="192" w:type="pct"/>
            <w:vMerge w:val="restar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B56830B">
            <w:pPr>
              <w:pStyle w:val="10"/>
              <w:bidi w:val="0"/>
              <w:jc w:val="center"/>
              <w:rPr>
                <w:rFonts w:hint="default"/>
                <w:color w:val="000000"/>
              </w:rPr>
            </w:pPr>
            <w:r>
              <w:rPr>
                <w:color w:val="000000"/>
                <w:lang w:val="en-US" w:eastAsia="zh-CN"/>
              </w:rPr>
              <w:t>河南</w:t>
            </w:r>
            <w:r>
              <w:rPr>
                <w:rFonts w:hint="eastAsia"/>
                <w:color w:val="000000"/>
                <w:lang w:val="en-US" w:eastAsia="zh-CN"/>
              </w:rPr>
              <w:t>桥</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7D2C92C">
            <w:pPr>
              <w:pStyle w:val="10"/>
              <w:bidi w:val="0"/>
              <w:jc w:val="center"/>
              <w:rPr>
                <w:rFonts w:hint="eastAsia"/>
                <w:color w:val="000000"/>
              </w:rPr>
            </w:pPr>
            <w:r>
              <w:rPr>
                <w:color w:val="000000"/>
                <w:lang w:val="en-US" w:eastAsia="zh-CN"/>
              </w:rPr>
              <w:t>样品数</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5F5C49B">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A037E2C">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2FF42BC">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6064EC1">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B31BD7D">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DACE74A">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EC84326">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B5743AF">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6AE29BD">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4F3D516">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202DC03">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1949486">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CE29497">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9F6D420">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92D29A0">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CA7BF69">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8D4D0AD">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7CB0E04">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964378D">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E942DC6">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F6B85D2">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905AA3C">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49430F5">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76DA24ED">
            <w:pPr>
              <w:pStyle w:val="10"/>
              <w:bidi w:val="0"/>
              <w:jc w:val="center"/>
              <w:rPr>
                <w:rFonts w:hint="default"/>
                <w:color w:val="000000"/>
              </w:rPr>
            </w:pPr>
          </w:p>
        </w:tc>
      </w:tr>
      <w:tr w14:paraId="5A3165B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10" w:hRule="atLeast"/>
        </w:trPr>
        <w:tc>
          <w:tcPr>
            <w:tcW w:w="192" w:type="pct"/>
            <w:vMerge w:val="continue"/>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979EE50">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F2397BC">
            <w:pPr>
              <w:pStyle w:val="10"/>
              <w:bidi w:val="0"/>
              <w:jc w:val="center"/>
              <w:rPr>
                <w:rFonts w:hint="eastAsia"/>
                <w:color w:val="000000"/>
              </w:rPr>
            </w:pPr>
            <w:r>
              <w:rPr>
                <w:rFonts w:hint="eastAsia"/>
                <w:color w:val="000000"/>
                <w:lang w:val="en-US" w:eastAsia="zh-CN"/>
              </w:rPr>
              <w:t>最大值</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018CB07">
            <w:pPr>
              <w:pStyle w:val="10"/>
              <w:bidi w:val="0"/>
              <w:jc w:val="center"/>
              <w:rPr>
                <w:rFonts w:hint="default"/>
                <w:color w:val="000000"/>
              </w:rPr>
            </w:pPr>
            <w:r>
              <w:rPr>
                <w:rFonts w:hint="default"/>
                <w:color w:val="000000"/>
                <w:lang w:val="en-US" w:eastAsia="zh-CN"/>
              </w:rPr>
              <w:t>7.91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748C65C">
            <w:pPr>
              <w:pStyle w:val="10"/>
              <w:bidi w:val="0"/>
              <w:jc w:val="center"/>
              <w:rPr>
                <w:rFonts w:hint="default"/>
                <w:color w:val="000000"/>
              </w:rPr>
            </w:pPr>
            <w:r>
              <w:rPr>
                <w:rFonts w:hint="default"/>
                <w:color w:val="000000"/>
                <w:lang w:val="en-US" w:eastAsia="zh-CN"/>
              </w:rPr>
              <w:t>8.7</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46D2D46">
            <w:pPr>
              <w:pStyle w:val="10"/>
              <w:bidi w:val="0"/>
              <w:jc w:val="center"/>
              <w:rPr>
                <w:rFonts w:hint="default"/>
                <w:color w:val="000000"/>
              </w:rPr>
            </w:pPr>
            <w:r>
              <w:rPr>
                <w:rFonts w:hint="default"/>
                <w:color w:val="000000"/>
                <w:lang w:val="en-US" w:eastAsia="zh-CN"/>
              </w:rPr>
              <w:t>3.3</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A231196">
            <w:pPr>
              <w:pStyle w:val="10"/>
              <w:bidi w:val="0"/>
              <w:jc w:val="center"/>
              <w:rPr>
                <w:rFonts w:hint="default"/>
                <w:color w:val="000000"/>
              </w:rPr>
            </w:pPr>
            <w:r>
              <w:rPr>
                <w:rFonts w:hint="default"/>
                <w:color w:val="000000"/>
                <w:lang w:val="en-US" w:eastAsia="zh-CN"/>
              </w:rPr>
              <w:t>11.2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D6001AC">
            <w:pPr>
              <w:pStyle w:val="10"/>
              <w:bidi w:val="0"/>
              <w:jc w:val="center"/>
              <w:rPr>
                <w:rFonts w:hint="default"/>
                <w:color w:val="000000"/>
              </w:rPr>
            </w:pPr>
            <w:r>
              <w:rPr>
                <w:rFonts w:hint="default"/>
                <w:color w:val="000000"/>
                <w:lang w:val="en-US" w:eastAsia="zh-CN"/>
              </w:rPr>
              <w:t>4.0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0F2B193">
            <w:pPr>
              <w:pStyle w:val="10"/>
              <w:bidi w:val="0"/>
              <w:jc w:val="center"/>
              <w:rPr>
                <w:rFonts w:hint="default"/>
                <w:color w:val="000000"/>
              </w:rPr>
            </w:pPr>
            <w:r>
              <w:rPr>
                <w:rFonts w:hint="default"/>
                <w:color w:val="000000"/>
                <w:lang w:val="en-US" w:eastAsia="zh-CN"/>
              </w:rPr>
              <w:t>0.457</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723163F">
            <w:pPr>
              <w:pStyle w:val="10"/>
              <w:bidi w:val="0"/>
              <w:jc w:val="center"/>
              <w:rPr>
                <w:rFonts w:hint="default"/>
                <w:color w:val="000000"/>
              </w:rPr>
            </w:pPr>
            <w:r>
              <w:rPr>
                <w:rFonts w:hint="default"/>
                <w:color w:val="000000"/>
                <w:lang w:val="en-US" w:eastAsia="zh-CN"/>
              </w:rPr>
              <w:t>0.188</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233FE0F">
            <w:pPr>
              <w:pStyle w:val="10"/>
              <w:bidi w:val="0"/>
              <w:jc w:val="center"/>
              <w:rPr>
                <w:rFonts w:hint="default"/>
                <w:color w:val="000000"/>
              </w:rPr>
            </w:pPr>
            <w:r>
              <w:rPr>
                <w:rFonts w:hint="default"/>
                <w:color w:val="000000"/>
                <w:lang w:val="en-US" w:eastAsia="zh-CN"/>
              </w:rPr>
              <w:t>0.002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70B683A">
            <w:pPr>
              <w:pStyle w:val="10"/>
              <w:bidi w:val="0"/>
              <w:jc w:val="center"/>
              <w:rPr>
                <w:rFonts w:hint="default"/>
                <w:color w:val="000000"/>
              </w:rPr>
            </w:pPr>
            <w:r>
              <w:rPr>
                <w:rFonts w:hint="default"/>
                <w:color w:val="000000"/>
                <w:lang w:val="en-US" w:eastAsia="zh-CN"/>
              </w:rPr>
              <w:t>0.026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43EAC28">
            <w:pPr>
              <w:pStyle w:val="10"/>
              <w:bidi w:val="0"/>
              <w:jc w:val="center"/>
              <w:rPr>
                <w:rFonts w:hint="default"/>
                <w:color w:val="000000"/>
              </w:rPr>
            </w:pPr>
            <w:r>
              <w:rPr>
                <w:rFonts w:hint="default"/>
                <w:color w:val="000000"/>
                <w:lang w:val="en-US" w:eastAsia="zh-CN"/>
              </w:rPr>
              <w:t>0.41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54171A5">
            <w:pPr>
              <w:pStyle w:val="10"/>
              <w:bidi w:val="0"/>
              <w:jc w:val="center"/>
              <w:rPr>
                <w:rFonts w:hint="default"/>
                <w:color w:val="000000"/>
              </w:rPr>
            </w:pPr>
            <w:r>
              <w:rPr>
                <w:rFonts w:hint="default"/>
                <w:color w:val="000000"/>
                <w:lang w:val="en-US" w:eastAsia="zh-CN"/>
              </w:rPr>
              <w:t>0.00004</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6DF105F">
            <w:pPr>
              <w:pStyle w:val="10"/>
              <w:bidi w:val="0"/>
              <w:jc w:val="center"/>
              <w:rPr>
                <w:rFonts w:hint="default"/>
                <w:color w:val="000000"/>
              </w:rPr>
            </w:pPr>
            <w:r>
              <w:rPr>
                <w:rFonts w:hint="default"/>
                <w:color w:val="000000"/>
                <w:lang w:val="en-US" w:eastAsia="zh-CN"/>
              </w:rPr>
              <w:t>0.00001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853C2BF">
            <w:pPr>
              <w:pStyle w:val="10"/>
              <w:bidi w:val="0"/>
              <w:jc w:val="center"/>
              <w:rPr>
                <w:rFonts w:hint="default"/>
                <w:color w:val="000000"/>
              </w:rPr>
            </w:pPr>
            <w:r>
              <w:rPr>
                <w:rFonts w:hint="default"/>
                <w:color w:val="000000"/>
                <w:lang w:val="en-US" w:eastAsia="zh-CN"/>
              </w:rPr>
              <w:t>0.00001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187D80D">
            <w:pPr>
              <w:pStyle w:val="10"/>
              <w:bidi w:val="0"/>
              <w:jc w:val="center"/>
              <w:rPr>
                <w:rFonts w:hint="default"/>
                <w:color w:val="000000"/>
              </w:rPr>
            </w:pPr>
            <w:r>
              <w:rPr>
                <w:rFonts w:hint="default"/>
                <w:color w:val="000000"/>
                <w:lang w:val="en-US" w:eastAsia="zh-CN"/>
              </w:rPr>
              <w:t>0.002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C1A5E90">
            <w:pPr>
              <w:pStyle w:val="10"/>
              <w:bidi w:val="0"/>
              <w:jc w:val="center"/>
              <w:rPr>
                <w:rFonts w:hint="default"/>
                <w:color w:val="000000"/>
              </w:rPr>
            </w:pPr>
            <w:r>
              <w:rPr>
                <w:rFonts w:hint="default"/>
                <w:color w:val="000000"/>
                <w:lang w:val="en-US" w:eastAsia="zh-CN"/>
              </w:rPr>
              <w:t>0.014</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201A086">
            <w:pPr>
              <w:pStyle w:val="10"/>
              <w:bidi w:val="0"/>
              <w:jc w:val="center"/>
              <w:rPr>
                <w:rFonts w:hint="default"/>
                <w:color w:val="000000"/>
              </w:rPr>
            </w:pPr>
            <w:r>
              <w:rPr>
                <w:rFonts w:hint="default"/>
                <w:color w:val="000000"/>
                <w:lang w:val="en-US" w:eastAsia="zh-CN"/>
              </w:rPr>
              <w:t>0.0005</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69C8DA4">
            <w:pPr>
              <w:pStyle w:val="10"/>
              <w:bidi w:val="0"/>
              <w:jc w:val="center"/>
              <w:rPr>
                <w:rFonts w:hint="default"/>
                <w:color w:val="000000"/>
              </w:rPr>
            </w:pPr>
            <w:r>
              <w:rPr>
                <w:rFonts w:hint="default"/>
                <w:color w:val="000000"/>
                <w:lang w:val="en-US" w:eastAsia="zh-CN"/>
              </w:rPr>
              <w:t>0.002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2AE47CC">
            <w:pPr>
              <w:pStyle w:val="10"/>
              <w:bidi w:val="0"/>
              <w:jc w:val="center"/>
              <w:rPr>
                <w:rFonts w:hint="default"/>
                <w:color w:val="000000"/>
              </w:rPr>
            </w:pPr>
            <w:r>
              <w:rPr>
                <w:rFonts w:hint="default"/>
                <w:color w:val="000000"/>
                <w:lang w:val="en-US" w:eastAsia="zh-CN"/>
              </w:rPr>
              <w:t>0.0039</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9FDFE45">
            <w:pPr>
              <w:pStyle w:val="10"/>
              <w:bidi w:val="0"/>
              <w:jc w:val="center"/>
              <w:rPr>
                <w:rFonts w:hint="default"/>
                <w:color w:val="000000"/>
              </w:rPr>
            </w:pPr>
            <w:r>
              <w:rPr>
                <w:rFonts w:hint="default"/>
                <w:color w:val="000000"/>
                <w:lang w:val="en-US" w:eastAsia="zh-CN"/>
              </w:rPr>
              <w:t>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E3D6835">
            <w:pPr>
              <w:pStyle w:val="10"/>
              <w:bidi w:val="0"/>
              <w:jc w:val="center"/>
              <w:rPr>
                <w:rFonts w:hint="default"/>
                <w:color w:val="000000"/>
              </w:rPr>
            </w:pPr>
            <w:r>
              <w:rPr>
                <w:rFonts w:hint="default"/>
                <w:color w:val="000000"/>
                <w:lang w:val="en-US" w:eastAsia="zh-CN"/>
              </w:rPr>
              <w:t>0.165</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50E10A4">
            <w:pPr>
              <w:pStyle w:val="10"/>
              <w:bidi w:val="0"/>
              <w:jc w:val="center"/>
              <w:rPr>
                <w:rFonts w:hint="default"/>
                <w:color w:val="000000"/>
              </w:rPr>
            </w:pPr>
            <w:r>
              <w:rPr>
                <w:rFonts w:hint="default"/>
                <w:color w:val="000000"/>
                <w:lang w:val="en-US" w:eastAsia="zh-CN"/>
              </w:rPr>
              <w:t>0.054</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6D70F26">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B6E2F09">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54FF3034">
            <w:pPr>
              <w:pStyle w:val="10"/>
              <w:bidi w:val="0"/>
              <w:jc w:val="center"/>
              <w:rPr>
                <w:rFonts w:hint="default"/>
                <w:color w:val="000000"/>
              </w:rPr>
            </w:pPr>
          </w:p>
        </w:tc>
      </w:tr>
      <w:tr w14:paraId="26420E3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10" w:hRule="atLeast"/>
        </w:trPr>
        <w:tc>
          <w:tcPr>
            <w:tcW w:w="192" w:type="pct"/>
            <w:vMerge w:val="continue"/>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EB3BAAA">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5B125D7">
            <w:pPr>
              <w:pStyle w:val="10"/>
              <w:bidi w:val="0"/>
              <w:jc w:val="center"/>
              <w:rPr>
                <w:rFonts w:hint="eastAsia"/>
                <w:color w:val="000000"/>
              </w:rPr>
            </w:pPr>
            <w:r>
              <w:rPr>
                <w:color w:val="000000"/>
                <w:lang w:val="en-US" w:eastAsia="zh-CN"/>
              </w:rPr>
              <w:t>最小值</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18F88A3">
            <w:pPr>
              <w:pStyle w:val="10"/>
              <w:bidi w:val="0"/>
              <w:jc w:val="center"/>
              <w:rPr>
                <w:rFonts w:hint="default"/>
                <w:color w:val="000000"/>
              </w:rPr>
            </w:pPr>
            <w:r>
              <w:rPr>
                <w:rFonts w:hint="default"/>
                <w:color w:val="000000"/>
                <w:lang w:val="en-US" w:eastAsia="zh-CN"/>
              </w:rPr>
              <w:t>7.01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FCDD14E">
            <w:pPr>
              <w:pStyle w:val="10"/>
              <w:bidi w:val="0"/>
              <w:jc w:val="center"/>
              <w:rPr>
                <w:rFonts w:hint="default"/>
                <w:color w:val="000000"/>
              </w:rPr>
            </w:pPr>
            <w:r>
              <w:rPr>
                <w:rFonts w:hint="default"/>
                <w:color w:val="000000"/>
                <w:lang w:val="en-US" w:eastAsia="zh-CN"/>
              </w:rPr>
              <w:t>7.0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4B8C962">
            <w:pPr>
              <w:pStyle w:val="10"/>
              <w:bidi w:val="0"/>
              <w:jc w:val="center"/>
              <w:rPr>
                <w:rFonts w:hint="default"/>
                <w:color w:val="000000"/>
              </w:rPr>
            </w:pPr>
            <w:r>
              <w:rPr>
                <w:rFonts w:hint="default"/>
                <w:color w:val="000000"/>
                <w:lang w:val="en-US" w:eastAsia="zh-CN"/>
              </w:rPr>
              <w:t>2.1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F1E07EE">
            <w:pPr>
              <w:pStyle w:val="10"/>
              <w:bidi w:val="0"/>
              <w:jc w:val="center"/>
              <w:rPr>
                <w:rFonts w:hint="default"/>
                <w:color w:val="000000"/>
              </w:rPr>
            </w:pPr>
            <w:r>
              <w:rPr>
                <w:rFonts w:hint="default"/>
                <w:color w:val="000000"/>
                <w:lang w:val="en-US" w:eastAsia="zh-CN"/>
              </w:rPr>
              <w:t>4.8</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165E59F">
            <w:pPr>
              <w:pStyle w:val="10"/>
              <w:bidi w:val="0"/>
              <w:jc w:val="center"/>
              <w:rPr>
                <w:rFonts w:hint="default"/>
                <w:color w:val="000000"/>
              </w:rPr>
            </w:pPr>
            <w:r>
              <w:rPr>
                <w:rFonts w:hint="default"/>
                <w:color w:val="000000"/>
                <w:lang w:val="en-US" w:eastAsia="zh-CN"/>
              </w:rPr>
              <w:t>1.9</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3EE1E97">
            <w:pPr>
              <w:pStyle w:val="10"/>
              <w:bidi w:val="0"/>
              <w:jc w:val="center"/>
              <w:rPr>
                <w:rFonts w:hint="default"/>
                <w:color w:val="000000"/>
              </w:rPr>
            </w:pPr>
            <w:r>
              <w:rPr>
                <w:rFonts w:hint="default"/>
                <w:color w:val="000000"/>
                <w:lang w:val="en-US" w:eastAsia="zh-CN"/>
              </w:rPr>
              <w:t>0.223</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6FA3030">
            <w:pPr>
              <w:pStyle w:val="10"/>
              <w:bidi w:val="0"/>
              <w:jc w:val="center"/>
              <w:rPr>
                <w:rFonts w:hint="default"/>
                <w:color w:val="000000"/>
              </w:rPr>
            </w:pPr>
            <w:r>
              <w:rPr>
                <w:rFonts w:hint="default"/>
                <w:color w:val="000000"/>
                <w:lang w:val="en-US" w:eastAsia="zh-CN"/>
              </w:rPr>
              <w:t>0.085</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A468154">
            <w:pPr>
              <w:pStyle w:val="10"/>
              <w:bidi w:val="0"/>
              <w:jc w:val="center"/>
              <w:rPr>
                <w:rFonts w:hint="default"/>
                <w:color w:val="000000"/>
              </w:rPr>
            </w:pPr>
            <w:r>
              <w:rPr>
                <w:rFonts w:hint="default"/>
                <w:color w:val="000000"/>
                <w:lang w:val="en-US" w:eastAsia="zh-CN"/>
              </w:rPr>
              <w:t>0.002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A58991A">
            <w:pPr>
              <w:pStyle w:val="10"/>
              <w:bidi w:val="0"/>
              <w:jc w:val="center"/>
              <w:rPr>
                <w:rFonts w:hint="default"/>
                <w:color w:val="000000"/>
              </w:rPr>
            </w:pPr>
            <w:r>
              <w:rPr>
                <w:rFonts w:hint="default"/>
                <w:color w:val="000000"/>
                <w:lang w:val="en-US" w:eastAsia="zh-CN"/>
              </w:rPr>
              <w:t>0.0005</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65D4C01">
            <w:pPr>
              <w:pStyle w:val="10"/>
              <w:bidi w:val="0"/>
              <w:jc w:val="center"/>
              <w:rPr>
                <w:rFonts w:hint="default"/>
                <w:color w:val="000000"/>
              </w:rPr>
            </w:pPr>
            <w:r>
              <w:rPr>
                <w:rFonts w:hint="default"/>
                <w:color w:val="000000"/>
                <w:lang w:val="en-US" w:eastAsia="zh-CN"/>
              </w:rPr>
              <w:t>0.11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B7BA74E">
            <w:pPr>
              <w:pStyle w:val="10"/>
              <w:bidi w:val="0"/>
              <w:jc w:val="center"/>
              <w:rPr>
                <w:rFonts w:hint="default"/>
                <w:color w:val="000000"/>
              </w:rPr>
            </w:pPr>
            <w:r>
              <w:rPr>
                <w:rFonts w:hint="default"/>
                <w:color w:val="000000"/>
                <w:lang w:val="en-US" w:eastAsia="zh-CN"/>
              </w:rPr>
              <w:t>0.00004</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B168C77">
            <w:pPr>
              <w:pStyle w:val="10"/>
              <w:bidi w:val="0"/>
              <w:jc w:val="center"/>
              <w:rPr>
                <w:rFonts w:hint="default"/>
                <w:color w:val="000000"/>
              </w:rPr>
            </w:pPr>
            <w:r>
              <w:rPr>
                <w:rFonts w:hint="default"/>
                <w:color w:val="000000"/>
                <w:lang w:val="en-US" w:eastAsia="zh-CN"/>
              </w:rPr>
              <w:t>0.00001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DD793D9">
            <w:pPr>
              <w:pStyle w:val="10"/>
              <w:bidi w:val="0"/>
              <w:jc w:val="center"/>
              <w:rPr>
                <w:rFonts w:hint="default"/>
                <w:color w:val="000000"/>
              </w:rPr>
            </w:pPr>
            <w:r>
              <w:rPr>
                <w:rFonts w:hint="default"/>
                <w:color w:val="000000"/>
                <w:lang w:val="en-US" w:eastAsia="zh-CN"/>
              </w:rPr>
              <w:t>0.00001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4A3DF16">
            <w:pPr>
              <w:pStyle w:val="10"/>
              <w:bidi w:val="0"/>
              <w:jc w:val="center"/>
              <w:rPr>
                <w:rFonts w:hint="default"/>
                <w:color w:val="000000"/>
              </w:rPr>
            </w:pPr>
            <w:r>
              <w:rPr>
                <w:rFonts w:hint="default"/>
                <w:color w:val="000000"/>
                <w:lang w:val="en-US" w:eastAsia="zh-CN"/>
              </w:rPr>
              <w:t>0.002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D091E90">
            <w:pPr>
              <w:pStyle w:val="10"/>
              <w:bidi w:val="0"/>
              <w:jc w:val="center"/>
              <w:rPr>
                <w:rFonts w:hint="default"/>
                <w:color w:val="000000"/>
              </w:rPr>
            </w:pPr>
            <w:r>
              <w:rPr>
                <w:rFonts w:hint="default"/>
                <w:color w:val="000000"/>
                <w:lang w:val="en-US" w:eastAsia="zh-CN"/>
              </w:rPr>
              <w:t>0.009</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8FEE26B">
            <w:pPr>
              <w:pStyle w:val="10"/>
              <w:bidi w:val="0"/>
              <w:jc w:val="center"/>
              <w:rPr>
                <w:rFonts w:hint="default"/>
                <w:color w:val="000000"/>
              </w:rPr>
            </w:pPr>
            <w:r>
              <w:rPr>
                <w:rFonts w:hint="default"/>
                <w:color w:val="000000"/>
                <w:lang w:val="en-US" w:eastAsia="zh-CN"/>
              </w:rPr>
              <w:t>0.0005</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FC1478C">
            <w:pPr>
              <w:pStyle w:val="10"/>
              <w:bidi w:val="0"/>
              <w:jc w:val="center"/>
              <w:rPr>
                <w:rFonts w:hint="default"/>
                <w:color w:val="000000"/>
              </w:rPr>
            </w:pPr>
            <w:r>
              <w:rPr>
                <w:rFonts w:hint="default"/>
                <w:color w:val="000000"/>
                <w:lang w:val="en-US" w:eastAsia="zh-CN"/>
              </w:rPr>
              <w:t>0.002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CF06BC6">
            <w:pPr>
              <w:pStyle w:val="10"/>
              <w:bidi w:val="0"/>
              <w:jc w:val="center"/>
              <w:rPr>
                <w:rFonts w:hint="default"/>
                <w:color w:val="000000"/>
              </w:rPr>
            </w:pPr>
            <w:r>
              <w:rPr>
                <w:rFonts w:hint="default"/>
                <w:color w:val="000000"/>
                <w:lang w:val="en-US" w:eastAsia="zh-CN"/>
              </w:rPr>
              <w:t>0.0006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4F602A3">
            <w:pPr>
              <w:pStyle w:val="10"/>
              <w:bidi w:val="0"/>
              <w:jc w:val="center"/>
              <w:rPr>
                <w:rFonts w:hint="default"/>
                <w:color w:val="000000"/>
              </w:rPr>
            </w:pPr>
            <w:r>
              <w:rPr>
                <w:rFonts w:hint="default"/>
                <w:color w:val="000000"/>
                <w:lang w:val="en-US" w:eastAsia="zh-CN"/>
              </w:rPr>
              <w:t>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FC2B3C2">
            <w:pPr>
              <w:pStyle w:val="10"/>
              <w:bidi w:val="0"/>
              <w:jc w:val="center"/>
              <w:rPr>
                <w:rFonts w:hint="default"/>
                <w:color w:val="000000"/>
              </w:rPr>
            </w:pPr>
            <w:r>
              <w:rPr>
                <w:rFonts w:hint="default"/>
                <w:color w:val="000000"/>
                <w:lang w:val="en-US" w:eastAsia="zh-CN"/>
              </w:rPr>
              <w:t>0.025</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D224921">
            <w:pPr>
              <w:pStyle w:val="10"/>
              <w:bidi w:val="0"/>
              <w:jc w:val="center"/>
              <w:rPr>
                <w:rFonts w:hint="default"/>
                <w:color w:val="000000"/>
              </w:rPr>
            </w:pPr>
            <w:r>
              <w:rPr>
                <w:color w:val="000000"/>
                <w:lang w:val="en-US" w:eastAsia="zh-CN"/>
              </w:rPr>
              <w:t xml:space="preserve">0 </w:t>
            </w:r>
            <w:r>
              <w:rPr>
                <w:rFonts w:hint="default"/>
                <w:color w:val="000000"/>
                <w:lang w:val="en-US" w:eastAsia="zh-CN"/>
              </w:rPr>
              <w:t>.</w:t>
            </w:r>
            <w:r>
              <w:rPr>
                <w:color w:val="000000"/>
                <w:lang w:val="en-US" w:eastAsia="zh-CN"/>
              </w:rPr>
              <w:t>0 13</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E3541DC">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FD4CDF7">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6BE737B9">
            <w:pPr>
              <w:pStyle w:val="10"/>
              <w:bidi w:val="0"/>
              <w:jc w:val="center"/>
              <w:rPr>
                <w:rFonts w:hint="default"/>
                <w:color w:val="000000"/>
              </w:rPr>
            </w:pPr>
          </w:p>
        </w:tc>
      </w:tr>
      <w:tr w14:paraId="79099B3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0" w:hRule="atLeast"/>
        </w:trPr>
        <w:tc>
          <w:tcPr>
            <w:tcW w:w="192" w:type="pct"/>
            <w:vMerge w:val="continue"/>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293B5B1">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3D50B5F">
            <w:pPr>
              <w:pStyle w:val="10"/>
              <w:bidi w:val="0"/>
              <w:jc w:val="center"/>
              <w:rPr>
                <w:rFonts w:hint="eastAsia"/>
                <w:color w:val="000000"/>
              </w:rPr>
            </w:pPr>
            <w:r>
              <w:rPr>
                <w:color w:val="000000"/>
                <w:lang w:val="en-US" w:eastAsia="zh-CN"/>
              </w:rPr>
              <w:t>平均值</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06BF6E0">
            <w:pPr>
              <w:pStyle w:val="10"/>
              <w:bidi w:val="0"/>
              <w:jc w:val="center"/>
              <w:rPr>
                <w:rFonts w:hint="default"/>
                <w:color w:val="000000"/>
              </w:rPr>
            </w:pPr>
            <w:r>
              <w:rPr>
                <w:rFonts w:hint="default"/>
                <w:color w:val="000000"/>
                <w:lang w:val="en-US" w:eastAsia="zh-CN"/>
              </w:rPr>
              <w:t>7.63</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F546F0E">
            <w:pPr>
              <w:pStyle w:val="10"/>
              <w:bidi w:val="0"/>
              <w:jc w:val="center"/>
              <w:rPr>
                <w:rFonts w:hint="default"/>
                <w:color w:val="000000"/>
              </w:rPr>
            </w:pPr>
            <w:r>
              <w:rPr>
                <w:rFonts w:hint="default"/>
                <w:color w:val="000000"/>
                <w:lang w:val="en-US" w:eastAsia="zh-CN"/>
              </w:rPr>
              <w:t>8.0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31821D9">
            <w:pPr>
              <w:pStyle w:val="10"/>
              <w:bidi w:val="0"/>
              <w:jc w:val="center"/>
              <w:rPr>
                <w:rFonts w:hint="default"/>
                <w:color w:val="000000"/>
              </w:rPr>
            </w:pPr>
            <w:r>
              <w:rPr>
                <w:rFonts w:hint="default"/>
                <w:color w:val="000000"/>
                <w:lang w:val="en-US" w:eastAsia="zh-CN"/>
              </w:rPr>
              <w:t>2.7</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758082D">
            <w:pPr>
              <w:pStyle w:val="10"/>
              <w:bidi w:val="0"/>
              <w:jc w:val="center"/>
              <w:rPr>
                <w:rFonts w:hint="default"/>
                <w:color w:val="000000"/>
              </w:rPr>
            </w:pPr>
            <w:r>
              <w:rPr>
                <w:rFonts w:hint="default"/>
                <w:color w:val="000000"/>
                <w:lang w:val="en-US" w:eastAsia="zh-CN"/>
              </w:rPr>
              <w:t>8.9</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2C294B9">
            <w:pPr>
              <w:pStyle w:val="10"/>
              <w:bidi w:val="0"/>
              <w:jc w:val="center"/>
              <w:rPr>
                <w:rFonts w:hint="default"/>
                <w:color w:val="000000"/>
              </w:rPr>
            </w:pPr>
            <w:r>
              <w:rPr>
                <w:rFonts w:hint="default"/>
                <w:color w:val="000000"/>
                <w:lang w:val="en-US" w:eastAsia="zh-CN"/>
              </w:rPr>
              <w:t>2.5</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177F4C5">
            <w:pPr>
              <w:pStyle w:val="10"/>
              <w:bidi w:val="0"/>
              <w:jc w:val="center"/>
              <w:rPr>
                <w:rFonts w:hint="default"/>
                <w:color w:val="000000"/>
              </w:rPr>
            </w:pPr>
            <w:r>
              <w:rPr>
                <w:rFonts w:hint="default"/>
                <w:color w:val="000000"/>
                <w:lang w:val="en-US" w:eastAsia="zh-CN"/>
              </w:rPr>
              <w:t>0.328</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EB475BF">
            <w:pPr>
              <w:pStyle w:val="10"/>
              <w:bidi w:val="0"/>
              <w:jc w:val="center"/>
              <w:rPr>
                <w:rFonts w:hint="default"/>
                <w:color w:val="000000"/>
              </w:rPr>
            </w:pPr>
            <w:r>
              <w:rPr>
                <w:rFonts w:hint="default"/>
                <w:color w:val="000000"/>
                <w:lang w:val="en-US" w:eastAsia="zh-CN"/>
              </w:rPr>
              <w:t>0.108</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CF5637B">
            <w:pPr>
              <w:pStyle w:val="10"/>
              <w:bidi w:val="0"/>
              <w:jc w:val="center"/>
              <w:rPr>
                <w:rFonts w:hint="default"/>
                <w:color w:val="000000"/>
              </w:rPr>
            </w:pPr>
            <w:r>
              <w:rPr>
                <w:rFonts w:hint="default"/>
                <w:color w:val="000000"/>
                <w:lang w:val="en-US" w:eastAsia="zh-CN"/>
              </w:rPr>
              <w:t>0.002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D86DED7">
            <w:pPr>
              <w:pStyle w:val="10"/>
              <w:bidi w:val="0"/>
              <w:jc w:val="center"/>
              <w:rPr>
                <w:rFonts w:hint="default"/>
                <w:color w:val="000000"/>
              </w:rPr>
            </w:pPr>
            <w:r>
              <w:rPr>
                <w:rFonts w:hint="default"/>
                <w:color w:val="000000"/>
                <w:lang w:val="en-US" w:eastAsia="zh-CN"/>
              </w:rPr>
              <w:t>0.010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A10B8EC">
            <w:pPr>
              <w:pStyle w:val="10"/>
              <w:bidi w:val="0"/>
              <w:jc w:val="center"/>
              <w:rPr>
                <w:rFonts w:hint="default"/>
                <w:color w:val="000000"/>
              </w:rPr>
            </w:pPr>
            <w:r>
              <w:rPr>
                <w:rFonts w:hint="default"/>
                <w:color w:val="000000"/>
                <w:lang w:val="en-US" w:eastAsia="zh-CN"/>
              </w:rPr>
              <w:t>0.25</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E9CB872">
            <w:pPr>
              <w:pStyle w:val="10"/>
              <w:bidi w:val="0"/>
              <w:jc w:val="center"/>
              <w:rPr>
                <w:rFonts w:hint="default"/>
                <w:color w:val="000000"/>
              </w:rPr>
            </w:pPr>
            <w:r>
              <w:rPr>
                <w:rFonts w:hint="default"/>
                <w:color w:val="000000"/>
                <w:lang w:val="en-US" w:eastAsia="zh-CN"/>
              </w:rPr>
              <w:t>0.00004</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F0E15A3">
            <w:pPr>
              <w:pStyle w:val="10"/>
              <w:bidi w:val="0"/>
              <w:jc w:val="center"/>
              <w:rPr>
                <w:rFonts w:hint="default"/>
                <w:color w:val="000000"/>
              </w:rPr>
            </w:pPr>
            <w:r>
              <w:rPr>
                <w:rFonts w:hint="default"/>
                <w:color w:val="000000"/>
                <w:lang w:val="en-US" w:eastAsia="zh-CN"/>
              </w:rPr>
              <w:t>0.00001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AC814B0">
            <w:pPr>
              <w:pStyle w:val="10"/>
              <w:bidi w:val="0"/>
              <w:jc w:val="center"/>
              <w:rPr>
                <w:rFonts w:hint="default"/>
                <w:color w:val="000000"/>
              </w:rPr>
            </w:pPr>
            <w:r>
              <w:rPr>
                <w:rFonts w:hint="default"/>
                <w:color w:val="000000"/>
                <w:lang w:val="en-US" w:eastAsia="zh-CN"/>
              </w:rPr>
              <w:t>0.00001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F7BD187">
            <w:pPr>
              <w:pStyle w:val="10"/>
              <w:bidi w:val="0"/>
              <w:jc w:val="center"/>
              <w:rPr>
                <w:rFonts w:hint="default"/>
                <w:color w:val="000000"/>
              </w:rPr>
            </w:pPr>
            <w:r>
              <w:rPr>
                <w:rFonts w:hint="default"/>
                <w:color w:val="000000"/>
                <w:lang w:val="en-US" w:eastAsia="zh-CN"/>
              </w:rPr>
              <w:t>0.002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16DC739">
            <w:pPr>
              <w:pStyle w:val="10"/>
              <w:bidi w:val="0"/>
              <w:jc w:val="center"/>
              <w:rPr>
                <w:rFonts w:hint="default"/>
                <w:color w:val="000000"/>
              </w:rPr>
            </w:pPr>
            <w:r>
              <w:rPr>
                <w:rFonts w:hint="default"/>
                <w:color w:val="000000"/>
                <w:lang w:val="en-US" w:eastAsia="zh-CN"/>
              </w:rPr>
              <w:t>0.012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92CD60E">
            <w:pPr>
              <w:pStyle w:val="10"/>
              <w:bidi w:val="0"/>
              <w:jc w:val="center"/>
              <w:rPr>
                <w:rFonts w:hint="default"/>
                <w:color w:val="000000"/>
              </w:rPr>
            </w:pPr>
            <w:r>
              <w:rPr>
                <w:rFonts w:hint="default"/>
                <w:color w:val="000000"/>
                <w:lang w:val="en-US" w:eastAsia="zh-CN"/>
              </w:rPr>
              <w:t>0.0005</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5D99DA0">
            <w:pPr>
              <w:pStyle w:val="10"/>
              <w:bidi w:val="0"/>
              <w:jc w:val="center"/>
              <w:rPr>
                <w:rFonts w:hint="default"/>
                <w:color w:val="000000"/>
              </w:rPr>
            </w:pPr>
            <w:r>
              <w:rPr>
                <w:rFonts w:hint="default"/>
                <w:color w:val="000000"/>
                <w:lang w:val="en-US" w:eastAsia="zh-CN"/>
              </w:rPr>
              <w:t>0.002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B026CE9">
            <w:pPr>
              <w:pStyle w:val="10"/>
              <w:bidi w:val="0"/>
              <w:jc w:val="center"/>
              <w:rPr>
                <w:rFonts w:hint="default"/>
                <w:color w:val="000000"/>
              </w:rPr>
            </w:pPr>
            <w:r>
              <w:rPr>
                <w:rFonts w:hint="default"/>
                <w:color w:val="000000"/>
                <w:lang w:val="en-US" w:eastAsia="zh-CN"/>
              </w:rPr>
              <w:t>0.0019</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8A0712C">
            <w:pPr>
              <w:pStyle w:val="10"/>
              <w:bidi w:val="0"/>
              <w:jc w:val="center"/>
              <w:rPr>
                <w:rFonts w:hint="default"/>
                <w:color w:val="000000"/>
              </w:rPr>
            </w:pPr>
            <w:r>
              <w:rPr>
                <w:rFonts w:hint="default"/>
                <w:color w:val="000000"/>
                <w:lang w:val="en-US" w:eastAsia="zh-CN"/>
              </w:rPr>
              <w:t>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48A5FFA">
            <w:pPr>
              <w:pStyle w:val="10"/>
              <w:bidi w:val="0"/>
              <w:jc w:val="center"/>
              <w:rPr>
                <w:rFonts w:hint="default"/>
                <w:color w:val="000000"/>
              </w:rPr>
            </w:pPr>
            <w:r>
              <w:rPr>
                <w:rFonts w:hint="default"/>
                <w:color w:val="000000"/>
                <w:lang w:val="en-US" w:eastAsia="zh-CN"/>
              </w:rPr>
              <w:t>0.071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07916C9">
            <w:pPr>
              <w:pStyle w:val="10"/>
              <w:bidi w:val="0"/>
              <w:jc w:val="center"/>
              <w:rPr>
                <w:rFonts w:hint="default"/>
                <w:color w:val="000000"/>
              </w:rPr>
            </w:pPr>
            <w:r>
              <w:rPr>
                <w:rFonts w:hint="default"/>
                <w:color w:val="000000"/>
                <w:lang w:val="en-US" w:eastAsia="zh-CN"/>
              </w:rPr>
              <w:t>0.028</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1EC9D4F">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00BA9BC">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679953EF">
            <w:pPr>
              <w:pStyle w:val="10"/>
              <w:bidi w:val="0"/>
              <w:jc w:val="center"/>
              <w:rPr>
                <w:rFonts w:hint="default"/>
                <w:color w:val="000000"/>
              </w:rPr>
            </w:pPr>
          </w:p>
        </w:tc>
      </w:tr>
      <w:tr w14:paraId="479CE80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15" w:hRule="atLeast"/>
        </w:trPr>
        <w:tc>
          <w:tcPr>
            <w:tcW w:w="192" w:type="pct"/>
            <w:vMerge w:val="continue"/>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98AD17E">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5C5ACE5">
            <w:pPr>
              <w:pStyle w:val="10"/>
              <w:bidi w:val="0"/>
              <w:jc w:val="center"/>
              <w:rPr>
                <w:rFonts w:hint="eastAsia"/>
                <w:color w:val="000000"/>
              </w:rPr>
            </w:pPr>
            <w:r>
              <w:rPr>
                <w:color w:val="000000"/>
                <w:lang w:val="en-US" w:eastAsia="zh-CN"/>
              </w:rPr>
              <w:t>水质类别</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305024C">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386CECD">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DBD2421">
            <w:pPr>
              <w:pStyle w:val="10"/>
              <w:bidi w:val="0"/>
              <w:jc w:val="center"/>
              <w:rPr>
                <w:rFonts w:hint="default"/>
                <w:color w:val="000000"/>
              </w:rPr>
            </w:pPr>
            <w:r>
              <w:rPr>
                <w:rFonts w:hint="default"/>
                <w:color w:val="000000"/>
                <w:lang w:val="en-US" w:eastAsia="zh-CN"/>
              </w:rPr>
              <w:t>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3522349">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D789CCA">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26D851E">
            <w:pPr>
              <w:pStyle w:val="10"/>
              <w:bidi w:val="0"/>
              <w:jc w:val="center"/>
              <w:rPr>
                <w:rFonts w:hint="default"/>
                <w:color w:val="000000"/>
              </w:rPr>
            </w:pPr>
            <w:r>
              <w:rPr>
                <w:rFonts w:hint="default"/>
                <w:color w:val="000000"/>
                <w:lang w:val="en-US" w:eastAsia="zh-CN"/>
              </w:rPr>
              <w:t>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6C6AF52">
            <w:pPr>
              <w:pStyle w:val="10"/>
              <w:bidi w:val="0"/>
              <w:jc w:val="center"/>
              <w:rPr>
                <w:rFonts w:hint="default"/>
                <w:color w:val="000000"/>
              </w:rPr>
            </w:pPr>
            <w:r>
              <w:rPr>
                <w:rFonts w:hint="default"/>
                <w:color w:val="000000"/>
                <w:lang w:val="en-US" w:eastAsia="zh-CN"/>
              </w:rPr>
              <w:t>2</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D7DAA9C">
            <w:pPr>
              <w:pStyle w:val="10"/>
              <w:bidi w:val="0"/>
              <w:jc w:val="center"/>
              <w:rPr>
                <w:rFonts w:hint="default"/>
                <w:color w:val="000000"/>
              </w:rPr>
            </w:pPr>
            <w:r>
              <w:rPr>
                <w:color w:val="000000"/>
                <w:lang w:val="en-US" w:eastAsia="zh-CN"/>
              </w:rPr>
              <w:t>I</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CAA0786">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44F2F72">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E45912B">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323AC47">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7291CD2">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5616F1C">
            <w:pPr>
              <w:pStyle w:val="10"/>
              <w:bidi w:val="0"/>
              <w:jc w:val="center"/>
              <w:rPr>
                <w:rFonts w:hint="default"/>
                <w:color w:val="000000"/>
              </w:rPr>
            </w:pPr>
            <w:r>
              <w:rPr>
                <w:rFonts w:hint="default"/>
                <w:color w:val="000000"/>
                <w:lang w:val="en-US" w:eastAsia="zh-CN"/>
              </w:rPr>
              <w:t>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7982B58">
            <w:pPr>
              <w:pStyle w:val="10"/>
              <w:bidi w:val="0"/>
              <w:jc w:val="center"/>
              <w:rPr>
                <w:rFonts w:hint="default"/>
                <w:color w:val="000000"/>
              </w:rPr>
            </w:pPr>
            <w:r>
              <w:rPr>
                <w:rFonts w:hint="default"/>
                <w:color w:val="000000"/>
                <w:lang w:val="en-US" w:eastAsia="zh-CN"/>
              </w:rPr>
              <w:t>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7CDDAB2">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CB13898">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D0BDC51">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7C3A213">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505AB43">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870A03E">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57A0619">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2ADDB28">
            <w:pPr>
              <w:pStyle w:val="10"/>
              <w:bidi w:val="0"/>
              <w:jc w:val="center"/>
              <w:rPr>
                <w:rFonts w:hint="default"/>
                <w:color w:val="000000"/>
              </w:rPr>
            </w:pPr>
            <w:r>
              <w:rPr>
                <w:rFonts w:hint="default"/>
                <w:color w:val="000000"/>
                <w:lang w:val="en-US" w:eastAsia="zh-CN"/>
              </w:rPr>
              <w:t>2</w:t>
            </w:r>
          </w:p>
        </w:tc>
        <w:tc>
          <w:tcPr>
            <w:tcW w:w="19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662E9AAE">
            <w:pPr>
              <w:pStyle w:val="10"/>
              <w:bidi w:val="0"/>
              <w:jc w:val="center"/>
              <w:rPr>
                <w:rFonts w:hint="default"/>
                <w:color w:val="000000"/>
              </w:rPr>
            </w:pPr>
          </w:p>
        </w:tc>
      </w:tr>
      <w:tr w14:paraId="4572BC1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85" w:hRule="atLeast"/>
        </w:trPr>
        <w:tc>
          <w:tcPr>
            <w:tcW w:w="192" w:type="pct"/>
            <w:vMerge w:val="continue"/>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D6B9A8A">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BC21CA4">
            <w:pPr>
              <w:pStyle w:val="10"/>
              <w:bidi w:val="0"/>
              <w:jc w:val="center"/>
              <w:rPr>
                <w:rFonts w:hint="default"/>
                <w:color w:val="000000"/>
              </w:rPr>
            </w:pPr>
            <w:r>
              <w:rPr>
                <w:color w:val="000000"/>
                <w:lang w:val="en-US" w:eastAsia="zh-CN"/>
              </w:rPr>
              <w:t>超标</w:t>
            </w:r>
            <w:r>
              <w:rPr>
                <w:color w:val="000000"/>
                <w:lang w:val="en-US" w:eastAsia="zh-CN"/>
              </w:rPr>
              <w:br w:type="textWrapping"/>
            </w:r>
            <w:r>
              <w:rPr>
                <w:color w:val="000000"/>
                <w:lang w:val="en-US" w:eastAsia="zh-CN"/>
              </w:rPr>
              <w:t>率％</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0A98B9E">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E4D1C6E">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0601EA5">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D726D08">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B3907EB">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BF3566A">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24D8640">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A0E3ABB">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728F6D1">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0E256D8">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1988F1F">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701791C">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F985E76">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E3072F5">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A00669F">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CF9D543">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3D738CE">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31FA9A7">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F37B071">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FA9232F">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99D592B">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64FA7AD">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56C5040">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14:paraId="76B21ECF">
            <w:pPr>
              <w:pStyle w:val="10"/>
              <w:bidi w:val="0"/>
              <w:jc w:val="center"/>
              <w:rPr>
                <w:rFonts w:hint="default"/>
                <w:color w:val="000000"/>
              </w:rPr>
            </w:pPr>
            <w:r>
              <w:rPr>
                <w:rFonts w:hint="default"/>
                <w:color w:val="000000"/>
                <w:lang w:val="en-US" w:eastAsia="zh-CN"/>
              </w:rPr>
              <w:t>3</w:t>
            </w:r>
          </w:p>
        </w:tc>
      </w:tr>
      <w:tr w14:paraId="3775ACE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65" w:hRule="atLeast"/>
        </w:trPr>
        <w:tc>
          <w:tcPr>
            <w:tcW w:w="192" w:type="pct"/>
            <w:vMerge w:val="continue"/>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E948788">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80A05AD">
            <w:pPr>
              <w:pStyle w:val="10"/>
              <w:bidi w:val="0"/>
              <w:jc w:val="center"/>
              <w:rPr>
                <w:rFonts w:hint="eastAsia"/>
                <w:color w:val="000000"/>
              </w:rPr>
            </w:pPr>
            <w:r>
              <w:rPr>
                <w:color w:val="000000"/>
                <w:lang w:val="en-US" w:eastAsia="zh-CN"/>
              </w:rPr>
              <w:t>污染指数</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D427ED5">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94CD2CB">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C4D3A04">
            <w:pPr>
              <w:pStyle w:val="10"/>
              <w:bidi w:val="0"/>
              <w:jc w:val="center"/>
              <w:rPr>
                <w:rFonts w:hint="default"/>
                <w:color w:val="000000"/>
              </w:rPr>
            </w:pPr>
            <w:r>
              <w:rPr>
                <w:rFonts w:hint="default"/>
                <w:color w:val="000000"/>
                <w:lang w:val="en-US" w:eastAsia="zh-CN"/>
              </w:rPr>
              <w:t>0.46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123FE14">
            <w:pPr>
              <w:pStyle w:val="10"/>
              <w:bidi w:val="0"/>
              <w:jc w:val="center"/>
              <w:rPr>
                <w:rFonts w:hint="default"/>
                <w:color w:val="000000"/>
              </w:rPr>
            </w:pPr>
            <w:r>
              <w:rPr>
                <w:rFonts w:hint="default"/>
                <w:color w:val="000000"/>
                <w:lang w:val="en-US" w:eastAsia="zh-CN"/>
              </w:rPr>
              <w:t>0.44</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3F1907F">
            <w:pPr>
              <w:pStyle w:val="10"/>
              <w:bidi w:val="0"/>
              <w:jc w:val="center"/>
              <w:rPr>
                <w:rFonts w:hint="default"/>
                <w:color w:val="000000"/>
              </w:rPr>
            </w:pPr>
            <w:r>
              <w:rPr>
                <w:rFonts w:hint="default"/>
                <w:color w:val="000000"/>
                <w:lang w:val="en-US" w:eastAsia="zh-CN"/>
              </w:rPr>
              <w:t>0.63</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8670C6D">
            <w:pPr>
              <w:pStyle w:val="10"/>
              <w:bidi w:val="0"/>
              <w:jc w:val="center"/>
              <w:rPr>
                <w:rFonts w:hint="default"/>
                <w:color w:val="000000"/>
              </w:rPr>
            </w:pPr>
            <w:r>
              <w:rPr>
                <w:rFonts w:hint="default"/>
                <w:color w:val="000000"/>
                <w:lang w:val="en-US" w:eastAsia="zh-CN"/>
              </w:rPr>
              <w:t>0.33</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0A8E77E">
            <w:pPr>
              <w:pStyle w:val="10"/>
              <w:bidi w:val="0"/>
              <w:jc w:val="center"/>
              <w:rPr>
                <w:rFonts w:hint="default"/>
                <w:color w:val="000000"/>
              </w:rPr>
            </w:pPr>
            <w:r>
              <w:rPr>
                <w:rFonts w:hint="default"/>
                <w:color w:val="000000"/>
                <w:lang w:val="en-US" w:eastAsia="zh-CN"/>
              </w:rPr>
              <w:t>0.54</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2DBAC3B">
            <w:pPr>
              <w:pStyle w:val="10"/>
              <w:bidi w:val="0"/>
              <w:jc w:val="center"/>
              <w:rPr>
                <w:rFonts w:hint="default"/>
                <w:color w:val="000000"/>
              </w:rPr>
            </w:pPr>
            <w:r>
              <w:rPr>
                <w:rFonts w:hint="default"/>
                <w:color w:val="000000"/>
                <w:lang w:val="en-US" w:eastAsia="zh-CN"/>
              </w:rPr>
              <w:t>0.00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ADF0B28">
            <w:pPr>
              <w:pStyle w:val="10"/>
              <w:bidi w:val="0"/>
              <w:jc w:val="center"/>
              <w:rPr>
                <w:rFonts w:hint="default"/>
                <w:color w:val="000000"/>
              </w:rPr>
            </w:pPr>
            <w:r>
              <w:rPr>
                <w:rFonts w:hint="default"/>
                <w:color w:val="000000"/>
                <w:lang w:val="en-US" w:eastAsia="zh-CN"/>
              </w:rPr>
              <w:t>0.01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7903ECD">
            <w:pPr>
              <w:pStyle w:val="10"/>
              <w:bidi w:val="0"/>
              <w:jc w:val="center"/>
              <w:rPr>
                <w:rFonts w:hint="default"/>
                <w:color w:val="000000"/>
              </w:rPr>
            </w:pPr>
            <w:r>
              <w:rPr>
                <w:rFonts w:hint="default"/>
                <w:color w:val="000000"/>
                <w:lang w:val="en-US" w:eastAsia="zh-CN"/>
              </w:rPr>
              <w:t>0.25</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E63E7A2">
            <w:pPr>
              <w:pStyle w:val="10"/>
              <w:bidi w:val="0"/>
              <w:jc w:val="center"/>
              <w:rPr>
                <w:rFonts w:hint="default"/>
                <w:color w:val="000000"/>
              </w:rPr>
            </w:pPr>
            <w:r>
              <w:rPr>
                <w:rFonts w:hint="default"/>
                <w:color w:val="000000"/>
                <w:lang w:val="en-US" w:eastAsia="zh-CN"/>
              </w:rPr>
              <w:t>0.00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FA274C3">
            <w:pPr>
              <w:pStyle w:val="10"/>
              <w:bidi w:val="0"/>
              <w:jc w:val="center"/>
              <w:rPr>
                <w:rFonts w:hint="default"/>
                <w:color w:val="000000"/>
              </w:rPr>
            </w:pPr>
            <w:r>
              <w:rPr>
                <w:rFonts w:hint="default"/>
                <w:color w:val="000000"/>
                <w:lang w:val="en-US" w:eastAsia="zh-CN"/>
              </w:rPr>
              <w:t>0.00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2ABE217">
            <w:pPr>
              <w:pStyle w:val="10"/>
              <w:bidi w:val="0"/>
              <w:jc w:val="center"/>
              <w:rPr>
                <w:rFonts w:hint="default"/>
                <w:color w:val="000000"/>
              </w:rPr>
            </w:pPr>
            <w:r>
              <w:rPr>
                <w:rFonts w:hint="default"/>
                <w:color w:val="000000"/>
                <w:lang w:val="en-US" w:eastAsia="zh-CN"/>
              </w:rPr>
              <w:t>0.10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0762BFE">
            <w:pPr>
              <w:pStyle w:val="10"/>
              <w:bidi w:val="0"/>
              <w:jc w:val="center"/>
              <w:rPr>
                <w:rFonts w:hint="default"/>
                <w:color w:val="000000"/>
              </w:rPr>
            </w:pPr>
            <w:r>
              <w:rPr>
                <w:rFonts w:hint="default"/>
                <w:color w:val="000000"/>
                <w:lang w:val="en-US" w:eastAsia="zh-CN"/>
              </w:rPr>
              <w:t>0.40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1996200">
            <w:pPr>
              <w:pStyle w:val="10"/>
              <w:bidi w:val="0"/>
              <w:jc w:val="center"/>
              <w:rPr>
                <w:rFonts w:hint="default"/>
                <w:color w:val="000000"/>
              </w:rPr>
            </w:pPr>
            <w:r>
              <w:rPr>
                <w:rFonts w:hint="default"/>
                <w:color w:val="000000"/>
                <w:lang w:val="en-US" w:eastAsia="zh-CN"/>
              </w:rPr>
              <w:t>0.23</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C8F8B4A">
            <w:pPr>
              <w:pStyle w:val="10"/>
              <w:bidi w:val="0"/>
              <w:jc w:val="center"/>
              <w:rPr>
                <w:rFonts w:hint="default"/>
                <w:color w:val="000000"/>
              </w:rPr>
            </w:pPr>
            <w:r>
              <w:rPr>
                <w:rFonts w:hint="default"/>
                <w:color w:val="000000"/>
                <w:lang w:val="en-US" w:eastAsia="zh-CN"/>
              </w:rPr>
              <w:t>0.01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6E31913">
            <w:pPr>
              <w:pStyle w:val="10"/>
              <w:bidi w:val="0"/>
              <w:jc w:val="center"/>
              <w:rPr>
                <w:rFonts w:hint="default"/>
                <w:color w:val="000000"/>
              </w:rPr>
            </w:pPr>
            <w:r>
              <w:rPr>
                <w:rFonts w:hint="default"/>
                <w:color w:val="000000"/>
                <w:lang w:val="en-US" w:eastAsia="zh-CN"/>
              </w:rPr>
              <w:t>0.01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F0B78FE">
            <w:pPr>
              <w:pStyle w:val="10"/>
              <w:bidi w:val="0"/>
              <w:jc w:val="center"/>
              <w:rPr>
                <w:rFonts w:hint="default"/>
                <w:color w:val="000000"/>
              </w:rPr>
            </w:pPr>
            <w:r>
              <w:rPr>
                <w:rFonts w:hint="default"/>
                <w:color w:val="000000"/>
                <w:lang w:val="en-US" w:eastAsia="zh-CN"/>
              </w:rPr>
              <w:t>0.38</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540680D">
            <w:pPr>
              <w:pStyle w:val="10"/>
              <w:bidi w:val="0"/>
              <w:jc w:val="center"/>
              <w:rPr>
                <w:rFonts w:hint="default"/>
                <w:color w:val="000000"/>
              </w:rPr>
            </w:pPr>
            <w:r>
              <w:rPr>
                <w:rFonts w:hint="default"/>
                <w:color w:val="000000"/>
                <w:lang w:val="en-US" w:eastAsia="zh-CN"/>
              </w:rPr>
              <w:t>0.40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FF1A5A6">
            <w:pPr>
              <w:pStyle w:val="10"/>
              <w:bidi w:val="0"/>
              <w:jc w:val="center"/>
              <w:rPr>
                <w:rFonts w:hint="default"/>
                <w:color w:val="000000"/>
              </w:rPr>
            </w:pPr>
            <w:r>
              <w:rPr>
                <w:rFonts w:hint="default"/>
                <w:color w:val="000000"/>
                <w:lang w:val="en-US" w:eastAsia="zh-CN"/>
              </w:rPr>
              <w:t>0.36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04AFC60">
            <w:pPr>
              <w:pStyle w:val="10"/>
              <w:bidi w:val="0"/>
              <w:jc w:val="center"/>
              <w:rPr>
                <w:rFonts w:hint="default"/>
                <w:color w:val="000000"/>
              </w:rPr>
            </w:pPr>
            <w:r>
              <w:rPr>
                <w:rFonts w:hint="default"/>
                <w:color w:val="000000"/>
                <w:lang w:val="en-US" w:eastAsia="zh-CN"/>
              </w:rPr>
              <w:t>0.14</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B3B8F56">
            <w:pPr>
              <w:pStyle w:val="10"/>
              <w:bidi w:val="0"/>
              <w:jc w:val="center"/>
              <w:rPr>
                <w:rFonts w:hint="default"/>
                <w:color w:val="000000"/>
              </w:rPr>
            </w:pPr>
            <w:r>
              <w:rPr>
                <w:rFonts w:hint="default"/>
                <w:color w:val="000000"/>
                <w:lang w:val="en-US" w:eastAsia="zh-CN"/>
              </w:rPr>
              <w:t>0.25</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B2EF9C8">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14:paraId="12A2BB26">
            <w:pPr>
              <w:pStyle w:val="10"/>
              <w:bidi w:val="0"/>
              <w:jc w:val="center"/>
              <w:rPr>
                <w:rFonts w:hint="default"/>
                <w:color w:val="000000"/>
              </w:rPr>
            </w:pPr>
            <w:r>
              <w:rPr>
                <w:rFonts w:hint="default"/>
                <w:color w:val="000000"/>
                <w:lang w:val="en-US" w:eastAsia="zh-CN"/>
              </w:rPr>
              <w:t>3</w:t>
            </w:r>
          </w:p>
        </w:tc>
      </w:tr>
      <w:tr w14:paraId="5EE74627">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10" w:hRule="atLeast"/>
        </w:trPr>
        <w:tc>
          <w:tcPr>
            <w:tcW w:w="192" w:type="pct"/>
            <w:vMerge w:val="restar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5DAA719">
            <w:pPr>
              <w:pStyle w:val="10"/>
              <w:bidi w:val="0"/>
              <w:jc w:val="center"/>
              <w:rPr>
                <w:rFonts w:hint="default"/>
                <w:color w:val="000000"/>
              </w:rPr>
            </w:pPr>
            <w:r>
              <w:rPr>
                <w:rFonts w:hint="eastAsia"/>
                <w:color w:val="000000"/>
                <w:lang w:val="en-US" w:eastAsia="zh-CN"/>
              </w:rPr>
              <w:t>凌</w:t>
            </w:r>
            <w:r>
              <w:rPr>
                <w:color w:val="000000"/>
                <w:lang w:val="en-US" w:eastAsia="zh-CN"/>
              </w:rPr>
              <w:t>江口</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E8A13B1">
            <w:pPr>
              <w:pStyle w:val="10"/>
              <w:bidi w:val="0"/>
              <w:jc w:val="center"/>
              <w:rPr>
                <w:rFonts w:hint="eastAsia"/>
                <w:color w:val="000000"/>
              </w:rPr>
            </w:pPr>
            <w:r>
              <w:rPr>
                <w:color w:val="000000"/>
                <w:lang w:val="en-US" w:eastAsia="zh-CN"/>
              </w:rPr>
              <w:t>样品数</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977CFDB">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88AC231">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A077861">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09D9441">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8747D2B">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89C4BDE">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48E2544">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3498926">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324AB70">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E28DDD9">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9D06FB9">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798243B">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9B9C51D">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BA7643F">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49DE55A">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792CF92">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173D28B">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1350292">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029B04C">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5407727">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9A31D07">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33DA848">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E5FF112">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59C2D126">
            <w:pPr>
              <w:pStyle w:val="10"/>
              <w:bidi w:val="0"/>
              <w:jc w:val="center"/>
              <w:rPr>
                <w:rFonts w:hint="default"/>
                <w:color w:val="000000"/>
              </w:rPr>
            </w:pPr>
          </w:p>
        </w:tc>
      </w:tr>
      <w:tr w14:paraId="139EA49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05" w:hRule="atLeast"/>
        </w:trPr>
        <w:tc>
          <w:tcPr>
            <w:tcW w:w="192" w:type="pct"/>
            <w:vMerge w:val="continue"/>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82FAE66">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0052353">
            <w:pPr>
              <w:pStyle w:val="10"/>
              <w:bidi w:val="0"/>
              <w:jc w:val="center"/>
              <w:rPr>
                <w:rFonts w:hint="eastAsia"/>
                <w:color w:val="000000"/>
              </w:rPr>
            </w:pPr>
            <w:r>
              <w:rPr>
                <w:color w:val="000000"/>
                <w:lang w:val="en-US" w:eastAsia="zh-CN"/>
              </w:rPr>
              <w:t>最大值</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F2A3439">
            <w:pPr>
              <w:pStyle w:val="10"/>
              <w:bidi w:val="0"/>
              <w:jc w:val="center"/>
              <w:rPr>
                <w:rFonts w:hint="default"/>
                <w:color w:val="000000"/>
              </w:rPr>
            </w:pPr>
            <w:r>
              <w:rPr>
                <w:rFonts w:hint="default"/>
                <w:color w:val="000000"/>
                <w:lang w:val="en-US" w:eastAsia="zh-CN"/>
              </w:rPr>
              <w:t>7.86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89DB606">
            <w:pPr>
              <w:pStyle w:val="10"/>
              <w:bidi w:val="0"/>
              <w:jc w:val="center"/>
              <w:rPr>
                <w:rFonts w:hint="default"/>
                <w:color w:val="000000"/>
              </w:rPr>
            </w:pPr>
            <w:r>
              <w:rPr>
                <w:rFonts w:hint="default"/>
                <w:color w:val="000000"/>
                <w:lang w:val="en-US" w:eastAsia="zh-CN"/>
              </w:rPr>
              <w:t>9.9</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2833379">
            <w:pPr>
              <w:pStyle w:val="10"/>
              <w:bidi w:val="0"/>
              <w:jc w:val="center"/>
              <w:rPr>
                <w:rFonts w:hint="default"/>
                <w:color w:val="000000"/>
              </w:rPr>
            </w:pPr>
            <w:r>
              <w:rPr>
                <w:rFonts w:hint="default"/>
                <w:color w:val="000000"/>
                <w:lang w:val="en-US" w:eastAsia="zh-CN"/>
              </w:rPr>
              <w:t>3.5</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483D102">
            <w:pPr>
              <w:pStyle w:val="10"/>
              <w:bidi w:val="0"/>
              <w:jc w:val="center"/>
              <w:rPr>
                <w:rFonts w:hint="default"/>
                <w:color w:val="000000"/>
              </w:rPr>
            </w:pPr>
            <w:r>
              <w:rPr>
                <w:rFonts w:hint="default"/>
                <w:color w:val="000000"/>
                <w:lang w:val="en-US" w:eastAsia="zh-CN"/>
              </w:rPr>
              <w:t>9.3</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C2CFCD6">
            <w:pPr>
              <w:pStyle w:val="10"/>
              <w:bidi w:val="0"/>
              <w:jc w:val="center"/>
              <w:rPr>
                <w:rFonts w:hint="default"/>
                <w:color w:val="000000"/>
              </w:rPr>
            </w:pPr>
            <w:r>
              <w:rPr>
                <w:rFonts w:hint="default"/>
                <w:color w:val="000000"/>
                <w:lang w:val="en-US" w:eastAsia="zh-CN"/>
              </w:rPr>
              <w:t>3.2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255AF34">
            <w:pPr>
              <w:pStyle w:val="10"/>
              <w:bidi w:val="0"/>
              <w:jc w:val="center"/>
              <w:rPr>
                <w:rFonts w:hint="default"/>
                <w:color w:val="000000"/>
              </w:rPr>
            </w:pPr>
            <w:r>
              <w:rPr>
                <w:rFonts w:hint="default"/>
                <w:color w:val="000000"/>
                <w:lang w:val="en-US" w:eastAsia="zh-CN"/>
              </w:rPr>
              <w:t>0.431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F769F6F">
            <w:pPr>
              <w:pStyle w:val="10"/>
              <w:bidi w:val="0"/>
              <w:jc w:val="center"/>
              <w:rPr>
                <w:rFonts w:hint="default"/>
                <w:color w:val="000000"/>
              </w:rPr>
            </w:pPr>
            <w:r>
              <w:rPr>
                <w:rFonts w:hint="default"/>
                <w:color w:val="000000"/>
                <w:lang w:val="en-US" w:eastAsia="zh-CN"/>
              </w:rPr>
              <w:t>0.177</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434547D">
            <w:pPr>
              <w:pStyle w:val="10"/>
              <w:bidi w:val="0"/>
              <w:jc w:val="center"/>
              <w:rPr>
                <w:rFonts w:hint="default"/>
                <w:color w:val="000000"/>
              </w:rPr>
            </w:pPr>
            <w:r>
              <w:rPr>
                <w:rFonts w:hint="default"/>
                <w:color w:val="000000"/>
                <w:lang w:val="en-US" w:eastAsia="zh-CN"/>
              </w:rPr>
              <w:t>0.002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A2490D7">
            <w:pPr>
              <w:pStyle w:val="10"/>
              <w:bidi w:val="0"/>
              <w:jc w:val="center"/>
              <w:rPr>
                <w:rFonts w:hint="default"/>
                <w:color w:val="000000"/>
              </w:rPr>
            </w:pPr>
            <w:r>
              <w:rPr>
                <w:rFonts w:hint="default"/>
                <w:color w:val="000000"/>
                <w:lang w:val="en-US" w:eastAsia="zh-CN"/>
              </w:rPr>
              <w:t>0.027</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BFF9BA9">
            <w:pPr>
              <w:pStyle w:val="10"/>
              <w:bidi w:val="0"/>
              <w:jc w:val="center"/>
              <w:rPr>
                <w:rFonts w:hint="default"/>
                <w:color w:val="000000"/>
              </w:rPr>
            </w:pPr>
            <w:r>
              <w:rPr>
                <w:rFonts w:hint="default"/>
                <w:color w:val="000000"/>
                <w:lang w:val="en-US" w:eastAsia="zh-CN"/>
              </w:rPr>
              <w:t>0.42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4C68230">
            <w:pPr>
              <w:pStyle w:val="10"/>
              <w:bidi w:val="0"/>
              <w:jc w:val="center"/>
              <w:rPr>
                <w:rFonts w:hint="default"/>
                <w:color w:val="000000"/>
              </w:rPr>
            </w:pPr>
            <w:r>
              <w:rPr>
                <w:rFonts w:hint="default"/>
                <w:color w:val="000000"/>
                <w:lang w:val="en-US" w:eastAsia="zh-CN"/>
              </w:rPr>
              <w:t>0.00004</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79321F6">
            <w:pPr>
              <w:pStyle w:val="10"/>
              <w:bidi w:val="0"/>
              <w:jc w:val="center"/>
              <w:rPr>
                <w:rFonts w:hint="default"/>
                <w:color w:val="000000"/>
              </w:rPr>
            </w:pPr>
            <w:r>
              <w:rPr>
                <w:rFonts w:hint="default"/>
                <w:color w:val="000000"/>
                <w:lang w:val="en-US" w:eastAsia="zh-CN"/>
              </w:rPr>
              <w:t>0.00001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74FB30F">
            <w:pPr>
              <w:pStyle w:val="10"/>
              <w:bidi w:val="0"/>
              <w:jc w:val="center"/>
              <w:rPr>
                <w:rFonts w:hint="default"/>
                <w:color w:val="000000"/>
              </w:rPr>
            </w:pPr>
            <w:r>
              <w:rPr>
                <w:rFonts w:hint="default"/>
                <w:color w:val="000000"/>
                <w:lang w:val="en-US" w:eastAsia="zh-CN"/>
              </w:rPr>
              <w:t>0.00001</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F63E2AD">
            <w:pPr>
              <w:pStyle w:val="10"/>
              <w:bidi w:val="0"/>
              <w:jc w:val="center"/>
              <w:rPr>
                <w:rFonts w:hint="default"/>
                <w:color w:val="000000"/>
              </w:rPr>
            </w:pPr>
            <w:r>
              <w:rPr>
                <w:color w:val="000000"/>
                <w:lang w:val="en-US" w:eastAsia="zh-CN"/>
              </w:rPr>
              <w:t xml:space="preserve">0 </w:t>
            </w:r>
            <w:r>
              <w:rPr>
                <w:rFonts w:hint="default"/>
                <w:color w:val="000000"/>
                <w:lang w:val="en-US" w:eastAsia="zh-CN"/>
              </w:rPr>
              <w:t>.</w:t>
            </w:r>
            <w:r>
              <w:rPr>
                <w:color w:val="000000"/>
                <w:lang w:val="en-US" w:eastAsia="zh-CN"/>
              </w:rPr>
              <w:t>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7ED51FF">
            <w:pPr>
              <w:pStyle w:val="10"/>
              <w:bidi w:val="0"/>
              <w:jc w:val="center"/>
              <w:rPr>
                <w:rFonts w:hint="default"/>
                <w:color w:val="000000"/>
              </w:rPr>
            </w:pPr>
            <w:r>
              <w:rPr>
                <w:rFonts w:hint="default"/>
                <w:color w:val="000000"/>
                <w:lang w:val="en-US" w:eastAsia="zh-CN"/>
              </w:rPr>
              <w:t>0.018</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CA29044">
            <w:pPr>
              <w:pStyle w:val="10"/>
              <w:bidi w:val="0"/>
              <w:jc w:val="center"/>
              <w:rPr>
                <w:rFonts w:hint="default"/>
                <w:color w:val="000000"/>
              </w:rPr>
            </w:pPr>
            <w:r>
              <w:rPr>
                <w:rFonts w:hint="default"/>
                <w:color w:val="000000"/>
                <w:lang w:val="en-US" w:eastAsia="zh-CN"/>
              </w:rPr>
              <w:t>0.0005</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CBEB838">
            <w:pPr>
              <w:pStyle w:val="10"/>
              <w:bidi w:val="0"/>
              <w:jc w:val="center"/>
              <w:rPr>
                <w:rFonts w:hint="default"/>
                <w:color w:val="000000"/>
              </w:rPr>
            </w:pPr>
            <w:r>
              <w:rPr>
                <w:rFonts w:hint="default"/>
                <w:color w:val="000000"/>
                <w:lang w:val="en-US" w:eastAsia="zh-CN"/>
              </w:rPr>
              <w:t>0.002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BF1327A">
            <w:pPr>
              <w:pStyle w:val="10"/>
              <w:bidi w:val="0"/>
              <w:jc w:val="center"/>
              <w:rPr>
                <w:rFonts w:hint="default"/>
                <w:color w:val="000000"/>
              </w:rPr>
            </w:pPr>
            <w:r>
              <w:rPr>
                <w:rFonts w:hint="default"/>
                <w:color w:val="000000"/>
                <w:lang w:val="en-US" w:eastAsia="zh-CN"/>
              </w:rPr>
              <w:t>0.0031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61E2D74">
            <w:pPr>
              <w:pStyle w:val="10"/>
              <w:bidi w:val="0"/>
              <w:jc w:val="center"/>
              <w:rPr>
                <w:rFonts w:hint="default"/>
                <w:color w:val="000000"/>
              </w:rPr>
            </w:pPr>
            <w:r>
              <w:rPr>
                <w:rFonts w:hint="default"/>
                <w:color w:val="000000"/>
                <w:lang w:val="en-US" w:eastAsia="zh-CN"/>
              </w:rPr>
              <w:t>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6B87AD3">
            <w:pPr>
              <w:pStyle w:val="10"/>
              <w:bidi w:val="0"/>
              <w:jc w:val="center"/>
              <w:rPr>
                <w:rFonts w:hint="default"/>
                <w:color w:val="000000"/>
              </w:rPr>
            </w:pPr>
            <w:r>
              <w:rPr>
                <w:rFonts w:hint="default"/>
                <w:color w:val="000000"/>
                <w:lang w:val="en-US" w:eastAsia="zh-CN"/>
              </w:rPr>
              <w:t>0.078</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5FA88E2">
            <w:pPr>
              <w:pStyle w:val="10"/>
              <w:bidi w:val="0"/>
              <w:jc w:val="center"/>
              <w:rPr>
                <w:rFonts w:hint="default"/>
                <w:color w:val="000000"/>
              </w:rPr>
            </w:pPr>
            <w:r>
              <w:rPr>
                <w:rFonts w:hint="default"/>
                <w:color w:val="000000"/>
                <w:lang w:val="en-US" w:eastAsia="zh-CN"/>
              </w:rPr>
              <w:t>0.062</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262C862">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2371916">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798D23B5">
            <w:pPr>
              <w:pStyle w:val="10"/>
              <w:bidi w:val="0"/>
              <w:jc w:val="center"/>
              <w:rPr>
                <w:rFonts w:hint="default"/>
                <w:color w:val="000000"/>
              </w:rPr>
            </w:pPr>
          </w:p>
        </w:tc>
      </w:tr>
      <w:tr w14:paraId="4C98763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10" w:hRule="atLeast"/>
        </w:trPr>
        <w:tc>
          <w:tcPr>
            <w:tcW w:w="192" w:type="pct"/>
            <w:vMerge w:val="continue"/>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57DF788">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0F1771C">
            <w:pPr>
              <w:pStyle w:val="10"/>
              <w:bidi w:val="0"/>
              <w:jc w:val="center"/>
              <w:rPr>
                <w:rFonts w:hint="eastAsia"/>
                <w:color w:val="000000"/>
              </w:rPr>
            </w:pPr>
            <w:r>
              <w:rPr>
                <w:color w:val="000000"/>
                <w:lang w:val="en-US" w:eastAsia="zh-CN"/>
              </w:rPr>
              <w:t>最小值</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FB1E784">
            <w:pPr>
              <w:pStyle w:val="10"/>
              <w:bidi w:val="0"/>
              <w:jc w:val="center"/>
              <w:rPr>
                <w:rFonts w:hint="default"/>
                <w:color w:val="000000"/>
              </w:rPr>
            </w:pPr>
            <w:r>
              <w:rPr>
                <w:rFonts w:hint="default"/>
                <w:color w:val="000000"/>
                <w:lang w:val="en-US" w:eastAsia="zh-CN"/>
              </w:rPr>
              <w:t>7.01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0818356">
            <w:pPr>
              <w:pStyle w:val="10"/>
              <w:bidi w:val="0"/>
              <w:jc w:val="center"/>
              <w:rPr>
                <w:rFonts w:hint="default"/>
                <w:color w:val="000000"/>
              </w:rPr>
            </w:pPr>
            <w:r>
              <w:rPr>
                <w:rFonts w:hint="default"/>
                <w:color w:val="000000"/>
                <w:lang w:val="en-US" w:eastAsia="zh-CN"/>
              </w:rPr>
              <w:t>7.3</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0758B22">
            <w:pPr>
              <w:pStyle w:val="10"/>
              <w:bidi w:val="0"/>
              <w:jc w:val="center"/>
              <w:rPr>
                <w:rFonts w:hint="default"/>
                <w:color w:val="000000"/>
              </w:rPr>
            </w:pPr>
            <w:r>
              <w:rPr>
                <w:rFonts w:hint="default"/>
                <w:color w:val="000000"/>
                <w:lang w:val="en-US" w:eastAsia="zh-CN"/>
              </w:rPr>
              <w:t>1.7</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2A1C63F">
            <w:pPr>
              <w:pStyle w:val="10"/>
              <w:bidi w:val="0"/>
              <w:jc w:val="center"/>
              <w:rPr>
                <w:rFonts w:hint="default"/>
                <w:color w:val="000000"/>
              </w:rPr>
            </w:pPr>
            <w:r>
              <w:rPr>
                <w:rFonts w:hint="default"/>
                <w:color w:val="000000"/>
                <w:lang w:val="en-US" w:eastAsia="zh-CN"/>
              </w:rPr>
              <w:t>5.6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7C754EC">
            <w:pPr>
              <w:pStyle w:val="10"/>
              <w:bidi w:val="0"/>
              <w:jc w:val="center"/>
              <w:rPr>
                <w:rFonts w:hint="default"/>
                <w:color w:val="000000"/>
              </w:rPr>
            </w:pPr>
            <w:r>
              <w:rPr>
                <w:rFonts w:hint="default"/>
                <w:color w:val="000000"/>
                <w:lang w:val="en-US" w:eastAsia="zh-CN"/>
              </w:rPr>
              <w:t>2.0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9F9821A">
            <w:pPr>
              <w:pStyle w:val="10"/>
              <w:bidi w:val="0"/>
              <w:jc w:val="center"/>
              <w:rPr>
                <w:rFonts w:hint="default"/>
                <w:color w:val="000000"/>
              </w:rPr>
            </w:pPr>
            <w:r>
              <w:rPr>
                <w:rFonts w:hint="default"/>
                <w:color w:val="000000"/>
                <w:lang w:val="en-US" w:eastAsia="zh-CN"/>
              </w:rPr>
              <w:t>0.224</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01F44C4">
            <w:pPr>
              <w:pStyle w:val="10"/>
              <w:bidi w:val="0"/>
              <w:jc w:val="center"/>
              <w:rPr>
                <w:rFonts w:hint="default"/>
                <w:color w:val="000000"/>
              </w:rPr>
            </w:pPr>
            <w:r>
              <w:rPr>
                <w:rFonts w:hint="default"/>
                <w:color w:val="000000"/>
                <w:lang w:val="en-US" w:eastAsia="zh-CN"/>
              </w:rPr>
              <w:t>0.029</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B99E7D4">
            <w:pPr>
              <w:pStyle w:val="10"/>
              <w:bidi w:val="0"/>
              <w:jc w:val="center"/>
              <w:rPr>
                <w:rFonts w:hint="default"/>
                <w:color w:val="000000"/>
              </w:rPr>
            </w:pPr>
            <w:r>
              <w:rPr>
                <w:rFonts w:hint="default"/>
                <w:color w:val="000000"/>
                <w:lang w:val="en-US" w:eastAsia="zh-CN"/>
              </w:rPr>
              <w:t>0.002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368A2DD">
            <w:pPr>
              <w:pStyle w:val="10"/>
              <w:bidi w:val="0"/>
              <w:jc w:val="center"/>
              <w:rPr>
                <w:rFonts w:hint="default"/>
                <w:color w:val="000000"/>
              </w:rPr>
            </w:pPr>
            <w:r>
              <w:rPr>
                <w:rFonts w:hint="default"/>
                <w:color w:val="000000"/>
                <w:lang w:val="en-US" w:eastAsia="zh-CN"/>
              </w:rPr>
              <w:t>0.0005</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4C1D581">
            <w:pPr>
              <w:pStyle w:val="10"/>
              <w:bidi w:val="0"/>
              <w:jc w:val="center"/>
              <w:rPr>
                <w:rFonts w:hint="default"/>
                <w:color w:val="000000"/>
              </w:rPr>
            </w:pPr>
            <w:r>
              <w:rPr>
                <w:color w:val="000000"/>
                <w:lang w:val="en-US" w:eastAsia="zh-CN"/>
              </w:rPr>
              <w:t xml:space="preserve">0 </w:t>
            </w:r>
            <w:r>
              <w:rPr>
                <w:rFonts w:hint="default"/>
                <w:color w:val="000000"/>
                <w:lang w:val="en-US" w:eastAsia="zh-CN"/>
              </w:rPr>
              <w:t>.</w:t>
            </w:r>
            <w:r>
              <w:rPr>
                <w:color w:val="000000"/>
                <w:lang w:val="en-US" w:eastAsia="zh-CN"/>
              </w:rPr>
              <w:t>12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8240C7C">
            <w:pPr>
              <w:pStyle w:val="10"/>
              <w:bidi w:val="0"/>
              <w:jc w:val="center"/>
              <w:rPr>
                <w:rFonts w:hint="default"/>
                <w:color w:val="000000"/>
              </w:rPr>
            </w:pPr>
            <w:r>
              <w:rPr>
                <w:rFonts w:hint="default"/>
                <w:color w:val="000000"/>
                <w:lang w:val="en-US" w:eastAsia="zh-CN"/>
              </w:rPr>
              <w:t>0.00004</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986A853">
            <w:pPr>
              <w:pStyle w:val="10"/>
              <w:bidi w:val="0"/>
              <w:jc w:val="center"/>
              <w:rPr>
                <w:rFonts w:hint="default"/>
                <w:color w:val="000000"/>
              </w:rPr>
            </w:pPr>
            <w:r>
              <w:rPr>
                <w:rFonts w:hint="default"/>
                <w:color w:val="000000"/>
                <w:lang w:val="en-US" w:eastAsia="zh-CN"/>
              </w:rPr>
              <w:t>0.00001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A5FE69D">
            <w:pPr>
              <w:pStyle w:val="10"/>
              <w:bidi w:val="0"/>
              <w:jc w:val="center"/>
              <w:rPr>
                <w:rFonts w:hint="default"/>
                <w:color w:val="000000"/>
              </w:rPr>
            </w:pPr>
            <w:r>
              <w:rPr>
                <w:rFonts w:hint="default"/>
                <w:color w:val="000000"/>
                <w:lang w:val="en-US" w:eastAsia="zh-CN"/>
              </w:rPr>
              <w:t>0.00001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E257B65">
            <w:pPr>
              <w:pStyle w:val="10"/>
              <w:bidi w:val="0"/>
              <w:jc w:val="center"/>
              <w:rPr>
                <w:rFonts w:hint="default"/>
                <w:color w:val="000000"/>
              </w:rPr>
            </w:pPr>
            <w:r>
              <w:rPr>
                <w:rFonts w:hint="default"/>
                <w:color w:val="000000"/>
                <w:lang w:val="en-US" w:eastAsia="zh-CN"/>
              </w:rPr>
              <w:t>0.002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1597382">
            <w:pPr>
              <w:pStyle w:val="10"/>
              <w:bidi w:val="0"/>
              <w:jc w:val="center"/>
              <w:rPr>
                <w:rFonts w:hint="default"/>
                <w:color w:val="000000"/>
              </w:rPr>
            </w:pPr>
            <w:r>
              <w:rPr>
                <w:rFonts w:hint="default"/>
                <w:color w:val="000000"/>
                <w:lang w:val="en-US" w:eastAsia="zh-CN"/>
              </w:rPr>
              <w:t>0.004</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AFD3D92">
            <w:pPr>
              <w:pStyle w:val="10"/>
              <w:bidi w:val="0"/>
              <w:jc w:val="center"/>
              <w:rPr>
                <w:rFonts w:hint="default"/>
                <w:color w:val="000000"/>
              </w:rPr>
            </w:pPr>
            <w:r>
              <w:rPr>
                <w:rFonts w:hint="default"/>
                <w:color w:val="000000"/>
                <w:lang w:val="en-US" w:eastAsia="zh-CN"/>
              </w:rPr>
              <w:t>0.0005</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5DB09F9">
            <w:pPr>
              <w:pStyle w:val="10"/>
              <w:bidi w:val="0"/>
              <w:jc w:val="center"/>
              <w:rPr>
                <w:rFonts w:hint="default"/>
                <w:color w:val="000000"/>
              </w:rPr>
            </w:pPr>
            <w:r>
              <w:rPr>
                <w:rFonts w:hint="default"/>
                <w:color w:val="000000"/>
                <w:lang w:val="en-US" w:eastAsia="zh-CN"/>
              </w:rPr>
              <w:t>0.002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8E25BF5">
            <w:pPr>
              <w:pStyle w:val="10"/>
              <w:bidi w:val="0"/>
              <w:jc w:val="center"/>
              <w:rPr>
                <w:rFonts w:hint="default"/>
                <w:color w:val="000000"/>
              </w:rPr>
            </w:pPr>
            <w:r>
              <w:rPr>
                <w:rFonts w:hint="default"/>
                <w:color w:val="000000"/>
                <w:lang w:val="en-US" w:eastAsia="zh-CN"/>
              </w:rPr>
              <w:t>0.0008</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C0A6B51">
            <w:pPr>
              <w:pStyle w:val="10"/>
              <w:bidi w:val="0"/>
              <w:jc w:val="center"/>
              <w:rPr>
                <w:rFonts w:hint="default"/>
                <w:color w:val="000000"/>
              </w:rPr>
            </w:pPr>
            <w:r>
              <w:rPr>
                <w:rFonts w:hint="default"/>
                <w:color w:val="000000"/>
                <w:lang w:val="en-US" w:eastAsia="zh-CN"/>
              </w:rPr>
              <w:t>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0C9087A">
            <w:pPr>
              <w:pStyle w:val="10"/>
              <w:bidi w:val="0"/>
              <w:jc w:val="center"/>
              <w:rPr>
                <w:rFonts w:hint="default"/>
                <w:color w:val="000000"/>
              </w:rPr>
            </w:pPr>
            <w:r>
              <w:rPr>
                <w:rFonts w:hint="default"/>
                <w:color w:val="000000"/>
                <w:lang w:val="en-US" w:eastAsia="zh-CN"/>
              </w:rPr>
              <w:t>0.025</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9AFD991">
            <w:pPr>
              <w:pStyle w:val="10"/>
              <w:bidi w:val="0"/>
              <w:jc w:val="center"/>
              <w:rPr>
                <w:rFonts w:hint="default"/>
                <w:color w:val="000000"/>
              </w:rPr>
            </w:pPr>
            <w:r>
              <w:rPr>
                <w:rFonts w:hint="default"/>
                <w:color w:val="000000"/>
                <w:lang w:val="en-US" w:eastAsia="zh-CN"/>
              </w:rPr>
              <w:t>0.008</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ED6B5A3">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A6B3441">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74552882">
            <w:pPr>
              <w:pStyle w:val="10"/>
              <w:bidi w:val="0"/>
              <w:jc w:val="center"/>
              <w:rPr>
                <w:rFonts w:hint="default"/>
                <w:color w:val="000000"/>
              </w:rPr>
            </w:pPr>
          </w:p>
        </w:tc>
      </w:tr>
      <w:tr w14:paraId="257C8A5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05" w:hRule="atLeast"/>
        </w:trPr>
        <w:tc>
          <w:tcPr>
            <w:tcW w:w="192" w:type="pct"/>
            <w:vMerge w:val="continue"/>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C6460F3">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B4079AE">
            <w:pPr>
              <w:pStyle w:val="10"/>
              <w:bidi w:val="0"/>
              <w:jc w:val="center"/>
              <w:rPr>
                <w:rFonts w:hint="eastAsia"/>
                <w:color w:val="000000"/>
              </w:rPr>
            </w:pPr>
            <w:r>
              <w:rPr>
                <w:color w:val="000000"/>
                <w:lang w:val="en-US" w:eastAsia="zh-CN"/>
              </w:rPr>
              <w:t>平均值</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CE7744F">
            <w:pPr>
              <w:pStyle w:val="10"/>
              <w:bidi w:val="0"/>
              <w:jc w:val="center"/>
              <w:rPr>
                <w:rFonts w:hint="default"/>
                <w:color w:val="000000"/>
              </w:rPr>
            </w:pPr>
            <w:r>
              <w:rPr>
                <w:rFonts w:hint="default"/>
                <w:color w:val="000000"/>
                <w:lang w:val="en-US" w:eastAsia="zh-CN"/>
              </w:rPr>
              <w:t>7.52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353AFCC">
            <w:pPr>
              <w:pStyle w:val="10"/>
              <w:bidi w:val="0"/>
              <w:jc w:val="center"/>
              <w:rPr>
                <w:rFonts w:hint="default"/>
                <w:color w:val="000000"/>
              </w:rPr>
            </w:pPr>
            <w:r>
              <w:rPr>
                <w:rFonts w:hint="default"/>
                <w:color w:val="000000"/>
                <w:lang w:val="en-US" w:eastAsia="zh-CN"/>
              </w:rPr>
              <w:t>8.6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56F2230">
            <w:pPr>
              <w:pStyle w:val="10"/>
              <w:bidi w:val="0"/>
              <w:jc w:val="center"/>
              <w:rPr>
                <w:rFonts w:hint="default"/>
                <w:color w:val="000000"/>
              </w:rPr>
            </w:pPr>
            <w:r>
              <w:rPr>
                <w:rFonts w:hint="default"/>
                <w:color w:val="000000"/>
                <w:lang w:val="en-US" w:eastAsia="zh-CN"/>
              </w:rPr>
              <w:t>2.5</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509917D">
            <w:pPr>
              <w:pStyle w:val="10"/>
              <w:bidi w:val="0"/>
              <w:jc w:val="center"/>
              <w:rPr>
                <w:rFonts w:hint="default"/>
                <w:color w:val="000000"/>
              </w:rPr>
            </w:pPr>
            <w:r>
              <w:rPr>
                <w:rFonts w:hint="default"/>
                <w:color w:val="000000"/>
                <w:lang w:val="en-US" w:eastAsia="zh-CN"/>
              </w:rPr>
              <w:t>7.5</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C0326E0">
            <w:pPr>
              <w:pStyle w:val="10"/>
              <w:bidi w:val="0"/>
              <w:jc w:val="center"/>
              <w:rPr>
                <w:rFonts w:hint="default"/>
                <w:color w:val="000000"/>
              </w:rPr>
            </w:pPr>
            <w:r>
              <w:rPr>
                <w:rFonts w:hint="default"/>
                <w:color w:val="000000"/>
                <w:lang w:val="en-US" w:eastAsia="zh-CN"/>
              </w:rPr>
              <w:t>2.4</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16C60F2">
            <w:pPr>
              <w:pStyle w:val="10"/>
              <w:bidi w:val="0"/>
              <w:jc w:val="center"/>
              <w:rPr>
                <w:rFonts w:hint="default"/>
                <w:color w:val="000000"/>
              </w:rPr>
            </w:pPr>
            <w:r>
              <w:rPr>
                <w:rFonts w:hint="default"/>
                <w:color w:val="000000"/>
                <w:lang w:val="en-US" w:eastAsia="zh-CN"/>
              </w:rPr>
              <w:t>0.313</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55FE86D">
            <w:pPr>
              <w:pStyle w:val="10"/>
              <w:bidi w:val="0"/>
              <w:jc w:val="center"/>
              <w:rPr>
                <w:rFonts w:hint="default"/>
                <w:color w:val="000000"/>
              </w:rPr>
            </w:pPr>
            <w:r>
              <w:rPr>
                <w:rFonts w:hint="default"/>
                <w:color w:val="000000"/>
                <w:lang w:val="en-US" w:eastAsia="zh-CN"/>
              </w:rPr>
              <w:t>0.087</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59E4BAC">
            <w:pPr>
              <w:pStyle w:val="10"/>
              <w:bidi w:val="0"/>
              <w:jc w:val="center"/>
              <w:rPr>
                <w:rFonts w:hint="default"/>
                <w:color w:val="000000"/>
              </w:rPr>
            </w:pPr>
            <w:r>
              <w:rPr>
                <w:rFonts w:hint="default"/>
                <w:color w:val="000000"/>
                <w:lang w:val="en-US" w:eastAsia="zh-CN"/>
              </w:rPr>
              <w:t>0.002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72FE055">
            <w:pPr>
              <w:pStyle w:val="10"/>
              <w:bidi w:val="0"/>
              <w:jc w:val="center"/>
              <w:rPr>
                <w:rFonts w:hint="default"/>
                <w:color w:val="000000"/>
              </w:rPr>
            </w:pPr>
            <w:r>
              <w:rPr>
                <w:rFonts w:hint="default"/>
                <w:color w:val="000000"/>
                <w:lang w:val="en-US" w:eastAsia="zh-CN"/>
              </w:rPr>
              <w:t>0.003</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AADB25E">
            <w:pPr>
              <w:pStyle w:val="10"/>
              <w:bidi w:val="0"/>
              <w:jc w:val="center"/>
              <w:rPr>
                <w:rFonts w:hint="default"/>
                <w:color w:val="000000"/>
              </w:rPr>
            </w:pPr>
            <w:r>
              <w:rPr>
                <w:rFonts w:hint="default"/>
                <w:color w:val="000000"/>
                <w:lang w:val="en-US" w:eastAsia="zh-CN"/>
              </w:rPr>
              <w:t>0.28</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27433FB">
            <w:pPr>
              <w:pStyle w:val="10"/>
              <w:bidi w:val="0"/>
              <w:jc w:val="center"/>
              <w:rPr>
                <w:rFonts w:hint="default"/>
                <w:color w:val="000000"/>
              </w:rPr>
            </w:pPr>
            <w:r>
              <w:rPr>
                <w:rFonts w:hint="default"/>
                <w:color w:val="000000"/>
                <w:lang w:val="en-US" w:eastAsia="zh-CN"/>
              </w:rPr>
              <w:t>0.00004</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CF258B1">
            <w:pPr>
              <w:pStyle w:val="10"/>
              <w:bidi w:val="0"/>
              <w:jc w:val="center"/>
              <w:rPr>
                <w:rFonts w:hint="default"/>
                <w:color w:val="000000"/>
              </w:rPr>
            </w:pPr>
            <w:r>
              <w:rPr>
                <w:rFonts w:hint="default"/>
                <w:color w:val="000000"/>
                <w:lang w:val="en-US" w:eastAsia="zh-CN"/>
              </w:rPr>
              <w:t>0.00001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E5E6B15">
            <w:pPr>
              <w:pStyle w:val="10"/>
              <w:bidi w:val="0"/>
              <w:jc w:val="center"/>
              <w:rPr>
                <w:rFonts w:hint="default"/>
                <w:color w:val="000000"/>
              </w:rPr>
            </w:pPr>
            <w:r>
              <w:rPr>
                <w:rFonts w:hint="default"/>
                <w:color w:val="000000"/>
                <w:lang w:val="en-US" w:eastAsia="zh-CN"/>
              </w:rPr>
              <w:t>0.00001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40334B1">
            <w:pPr>
              <w:pStyle w:val="10"/>
              <w:bidi w:val="0"/>
              <w:jc w:val="center"/>
              <w:rPr>
                <w:rFonts w:hint="default"/>
                <w:color w:val="000000"/>
              </w:rPr>
            </w:pPr>
            <w:r>
              <w:rPr>
                <w:rFonts w:hint="default"/>
                <w:color w:val="000000"/>
                <w:lang w:val="en-US" w:eastAsia="zh-CN"/>
              </w:rPr>
              <w:t>0.002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45CFA02">
            <w:pPr>
              <w:pStyle w:val="10"/>
              <w:bidi w:val="0"/>
              <w:jc w:val="center"/>
              <w:rPr>
                <w:rFonts w:hint="default"/>
                <w:color w:val="000000"/>
              </w:rPr>
            </w:pPr>
            <w:r>
              <w:rPr>
                <w:rFonts w:hint="default"/>
                <w:color w:val="000000"/>
                <w:lang w:val="en-US" w:eastAsia="zh-CN"/>
              </w:rPr>
              <w:t>0.010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36E15BC">
            <w:pPr>
              <w:pStyle w:val="10"/>
              <w:bidi w:val="0"/>
              <w:jc w:val="center"/>
              <w:rPr>
                <w:rFonts w:hint="default"/>
                <w:color w:val="000000"/>
              </w:rPr>
            </w:pPr>
            <w:r>
              <w:rPr>
                <w:rFonts w:hint="default"/>
                <w:color w:val="000000"/>
                <w:lang w:val="en-US" w:eastAsia="zh-CN"/>
              </w:rPr>
              <w:t>0.0005</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7552D72">
            <w:pPr>
              <w:pStyle w:val="10"/>
              <w:bidi w:val="0"/>
              <w:jc w:val="center"/>
              <w:rPr>
                <w:rFonts w:hint="default"/>
                <w:color w:val="000000"/>
              </w:rPr>
            </w:pPr>
            <w:r>
              <w:rPr>
                <w:rFonts w:hint="default"/>
                <w:color w:val="000000"/>
                <w:lang w:val="en-US" w:eastAsia="zh-CN"/>
              </w:rPr>
              <w:t>0.002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69D984F">
            <w:pPr>
              <w:pStyle w:val="10"/>
              <w:bidi w:val="0"/>
              <w:jc w:val="center"/>
              <w:rPr>
                <w:rFonts w:hint="default"/>
                <w:color w:val="000000"/>
              </w:rPr>
            </w:pPr>
            <w:r>
              <w:rPr>
                <w:rFonts w:hint="default"/>
                <w:color w:val="000000"/>
                <w:lang w:val="en-US" w:eastAsia="zh-CN"/>
              </w:rPr>
              <w:t>0.0020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FE1CBB6">
            <w:pPr>
              <w:pStyle w:val="10"/>
              <w:bidi w:val="0"/>
              <w:jc w:val="center"/>
              <w:rPr>
                <w:rFonts w:hint="default"/>
                <w:color w:val="000000"/>
              </w:rPr>
            </w:pPr>
            <w:r>
              <w:rPr>
                <w:rFonts w:hint="default"/>
                <w:color w:val="000000"/>
                <w:lang w:val="en-US" w:eastAsia="zh-CN"/>
              </w:rPr>
              <w:t>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B10172E">
            <w:pPr>
              <w:pStyle w:val="10"/>
              <w:bidi w:val="0"/>
              <w:jc w:val="center"/>
              <w:rPr>
                <w:rFonts w:hint="default"/>
                <w:color w:val="000000"/>
              </w:rPr>
            </w:pPr>
            <w:r>
              <w:rPr>
                <w:rFonts w:hint="default"/>
                <w:color w:val="000000"/>
                <w:lang w:val="en-US" w:eastAsia="zh-CN"/>
              </w:rPr>
              <w:t>0.052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4893E2C">
            <w:pPr>
              <w:pStyle w:val="10"/>
              <w:bidi w:val="0"/>
              <w:jc w:val="center"/>
              <w:rPr>
                <w:rFonts w:hint="default"/>
                <w:color w:val="000000"/>
              </w:rPr>
            </w:pPr>
            <w:r>
              <w:rPr>
                <w:rFonts w:hint="default"/>
                <w:color w:val="000000"/>
                <w:lang w:val="en-US" w:eastAsia="zh-CN"/>
              </w:rPr>
              <w:t>0.026</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E27ADC2">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BD4720E">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3D7655DE">
            <w:pPr>
              <w:pStyle w:val="10"/>
              <w:bidi w:val="0"/>
              <w:jc w:val="center"/>
              <w:rPr>
                <w:rFonts w:hint="default"/>
                <w:color w:val="000000"/>
              </w:rPr>
            </w:pPr>
          </w:p>
        </w:tc>
      </w:tr>
      <w:tr w14:paraId="706B974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75" w:hRule="atLeast"/>
        </w:trPr>
        <w:tc>
          <w:tcPr>
            <w:tcW w:w="192" w:type="pct"/>
            <w:vMerge w:val="continue"/>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070D9ED">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7B38CAD">
            <w:pPr>
              <w:pStyle w:val="10"/>
              <w:bidi w:val="0"/>
              <w:jc w:val="center"/>
              <w:rPr>
                <w:rFonts w:hint="eastAsia"/>
                <w:color w:val="000000"/>
              </w:rPr>
            </w:pPr>
            <w:r>
              <w:rPr>
                <w:color w:val="000000"/>
                <w:lang w:val="en-US" w:eastAsia="zh-CN"/>
              </w:rPr>
              <w:t>水质类别</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76CF36E">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391B3D5">
            <w:pPr>
              <w:pStyle w:val="10"/>
              <w:bidi w:val="0"/>
              <w:jc w:val="center"/>
              <w:rPr>
                <w:rFonts w:hint="default"/>
                <w:color w:val="000000"/>
              </w:rPr>
            </w:pPr>
            <w:r>
              <w:rPr>
                <w:rFonts w:hint="default"/>
                <w:color w:val="000000"/>
                <w:lang w:val="en-US" w:eastAsia="zh-CN"/>
              </w:rPr>
              <w:t>l</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5C5DFDB">
            <w:pPr>
              <w:pStyle w:val="10"/>
              <w:bidi w:val="0"/>
              <w:jc w:val="center"/>
              <w:rPr>
                <w:rFonts w:hint="default"/>
                <w:color w:val="000000"/>
              </w:rPr>
            </w:pPr>
            <w:r>
              <w:rPr>
                <w:rFonts w:hint="default"/>
                <w:color w:val="000000"/>
                <w:lang w:val="en-US" w:eastAsia="zh-CN"/>
              </w:rPr>
              <w:t>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E401739">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09B4E7E">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9E39841">
            <w:pPr>
              <w:pStyle w:val="10"/>
              <w:bidi w:val="0"/>
              <w:jc w:val="center"/>
              <w:rPr>
                <w:rFonts w:hint="default"/>
                <w:color w:val="000000"/>
              </w:rPr>
            </w:pPr>
            <w:r>
              <w:rPr>
                <w:rFonts w:hint="default"/>
                <w:color w:val="000000"/>
                <w:lang w:val="en-US" w:eastAsia="zh-CN"/>
              </w:rPr>
              <w:t>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0724427">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AA2042D">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64253FB">
            <w:pPr>
              <w:pStyle w:val="10"/>
              <w:bidi w:val="0"/>
              <w:jc w:val="center"/>
              <w:rPr>
                <w:rFonts w:hint="default"/>
                <w:color w:val="000000"/>
              </w:rPr>
            </w:pPr>
            <w:r>
              <w:rPr>
                <w:color w:val="000000"/>
                <w:lang w:val="en-US" w:eastAsia="zh-CN"/>
              </w:rPr>
              <w:t>I</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46022D1">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391EEC7">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F453077">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C4A5251">
            <w:pPr>
              <w:pStyle w:val="10"/>
              <w:bidi w:val="0"/>
              <w:jc w:val="center"/>
              <w:rPr>
                <w:rFonts w:hint="default"/>
                <w:color w:val="000000"/>
              </w:rPr>
            </w:pPr>
            <w:r>
              <w:rPr>
                <w:rFonts w:hint="default"/>
                <w:color w:val="000000"/>
                <w:lang w:val="en-US" w:eastAsia="zh-CN"/>
              </w:rPr>
              <w:t>I</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E1F0DB5">
            <w:pPr>
              <w:pStyle w:val="10"/>
              <w:bidi w:val="0"/>
              <w:jc w:val="center"/>
              <w:rPr>
                <w:rFonts w:hint="default"/>
                <w:color w:val="000000"/>
              </w:rPr>
            </w:pPr>
            <w:r>
              <w:rPr>
                <w:rFonts w:hint="default"/>
                <w:color w:val="000000"/>
                <w:lang w:val="en-US" w:eastAsia="zh-CN"/>
              </w:rPr>
              <w:t>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E62FC68">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D1F92E2">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95E63E4">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1589F11">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843F22C">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87B976E">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885D592">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D5C3EB8">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3987DD4">
            <w:pPr>
              <w:pStyle w:val="10"/>
              <w:bidi w:val="0"/>
              <w:jc w:val="center"/>
              <w:rPr>
                <w:rFonts w:hint="default"/>
                <w:color w:val="000000"/>
              </w:rPr>
            </w:pPr>
            <w:r>
              <w:rPr>
                <w:rFonts w:hint="default"/>
                <w:color w:val="000000"/>
                <w:lang w:val="en-US" w:eastAsia="zh-CN"/>
              </w:rPr>
              <w:t>2</w:t>
            </w:r>
          </w:p>
        </w:tc>
        <w:tc>
          <w:tcPr>
            <w:tcW w:w="19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35D37468">
            <w:pPr>
              <w:pStyle w:val="10"/>
              <w:bidi w:val="0"/>
              <w:jc w:val="center"/>
              <w:rPr>
                <w:rFonts w:hint="default"/>
                <w:color w:val="000000"/>
              </w:rPr>
            </w:pPr>
          </w:p>
        </w:tc>
      </w:tr>
      <w:tr w14:paraId="5A09761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80" w:hRule="atLeast"/>
        </w:trPr>
        <w:tc>
          <w:tcPr>
            <w:tcW w:w="192" w:type="pct"/>
            <w:vMerge w:val="continue"/>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5E63710">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9FD740D">
            <w:pPr>
              <w:pStyle w:val="10"/>
              <w:bidi w:val="0"/>
              <w:jc w:val="center"/>
              <w:rPr>
                <w:rFonts w:hint="default"/>
                <w:color w:val="000000"/>
              </w:rPr>
            </w:pPr>
            <w:r>
              <w:rPr>
                <w:color w:val="000000"/>
                <w:lang w:val="en-US" w:eastAsia="zh-CN"/>
              </w:rPr>
              <w:t>超标</w:t>
            </w:r>
            <w:r>
              <w:rPr>
                <w:color w:val="000000"/>
                <w:lang w:val="en-US" w:eastAsia="zh-CN"/>
              </w:rPr>
              <w:br w:type="textWrapping"/>
            </w:r>
            <w:r>
              <w:rPr>
                <w:rFonts w:hint="eastAsia"/>
                <w:color w:val="000000"/>
                <w:lang w:val="en-US" w:eastAsia="zh-CN"/>
              </w:rPr>
              <w:t>率％</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316BBF9">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240B735">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E8F5184">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0860BF5">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82DF408">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2765401">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A37DD23">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551873E">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907F257">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F4685EA">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D4D7D25">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DE24AC7">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9CDBD4B">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D1FD699">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F2A40F5">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31F1F61">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69FB871">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48FB2A0">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7DBDA85">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2EBB116">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06D8059">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E5291E9">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840CDFD">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14:paraId="7B357110">
            <w:pPr>
              <w:pStyle w:val="10"/>
              <w:bidi w:val="0"/>
              <w:jc w:val="center"/>
              <w:rPr>
                <w:rFonts w:hint="default"/>
                <w:color w:val="000000"/>
              </w:rPr>
            </w:pPr>
            <w:r>
              <w:rPr>
                <w:rFonts w:hint="default"/>
                <w:color w:val="000000"/>
                <w:lang w:val="en-US" w:eastAsia="zh-CN"/>
              </w:rPr>
              <w:t>3</w:t>
            </w:r>
          </w:p>
        </w:tc>
      </w:tr>
      <w:tr w14:paraId="00B8AF8F">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570" w:hRule="atLeast"/>
        </w:trPr>
        <w:tc>
          <w:tcPr>
            <w:tcW w:w="192" w:type="pct"/>
            <w:vMerge w:val="continue"/>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EB17D06">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0F921E3">
            <w:pPr>
              <w:pStyle w:val="10"/>
              <w:bidi w:val="0"/>
              <w:jc w:val="center"/>
              <w:rPr>
                <w:rFonts w:hint="eastAsia"/>
                <w:color w:val="000000"/>
              </w:rPr>
            </w:pPr>
            <w:r>
              <w:rPr>
                <w:color w:val="000000"/>
                <w:lang w:val="en-US" w:eastAsia="zh-CN"/>
              </w:rPr>
              <w:t>污染指数</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F340C15">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E08804D">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3E80D7A">
            <w:pPr>
              <w:pStyle w:val="10"/>
              <w:bidi w:val="0"/>
              <w:jc w:val="center"/>
              <w:rPr>
                <w:rFonts w:hint="default"/>
                <w:color w:val="000000"/>
              </w:rPr>
            </w:pPr>
            <w:r>
              <w:rPr>
                <w:rFonts w:hint="default"/>
                <w:color w:val="000000"/>
                <w:lang w:val="en-US" w:eastAsia="zh-CN"/>
              </w:rPr>
              <w:t>0.42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24DDC9E">
            <w:pPr>
              <w:pStyle w:val="10"/>
              <w:bidi w:val="0"/>
              <w:jc w:val="center"/>
              <w:rPr>
                <w:rFonts w:hint="default"/>
                <w:color w:val="000000"/>
              </w:rPr>
            </w:pPr>
            <w:r>
              <w:rPr>
                <w:rFonts w:hint="default"/>
                <w:color w:val="000000"/>
                <w:lang w:val="en-US" w:eastAsia="zh-CN"/>
              </w:rPr>
              <w:t>0.37</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22D7CB3">
            <w:pPr>
              <w:pStyle w:val="10"/>
              <w:bidi w:val="0"/>
              <w:jc w:val="center"/>
              <w:rPr>
                <w:rFonts w:hint="default"/>
                <w:color w:val="000000"/>
              </w:rPr>
            </w:pPr>
            <w:r>
              <w:rPr>
                <w:rFonts w:hint="default"/>
                <w:color w:val="000000"/>
                <w:lang w:val="en-US" w:eastAsia="zh-CN"/>
              </w:rPr>
              <w:t>0.59</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F271C53">
            <w:pPr>
              <w:pStyle w:val="10"/>
              <w:bidi w:val="0"/>
              <w:jc w:val="center"/>
              <w:rPr>
                <w:rFonts w:hint="default"/>
                <w:color w:val="000000"/>
              </w:rPr>
            </w:pPr>
            <w:r>
              <w:rPr>
                <w:rFonts w:hint="default"/>
                <w:color w:val="000000"/>
                <w:lang w:val="en-US" w:eastAsia="zh-CN"/>
              </w:rPr>
              <w:t>0.31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49FEA34">
            <w:pPr>
              <w:pStyle w:val="10"/>
              <w:bidi w:val="0"/>
              <w:jc w:val="center"/>
              <w:rPr>
                <w:rFonts w:hint="default"/>
                <w:color w:val="000000"/>
              </w:rPr>
            </w:pPr>
            <w:r>
              <w:rPr>
                <w:rFonts w:hint="default"/>
                <w:color w:val="000000"/>
                <w:lang w:val="en-US" w:eastAsia="zh-CN"/>
              </w:rPr>
              <w:t>0.43</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C1D2B1E">
            <w:pPr>
              <w:pStyle w:val="10"/>
              <w:bidi w:val="0"/>
              <w:jc w:val="center"/>
              <w:rPr>
                <w:rFonts w:hint="default"/>
                <w:color w:val="000000"/>
              </w:rPr>
            </w:pPr>
            <w:r>
              <w:rPr>
                <w:rFonts w:hint="default"/>
                <w:color w:val="000000"/>
                <w:lang w:val="en-US" w:eastAsia="zh-CN"/>
              </w:rPr>
              <w:t>0.00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637AE12">
            <w:pPr>
              <w:pStyle w:val="10"/>
              <w:bidi w:val="0"/>
              <w:jc w:val="center"/>
              <w:rPr>
                <w:rFonts w:hint="default"/>
                <w:color w:val="000000"/>
              </w:rPr>
            </w:pPr>
            <w:r>
              <w:rPr>
                <w:rFonts w:hint="default"/>
                <w:color w:val="000000"/>
                <w:lang w:val="en-US" w:eastAsia="zh-CN"/>
              </w:rPr>
              <w:t>0.00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3583E00">
            <w:pPr>
              <w:pStyle w:val="10"/>
              <w:bidi w:val="0"/>
              <w:jc w:val="center"/>
              <w:rPr>
                <w:rFonts w:hint="default"/>
                <w:color w:val="000000"/>
              </w:rPr>
            </w:pPr>
            <w:r>
              <w:rPr>
                <w:rFonts w:hint="default"/>
                <w:color w:val="000000"/>
                <w:lang w:val="en-US" w:eastAsia="zh-CN"/>
              </w:rPr>
              <w:t>0.28</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AD4CFC1">
            <w:pPr>
              <w:pStyle w:val="10"/>
              <w:bidi w:val="0"/>
              <w:jc w:val="center"/>
              <w:rPr>
                <w:rFonts w:hint="default"/>
                <w:color w:val="000000"/>
              </w:rPr>
            </w:pPr>
            <w:r>
              <w:rPr>
                <w:rFonts w:hint="default"/>
                <w:color w:val="000000"/>
                <w:lang w:val="en-US" w:eastAsia="zh-CN"/>
              </w:rPr>
              <w:t>0.00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8200252">
            <w:pPr>
              <w:pStyle w:val="10"/>
              <w:bidi w:val="0"/>
              <w:jc w:val="center"/>
              <w:rPr>
                <w:rFonts w:hint="default"/>
                <w:color w:val="000000"/>
              </w:rPr>
            </w:pPr>
            <w:r>
              <w:rPr>
                <w:rFonts w:hint="default"/>
                <w:color w:val="000000"/>
                <w:lang w:val="en-US" w:eastAsia="zh-CN"/>
              </w:rPr>
              <w:t>0.00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7836BBA">
            <w:pPr>
              <w:pStyle w:val="10"/>
              <w:bidi w:val="0"/>
              <w:jc w:val="center"/>
              <w:rPr>
                <w:rFonts w:hint="default"/>
                <w:color w:val="000000"/>
              </w:rPr>
            </w:pPr>
            <w:r>
              <w:rPr>
                <w:rFonts w:hint="default"/>
                <w:color w:val="000000"/>
                <w:lang w:val="en-US" w:eastAsia="zh-CN"/>
              </w:rPr>
              <w:t>0.10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D0083F6">
            <w:pPr>
              <w:pStyle w:val="10"/>
              <w:bidi w:val="0"/>
              <w:jc w:val="center"/>
              <w:rPr>
                <w:rFonts w:hint="default"/>
                <w:color w:val="000000"/>
              </w:rPr>
            </w:pPr>
            <w:r>
              <w:rPr>
                <w:rFonts w:hint="default"/>
                <w:color w:val="000000"/>
                <w:lang w:val="en-US" w:eastAsia="zh-CN"/>
              </w:rPr>
              <w:t>0.40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25444E9">
            <w:pPr>
              <w:pStyle w:val="10"/>
              <w:bidi w:val="0"/>
              <w:jc w:val="center"/>
              <w:rPr>
                <w:rFonts w:hint="default"/>
                <w:color w:val="000000"/>
              </w:rPr>
            </w:pPr>
            <w:r>
              <w:rPr>
                <w:rFonts w:hint="default"/>
                <w:color w:val="000000"/>
                <w:lang w:val="en-US" w:eastAsia="zh-CN"/>
              </w:rPr>
              <w:t>0.19</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A4ABB63">
            <w:pPr>
              <w:pStyle w:val="10"/>
              <w:bidi w:val="0"/>
              <w:jc w:val="center"/>
              <w:rPr>
                <w:rFonts w:hint="default"/>
                <w:color w:val="000000"/>
              </w:rPr>
            </w:pPr>
            <w:r>
              <w:rPr>
                <w:rFonts w:hint="default"/>
                <w:color w:val="000000"/>
                <w:lang w:val="en-US" w:eastAsia="zh-CN"/>
              </w:rPr>
              <w:t>0.01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6D36260">
            <w:pPr>
              <w:pStyle w:val="10"/>
              <w:bidi w:val="0"/>
              <w:jc w:val="center"/>
              <w:rPr>
                <w:rFonts w:hint="default"/>
                <w:color w:val="000000"/>
              </w:rPr>
            </w:pPr>
            <w:r>
              <w:rPr>
                <w:rFonts w:hint="default"/>
                <w:color w:val="000000"/>
                <w:lang w:val="en-US" w:eastAsia="zh-CN"/>
              </w:rPr>
              <w:t>0.01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2C44960">
            <w:pPr>
              <w:pStyle w:val="10"/>
              <w:bidi w:val="0"/>
              <w:jc w:val="center"/>
              <w:rPr>
                <w:rFonts w:hint="default"/>
                <w:color w:val="000000"/>
              </w:rPr>
            </w:pPr>
            <w:r>
              <w:rPr>
                <w:rFonts w:hint="default"/>
                <w:color w:val="000000"/>
                <w:lang w:val="en-US" w:eastAsia="zh-CN"/>
              </w:rPr>
              <w:t>0.39</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B85B17D">
            <w:pPr>
              <w:pStyle w:val="10"/>
              <w:bidi w:val="0"/>
              <w:jc w:val="center"/>
              <w:rPr>
                <w:rFonts w:hint="default"/>
                <w:color w:val="000000"/>
              </w:rPr>
            </w:pPr>
            <w:r>
              <w:rPr>
                <w:rFonts w:hint="default"/>
                <w:color w:val="000000"/>
                <w:lang w:val="en-US" w:eastAsia="zh-CN"/>
              </w:rPr>
              <w:t>0.40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BC55AD4">
            <w:pPr>
              <w:pStyle w:val="10"/>
              <w:bidi w:val="0"/>
              <w:jc w:val="center"/>
              <w:rPr>
                <w:rFonts w:hint="default"/>
                <w:color w:val="000000"/>
              </w:rPr>
            </w:pPr>
            <w:r>
              <w:rPr>
                <w:rFonts w:hint="default"/>
                <w:color w:val="000000"/>
                <w:lang w:val="en-US" w:eastAsia="zh-CN"/>
              </w:rPr>
              <w:t>0.26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92C38C6">
            <w:pPr>
              <w:pStyle w:val="10"/>
              <w:bidi w:val="0"/>
              <w:jc w:val="center"/>
              <w:rPr>
                <w:rFonts w:hint="default"/>
                <w:color w:val="000000"/>
              </w:rPr>
            </w:pPr>
            <w:r>
              <w:rPr>
                <w:rFonts w:hint="default"/>
                <w:color w:val="000000"/>
                <w:lang w:val="en-US" w:eastAsia="zh-CN"/>
              </w:rPr>
              <w:t>0.13</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5E82098">
            <w:pPr>
              <w:pStyle w:val="10"/>
              <w:bidi w:val="0"/>
              <w:jc w:val="center"/>
              <w:rPr>
                <w:rFonts w:hint="default"/>
                <w:color w:val="000000"/>
              </w:rPr>
            </w:pPr>
            <w:r>
              <w:rPr>
                <w:rFonts w:hint="default"/>
                <w:color w:val="000000"/>
                <w:lang w:val="en-US" w:eastAsia="zh-CN"/>
              </w:rPr>
              <w:t>0.23</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33FD88C">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14:paraId="714C9D93">
            <w:pPr>
              <w:pStyle w:val="10"/>
              <w:bidi w:val="0"/>
              <w:jc w:val="center"/>
              <w:rPr>
                <w:rFonts w:hint="default"/>
                <w:color w:val="000000"/>
              </w:rPr>
            </w:pPr>
            <w:r>
              <w:rPr>
                <w:rFonts w:hint="default"/>
                <w:color w:val="000000"/>
                <w:lang w:val="en-US" w:eastAsia="zh-CN"/>
              </w:rPr>
              <w:t>3</w:t>
            </w:r>
          </w:p>
        </w:tc>
      </w:tr>
    </w:tbl>
    <w:p w14:paraId="6B924031">
      <w:pPr>
        <w:pStyle w:val="10"/>
        <w:bidi w:val="0"/>
        <w:jc w:val="center"/>
        <w:rPr>
          <w:rFonts w:hint="eastAsia"/>
          <w:b/>
          <w:bCs/>
        </w:rPr>
      </w:pPr>
      <w:r>
        <w:rPr>
          <w:rFonts w:hint="eastAsia"/>
          <w:b/>
          <w:bCs/>
        </w:rPr>
        <w:t>2013年南雄市地表水</w:t>
      </w:r>
      <w:r>
        <w:rPr>
          <w:rFonts w:hint="eastAsia"/>
          <w:b/>
          <w:bCs/>
          <w:lang w:val="en-US" w:eastAsia="zh-CN"/>
        </w:rPr>
        <w:t>浈</w:t>
      </w:r>
      <w:r>
        <w:rPr>
          <w:rFonts w:hint="eastAsia"/>
          <w:b/>
          <w:bCs/>
        </w:rPr>
        <w:t>江河水质监测结果、评价表</w:t>
      </w:r>
    </w:p>
    <w:p w14:paraId="653E909A">
      <w:pPr>
        <w:rPr>
          <w:rFonts w:hint="default"/>
          <w:lang w:val="en-US" w:eastAsia="zh-CN"/>
        </w:rPr>
      </w:pPr>
      <w:r>
        <w:rPr>
          <w:rFonts w:hint="eastAsia"/>
          <w:lang w:val="en-US" w:eastAsia="zh-CN"/>
        </w:rPr>
        <w:t>表21</w:t>
      </w:r>
    </w:p>
    <w:p w14:paraId="395A6774">
      <w:pPr>
        <w:jc w:val="right"/>
        <w:rPr>
          <w:rFonts w:hint="default"/>
          <w:lang w:val="en-US" w:eastAsia="zh-CN"/>
        </w:rPr>
      </w:pPr>
      <w:r>
        <w:rPr>
          <w:rFonts w:hint="default"/>
          <w:lang w:val="en-US" w:eastAsia="zh-CN"/>
        </w:rPr>
        <w:t>单位：mg/L(pH值：无量纲）</w:t>
      </w:r>
    </w:p>
    <w:tbl>
      <w:tblPr>
        <w:tblStyle w:val="7"/>
        <w:tblW w:w="5000"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Layout w:type="fixed"/>
        <w:tblCellMar>
          <w:top w:w="0" w:type="dxa"/>
          <w:left w:w="0" w:type="dxa"/>
          <w:bottom w:w="0" w:type="dxa"/>
          <w:right w:w="0" w:type="dxa"/>
        </w:tblCellMar>
      </w:tblPr>
      <w:tblGrid>
        <w:gridCol w:w="376"/>
        <w:gridCol w:w="376"/>
        <w:gridCol w:w="376"/>
        <w:gridCol w:w="376"/>
        <w:gridCol w:w="376"/>
        <w:gridCol w:w="376"/>
        <w:gridCol w:w="376"/>
        <w:gridCol w:w="376"/>
        <w:gridCol w:w="376"/>
        <w:gridCol w:w="376"/>
        <w:gridCol w:w="376"/>
        <w:gridCol w:w="376"/>
        <w:gridCol w:w="376"/>
        <w:gridCol w:w="376"/>
        <w:gridCol w:w="376"/>
        <w:gridCol w:w="376"/>
        <w:gridCol w:w="376"/>
        <w:gridCol w:w="376"/>
        <w:gridCol w:w="376"/>
        <w:gridCol w:w="376"/>
        <w:gridCol w:w="376"/>
        <w:gridCol w:w="376"/>
        <w:gridCol w:w="376"/>
        <w:gridCol w:w="376"/>
        <w:gridCol w:w="376"/>
        <w:gridCol w:w="376"/>
      </w:tblGrid>
      <w:tr w14:paraId="586AC53C">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975" w:hRule="atLeast"/>
        </w:trPr>
        <w:tc>
          <w:tcPr>
            <w:tcW w:w="19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31FF1CF">
            <w:pPr>
              <w:pStyle w:val="10"/>
              <w:bidi w:val="0"/>
              <w:jc w:val="center"/>
              <w:rPr>
                <w:rFonts w:hint="default"/>
                <w:b/>
                <w:bCs/>
                <w:color w:val="000000"/>
              </w:rPr>
            </w:pPr>
            <w:r>
              <w:rPr>
                <w:rFonts w:hint="eastAsia"/>
                <w:b/>
                <w:bCs/>
                <w:color w:val="000000"/>
                <w:lang w:val="en-US" w:eastAsia="zh-CN"/>
              </w:rPr>
              <w:t>断面名</w:t>
            </w:r>
            <w:r>
              <w:rPr>
                <w:rFonts w:hint="eastAsia"/>
                <w:b/>
                <w:bCs/>
                <w:color w:val="000000"/>
                <w:lang w:val="en-US" w:eastAsia="zh-CN"/>
              </w:rPr>
              <w:br w:type="textWrapping"/>
            </w:r>
            <w:r>
              <w:rPr>
                <w:rFonts w:hint="eastAsia"/>
                <w:b/>
                <w:bCs/>
                <w:color w:val="000000"/>
                <w:lang w:val="en-US" w:eastAsia="zh-CN"/>
              </w:rPr>
              <w:t>称</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AA47CEB">
            <w:pPr>
              <w:pStyle w:val="10"/>
              <w:bidi w:val="0"/>
              <w:jc w:val="center"/>
              <w:rPr>
                <w:rFonts w:hint="eastAsia"/>
                <w:b/>
                <w:bCs/>
                <w:color w:val="000000"/>
              </w:rPr>
            </w:pPr>
            <w:r>
              <w:rPr>
                <w:rFonts w:hint="eastAsia"/>
                <w:b/>
                <w:bCs/>
                <w:color w:val="000000"/>
                <w:lang w:val="en-US" w:eastAsia="zh-CN"/>
              </w:rPr>
              <w:t>指标</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2215A39">
            <w:pPr>
              <w:pStyle w:val="10"/>
              <w:bidi w:val="0"/>
              <w:jc w:val="center"/>
              <w:rPr>
                <w:rFonts w:hint="default"/>
                <w:b/>
                <w:bCs/>
                <w:color w:val="000000"/>
              </w:rPr>
            </w:pPr>
            <w:r>
              <w:rPr>
                <w:b/>
                <w:bCs/>
                <w:color w:val="000000"/>
                <w:lang w:val="en-US" w:eastAsia="zh-CN"/>
              </w:rPr>
              <w:t>pH</w:t>
            </w:r>
            <w:r>
              <w:rPr>
                <w:b/>
                <w:bCs/>
                <w:color w:val="000000"/>
                <w:lang w:val="en-US" w:eastAsia="zh-CN"/>
              </w:rPr>
              <w:br w:type="textWrapping"/>
            </w:r>
            <w:r>
              <w:rPr>
                <w:rFonts w:hint="eastAsia"/>
                <w:b/>
                <w:bCs/>
                <w:color w:val="000000"/>
                <w:lang w:val="en-US" w:eastAsia="zh-CN"/>
              </w:rPr>
              <w:t>值</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3B0C1CF">
            <w:pPr>
              <w:pStyle w:val="10"/>
              <w:bidi w:val="0"/>
              <w:jc w:val="center"/>
              <w:rPr>
                <w:rFonts w:hint="eastAsia"/>
                <w:b/>
                <w:bCs/>
                <w:color w:val="000000"/>
              </w:rPr>
            </w:pPr>
            <w:r>
              <w:rPr>
                <w:rFonts w:hint="eastAsia"/>
                <w:b/>
                <w:bCs/>
                <w:color w:val="000000"/>
                <w:lang w:val="en-US" w:eastAsia="zh-CN"/>
              </w:rPr>
              <w:t>溶解氧</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87D0CAB">
            <w:pPr>
              <w:pStyle w:val="10"/>
              <w:bidi w:val="0"/>
              <w:jc w:val="center"/>
              <w:rPr>
                <w:rFonts w:hint="eastAsia"/>
                <w:b/>
                <w:bCs/>
                <w:color w:val="000000"/>
              </w:rPr>
            </w:pPr>
            <w:r>
              <w:rPr>
                <w:rFonts w:hint="eastAsia"/>
                <w:b/>
                <w:bCs/>
                <w:color w:val="000000"/>
                <w:lang w:val="en-US" w:eastAsia="zh-CN"/>
              </w:rPr>
              <w:t>高猛酸盐指数</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C13D9D3">
            <w:pPr>
              <w:pStyle w:val="10"/>
              <w:bidi w:val="0"/>
              <w:jc w:val="center"/>
              <w:rPr>
                <w:rFonts w:hint="eastAsia"/>
                <w:b/>
                <w:bCs/>
                <w:color w:val="000000"/>
              </w:rPr>
            </w:pPr>
            <w:r>
              <w:rPr>
                <w:rFonts w:hint="eastAsia"/>
                <w:b/>
                <w:bCs/>
                <w:color w:val="000000"/>
                <w:lang w:val="en-US" w:eastAsia="zh-CN"/>
              </w:rPr>
              <w:t>化学需氧量</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ADECB89">
            <w:pPr>
              <w:pStyle w:val="10"/>
              <w:bidi w:val="0"/>
              <w:jc w:val="center"/>
              <w:rPr>
                <w:rFonts w:hint="default"/>
                <w:b/>
                <w:bCs/>
                <w:color w:val="000000"/>
              </w:rPr>
            </w:pPr>
            <w:r>
              <w:rPr>
                <w:rFonts w:hint="eastAsia"/>
                <w:b/>
                <w:bCs/>
                <w:color w:val="000000"/>
                <w:lang w:val="en-US" w:eastAsia="zh-CN"/>
              </w:rPr>
              <w:t>五日生化需氧</w:t>
            </w:r>
            <w:r>
              <w:rPr>
                <w:rFonts w:hint="eastAsia"/>
                <w:b/>
                <w:bCs/>
                <w:color w:val="000000"/>
                <w:lang w:val="en-US" w:eastAsia="zh-CN"/>
              </w:rPr>
              <w:br w:type="textWrapping"/>
            </w:r>
            <w:r>
              <w:rPr>
                <w:rFonts w:hint="eastAsia"/>
                <w:b/>
                <w:bCs/>
                <w:color w:val="000000"/>
                <w:lang w:val="en-US" w:eastAsia="zh-CN"/>
              </w:rPr>
              <w:t>量</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891C608">
            <w:pPr>
              <w:pStyle w:val="10"/>
              <w:bidi w:val="0"/>
              <w:jc w:val="center"/>
              <w:rPr>
                <w:rFonts w:hint="eastAsia"/>
                <w:b/>
                <w:bCs/>
                <w:color w:val="000000"/>
              </w:rPr>
            </w:pPr>
            <w:r>
              <w:rPr>
                <w:rFonts w:hint="eastAsia"/>
                <w:b/>
                <w:bCs/>
                <w:color w:val="000000"/>
                <w:lang w:val="en-US" w:eastAsia="zh-CN"/>
              </w:rPr>
              <w:t>氨氮</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7CA7CE1">
            <w:pPr>
              <w:pStyle w:val="10"/>
              <w:bidi w:val="0"/>
              <w:jc w:val="center"/>
              <w:rPr>
                <w:rFonts w:hint="eastAsia"/>
                <w:b/>
                <w:bCs/>
                <w:color w:val="000000"/>
              </w:rPr>
            </w:pPr>
            <w:r>
              <w:rPr>
                <w:rFonts w:hint="eastAsia"/>
                <w:b/>
                <w:bCs/>
                <w:color w:val="000000"/>
                <w:lang w:val="en-US" w:eastAsia="zh-CN"/>
              </w:rPr>
              <w:t>总磷</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B0EA002">
            <w:pPr>
              <w:pStyle w:val="10"/>
              <w:bidi w:val="0"/>
              <w:jc w:val="center"/>
              <w:rPr>
                <w:rFonts w:hint="eastAsia"/>
                <w:b/>
                <w:bCs/>
                <w:color w:val="000000"/>
              </w:rPr>
            </w:pPr>
            <w:r>
              <w:rPr>
                <w:rFonts w:hint="eastAsia"/>
                <w:b/>
                <w:bCs/>
                <w:color w:val="000000"/>
                <w:lang w:val="en-US" w:eastAsia="zh-CN"/>
              </w:rPr>
              <w:t>铜</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A5E845E">
            <w:pPr>
              <w:pStyle w:val="10"/>
              <w:bidi w:val="0"/>
              <w:jc w:val="center"/>
              <w:rPr>
                <w:rFonts w:hint="eastAsia"/>
                <w:b/>
                <w:bCs/>
                <w:color w:val="000000"/>
              </w:rPr>
            </w:pPr>
            <w:r>
              <w:rPr>
                <w:rFonts w:hint="eastAsia"/>
                <w:b/>
                <w:bCs/>
                <w:color w:val="000000"/>
                <w:lang w:val="en-US" w:eastAsia="zh-CN"/>
              </w:rPr>
              <w:t>锌</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593A708">
            <w:pPr>
              <w:pStyle w:val="10"/>
              <w:bidi w:val="0"/>
              <w:jc w:val="center"/>
              <w:rPr>
                <w:rFonts w:hint="default"/>
                <w:b/>
                <w:bCs/>
                <w:color w:val="000000"/>
              </w:rPr>
            </w:pPr>
            <w:r>
              <w:rPr>
                <w:rFonts w:hint="eastAsia"/>
                <w:b/>
                <w:bCs/>
                <w:color w:val="000000"/>
                <w:lang w:val="en-US" w:eastAsia="zh-CN"/>
              </w:rPr>
              <w:t>氛化物</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6E972DA">
            <w:pPr>
              <w:pStyle w:val="10"/>
              <w:bidi w:val="0"/>
              <w:jc w:val="center"/>
              <w:rPr>
                <w:rFonts w:hint="eastAsia"/>
                <w:b/>
                <w:bCs/>
                <w:color w:val="000000"/>
              </w:rPr>
            </w:pPr>
            <w:r>
              <w:rPr>
                <w:rFonts w:hint="eastAsia"/>
                <w:b/>
                <w:bCs/>
                <w:color w:val="000000"/>
                <w:lang w:val="en-US" w:eastAsia="zh-CN"/>
              </w:rPr>
              <w:t>硒</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E604B6D">
            <w:pPr>
              <w:pStyle w:val="10"/>
              <w:bidi w:val="0"/>
              <w:jc w:val="center"/>
              <w:rPr>
                <w:rFonts w:hint="eastAsia"/>
                <w:b/>
                <w:bCs/>
                <w:color w:val="000000"/>
              </w:rPr>
            </w:pPr>
            <w:r>
              <w:rPr>
                <w:rFonts w:hint="eastAsia"/>
                <w:b/>
                <w:bCs/>
                <w:color w:val="000000"/>
                <w:lang w:val="en-US" w:eastAsia="zh-CN"/>
              </w:rPr>
              <w:t>砷</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9B43ABD">
            <w:pPr>
              <w:pStyle w:val="10"/>
              <w:bidi w:val="0"/>
              <w:jc w:val="center"/>
              <w:rPr>
                <w:rFonts w:hint="eastAsia"/>
                <w:b/>
                <w:bCs/>
                <w:color w:val="000000"/>
              </w:rPr>
            </w:pPr>
            <w:r>
              <w:rPr>
                <w:rFonts w:hint="eastAsia"/>
                <w:b/>
                <w:bCs/>
                <w:color w:val="000000"/>
                <w:lang w:val="en-US" w:eastAsia="zh-CN"/>
              </w:rPr>
              <w:t>汞</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C217D06">
            <w:pPr>
              <w:pStyle w:val="10"/>
              <w:bidi w:val="0"/>
              <w:jc w:val="center"/>
              <w:rPr>
                <w:rFonts w:hint="eastAsia"/>
                <w:b/>
                <w:bCs/>
                <w:color w:val="000000"/>
              </w:rPr>
            </w:pPr>
            <w:r>
              <w:rPr>
                <w:rFonts w:hint="eastAsia"/>
                <w:b/>
                <w:bCs/>
                <w:color w:val="000000"/>
                <w:lang w:val="en-US" w:eastAsia="zh-CN"/>
              </w:rPr>
              <w:t>镉</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E07EA3D">
            <w:pPr>
              <w:pStyle w:val="10"/>
              <w:bidi w:val="0"/>
              <w:jc w:val="center"/>
              <w:rPr>
                <w:rFonts w:hint="eastAsia"/>
                <w:b/>
                <w:bCs/>
                <w:color w:val="000000"/>
              </w:rPr>
            </w:pPr>
            <w:r>
              <w:rPr>
                <w:rFonts w:hint="eastAsia"/>
                <w:b/>
                <w:bCs/>
                <w:color w:val="000000"/>
                <w:lang w:val="en-US" w:eastAsia="zh-CN"/>
              </w:rPr>
              <w:t>六价铭</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814B05F">
            <w:pPr>
              <w:pStyle w:val="10"/>
              <w:bidi w:val="0"/>
              <w:jc w:val="center"/>
              <w:rPr>
                <w:rFonts w:hint="eastAsia"/>
                <w:b/>
                <w:bCs/>
                <w:color w:val="000000"/>
              </w:rPr>
            </w:pPr>
            <w:r>
              <w:rPr>
                <w:rFonts w:hint="eastAsia"/>
                <w:b/>
                <w:bCs/>
                <w:color w:val="000000"/>
                <w:lang w:val="en-US" w:eastAsia="zh-CN"/>
              </w:rPr>
              <w:t>铅</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841825F">
            <w:pPr>
              <w:pStyle w:val="10"/>
              <w:bidi w:val="0"/>
              <w:jc w:val="center"/>
              <w:rPr>
                <w:rFonts w:hint="default"/>
                <w:b/>
                <w:bCs/>
                <w:color w:val="000000"/>
              </w:rPr>
            </w:pPr>
            <w:r>
              <w:rPr>
                <w:rFonts w:hint="eastAsia"/>
                <w:b/>
                <w:bCs/>
                <w:color w:val="000000"/>
                <w:lang w:val="en-US" w:eastAsia="zh-CN"/>
              </w:rPr>
              <w:t>氧化物</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BC70554">
            <w:pPr>
              <w:pStyle w:val="10"/>
              <w:bidi w:val="0"/>
              <w:jc w:val="center"/>
              <w:rPr>
                <w:rFonts w:hint="default"/>
                <w:b/>
                <w:bCs/>
                <w:color w:val="000000"/>
              </w:rPr>
            </w:pPr>
            <w:r>
              <w:rPr>
                <w:rFonts w:hint="eastAsia"/>
                <w:b/>
                <w:bCs/>
                <w:color w:val="000000"/>
                <w:lang w:val="en-US" w:eastAsia="zh-CN"/>
              </w:rPr>
              <w:t>挥发酚</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E8C8B49">
            <w:pPr>
              <w:pStyle w:val="10"/>
              <w:bidi w:val="0"/>
              <w:jc w:val="center"/>
              <w:rPr>
                <w:rFonts w:hint="eastAsia"/>
                <w:b/>
                <w:bCs/>
                <w:color w:val="000000"/>
              </w:rPr>
            </w:pPr>
            <w:r>
              <w:rPr>
                <w:rFonts w:hint="eastAsia"/>
                <w:b/>
                <w:bCs/>
                <w:color w:val="000000"/>
                <w:lang w:val="en-US" w:eastAsia="zh-CN"/>
              </w:rPr>
              <w:t>石油类</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C04C527">
            <w:pPr>
              <w:pStyle w:val="10"/>
              <w:bidi w:val="0"/>
              <w:jc w:val="center"/>
              <w:rPr>
                <w:rFonts w:hint="default"/>
                <w:b/>
                <w:bCs/>
                <w:color w:val="000000"/>
              </w:rPr>
            </w:pPr>
            <w:r>
              <w:rPr>
                <w:rFonts w:hint="eastAsia"/>
                <w:b/>
                <w:bCs/>
                <w:color w:val="000000"/>
                <w:lang w:val="en-US" w:eastAsia="zh-CN"/>
              </w:rPr>
              <w:t>阴离子表面活</w:t>
            </w:r>
            <w:r>
              <w:rPr>
                <w:rFonts w:hint="eastAsia"/>
                <w:b/>
                <w:bCs/>
                <w:color w:val="000000"/>
                <w:lang w:val="en-US" w:eastAsia="zh-CN"/>
              </w:rPr>
              <w:br w:type="textWrapping"/>
            </w:r>
            <w:r>
              <w:rPr>
                <w:rFonts w:hint="eastAsia"/>
                <w:b/>
                <w:bCs/>
                <w:color w:val="000000"/>
                <w:lang w:val="en-US" w:eastAsia="zh-CN"/>
              </w:rPr>
              <w:t>性剂</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E7CE581">
            <w:pPr>
              <w:pStyle w:val="10"/>
              <w:bidi w:val="0"/>
              <w:jc w:val="center"/>
              <w:rPr>
                <w:rFonts w:hint="default"/>
                <w:b/>
                <w:bCs/>
                <w:color w:val="000000"/>
              </w:rPr>
            </w:pPr>
            <w:r>
              <w:rPr>
                <w:rFonts w:hint="eastAsia"/>
                <w:b/>
                <w:bCs/>
                <w:color w:val="000000"/>
                <w:lang w:val="en-US" w:eastAsia="zh-CN"/>
              </w:rPr>
              <w:t>硫化物</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64D90D7">
            <w:pPr>
              <w:pStyle w:val="10"/>
              <w:bidi w:val="0"/>
              <w:jc w:val="center"/>
              <w:rPr>
                <w:rFonts w:hint="eastAsia"/>
                <w:b/>
                <w:bCs/>
                <w:color w:val="000000"/>
              </w:rPr>
            </w:pPr>
            <w:r>
              <w:rPr>
                <w:rFonts w:hint="eastAsia"/>
                <w:b/>
                <w:bCs/>
                <w:color w:val="000000"/>
                <w:lang w:val="en-US" w:eastAsia="zh-CN"/>
              </w:rPr>
              <w:t>综合污染指数均值</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144026C">
            <w:pPr>
              <w:pStyle w:val="10"/>
              <w:bidi w:val="0"/>
              <w:jc w:val="center"/>
              <w:rPr>
                <w:rFonts w:hint="eastAsia"/>
                <w:b/>
                <w:bCs/>
                <w:color w:val="000000"/>
              </w:rPr>
            </w:pPr>
            <w:r>
              <w:rPr>
                <w:rFonts w:hint="eastAsia"/>
                <w:b/>
                <w:bCs/>
                <w:color w:val="000000"/>
                <w:lang w:val="en-US" w:eastAsia="zh-CN"/>
              </w:rPr>
              <w:t>水质类别</w:t>
            </w:r>
          </w:p>
        </w:tc>
        <w:tc>
          <w:tcPr>
            <w:tcW w:w="19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3FD38902">
            <w:pPr>
              <w:pStyle w:val="10"/>
              <w:bidi w:val="0"/>
              <w:jc w:val="center"/>
              <w:rPr>
                <w:rFonts w:hint="default"/>
                <w:b/>
                <w:bCs/>
                <w:color w:val="000000"/>
              </w:rPr>
            </w:pPr>
            <w:r>
              <w:rPr>
                <w:rFonts w:hint="eastAsia"/>
                <w:b/>
                <w:bCs/>
                <w:color w:val="000000"/>
                <w:lang w:val="en-US" w:eastAsia="zh-CN"/>
              </w:rPr>
              <w:t>评价标</w:t>
            </w:r>
            <w:r>
              <w:rPr>
                <w:rFonts w:hint="eastAsia"/>
                <w:b/>
                <w:bCs/>
                <w:color w:val="000000"/>
                <w:lang w:val="en-US" w:eastAsia="zh-CN"/>
              </w:rPr>
              <w:br w:type="textWrapping"/>
            </w:r>
            <w:r>
              <w:rPr>
                <w:rFonts w:hint="eastAsia"/>
                <w:b/>
                <w:bCs/>
                <w:color w:val="000000"/>
                <w:lang w:val="en-US" w:eastAsia="zh-CN"/>
              </w:rPr>
              <w:t>准</w:t>
            </w:r>
          </w:p>
        </w:tc>
      </w:tr>
      <w:tr w14:paraId="7385F7B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60" w:hRule="atLeast"/>
        </w:trPr>
        <w:tc>
          <w:tcPr>
            <w:tcW w:w="192" w:type="pct"/>
            <w:vMerge w:val="restar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53AADC9">
            <w:pPr>
              <w:pStyle w:val="10"/>
              <w:bidi w:val="0"/>
              <w:jc w:val="center"/>
              <w:rPr>
                <w:rFonts w:hint="eastAsia"/>
                <w:color w:val="000000"/>
              </w:rPr>
            </w:pPr>
            <w:r>
              <w:rPr>
                <w:rFonts w:hint="eastAsia"/>
                <w:color w:val="000000"/>
                <w:lang w:val="en-US" w:eastAsia="zh-CN"/>
              </w:rPr>
              <w:t>古市</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559A058">
            <w:pPr>
              <w:pStyle w:val="10"/>
              <w:bidi w:val="0"/>
              <w:jc w:val="center"/>
              <w:rPr>
                <w:rFonts w:hint="eastAsia"/>
                <w:color w:val="000000"/>
              </w:rPr>
            </w:pPr>
            <w:r>
              <w:rPr>
                <w:rFonts w:hint="eastAsia"/>
                <w:color w:val="000000"/>
                <w:lang w:val="en-US" w:eastAsia="zh-CN"/>
              </w:rPr>
              <w:t>样品数</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FA9FA50">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AC7C86A">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144A63C">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96AB2A8">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85AF0F5">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C6FEE0F">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00ED2A0">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B1A71B7">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C802D1A">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45220D4">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FED51DD">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23B723D">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4D0D409">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5E29160">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DA78C38">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896DBAD">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1138C10">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0FA6B34">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EA37037">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7E9C4B7">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3A008F1">
            <w:pPr>
              <w:pStyle w:val="10"/>
              <w:bidi w:val="0"/>
              <w:jc w:val="center"/>
              <w:rPr>
                <w:rFonts w:hint="default"/>
                <w:color w:val="000000"/>
              </w:rPr>
            </w:pPr>
            <w:r>
              <w:rPr>
                <w:rFonts w:hint="default"/>
                <w:color w:val="000000"/>
                <w:lang w:val="en-US" w:eastAsia="zh-CN"/>
              </w:rPr>
              <w:t>6</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37CB420">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8E4E6E1">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15C0AC22">
            <w:pPr>
              <w:pStyle w:val="10"/>
              <w:bidi w:val="0"/>
              <w:jc w:val="center"/>
              <w:rPr>
                <w:rFonts w:hint="default"/>
                <w:color w:val="000000"/>
              </w:rPr>
            </w:pPr>
          </w:p>
        </w:tc>
      </w:tr>
      <w:tr w14:paraId="1F3337B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80" w:hRule="atLeast"/>
        </w:trPr>
        <w:tc>
          <w:tcPr>
            <w:tcW w:w="192" w:type="pct"/>
            <w:vMerge w:val="continue"/>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7C1921B">
            <w:pPr>
              <w:pStyle w:val="10"/>
              <w:bidi w:val="0"/>
              <w:jc w:val="center"/>
              <w:rPr>
                <w:rFonts w:hint="eastAsia"/>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C82DD91">
            <w:pPr>
              <w:pStyle w:val="10"/>
              <w:bidi w:val="0"/>
              <w:jc w:val="center"/>
              <w:rPr>
                <w:rFonts w:hint="eastAsia"/>
                <w:color w:val="000000"/>
              </w:rPr>
            </w:pPr>
            <w:r>
              <w:rPr>
                <w:rFonts w:hint="eastAsia"/>
                <w:color w:val="000000"/>
                <w:lang w:val="en-US" w:eastAsia="zh-CN"/>
              </w:rPr>
              <w:t>最大</w:t>
            </w:r>
            <w:r>
              <w:rPr>
                <w:rFonts w:hint="eastAsia"/>
                <w:color w:val="000000"/>
                <w:lang w:val="en-US" w:eastAsia="zh-CN"/>
              </w:rPr>
              <w:br w:type="textWrapping"/>
            </w:r>
            <w:r>
              <w:rPr>
                <w:rFonts w:hint="eastAsia"/>
                <w:color w:val="000000"/>
                <w:lang w:val="en-US" w:eastAsia="zh-CN"/>
              </w:rPr>
              <w:t>值</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6A1C71D">
            <w:pPr>
              <w:pStyle w:val="10"/>
              <w:bidi w:val="0"/>
              <w:jc w:val="center"/>
              <w:rPr>
                <w:rFonts w:hint="default"/>
                <w:color w:val="000000"/>
              </w:rPr>
            </w:pPr>
            <w:r>
              <w:rPr>
                <w:rFonts w:hint="default"/>
                <w:color w:val="000000"/>
                <w:lang w:val="en-US" w:eastAsia="zh-CN"/>
              </w:rPr>
              <w:t>7.8</w:t>
            </w:r>
            <w:r>
              <w:rPr>
                <w:rFonts w:hint="default"/>
                <w:color w:val="000000"/>
                <w:lang w:val="en-US" w:eastAsia="zh-CN"/>
              </w:rPr>
              <w:br w:type="textWrapping"/>
            </w:r>
            <w:r>
              <w:rPr>
                <w:rFonts w:hint="default"/>
                <w:color w:val="000000"/>
                <w:lang w:val="en-US" w:eastAsia="zh-CN"/>
              </w:rPr>
              <w:t>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802EDB1">
            <w:pPr>
              <w:pStyle w:val="10"/>
              <w:bidi w:val="0"/>
              <w:jc w:val="center"/>
              <w:rPr>
                <w:rFonts w:hint="default"/>
                <w:color w:val="000000"/>
              </w:rPr>
            </w:pPr>
            <w:r>
              <w:rPr>
                <w:rFonts w:hint="default"/>
                <w:color w:val="000000"/>
                <w:lang w:val="en-US" w:eastAsia="zh-CN"/>
              </w:rPr>
              <w:t>8.7</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26FC654">
            <w:pPr>
              <w:pStyle w:val="10"/>
              <w:bidi w:val="0"/>
              <w:jc w:val="center"/>
              <w:rPr>
                <w:rFonts w:hint="default"/>
                <w:color w:val="000000"/>
              </w:rPr>
            </w:pPr>
            <w:r>
              <w:rPr>
                <w:rFonts w:hint="default"/>
                <w:color w:val="000000"/>
                <w:lang w:val="en-US" w:eastAsia="zh-CN"/>
              </w:rPr>
              <w:t>3.4</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DEE63AA">
            <w:pPr>
              <w:pStyle w:val="10"/>
              <w:bidi w:val="0"/>
              <w:jc w:val="center"/>
              <w:rPr>
                <w:rFonts w:hint="default"/>
                <w:color w:val="000000"/>
              </w:rPr>
            </w:pPr>
            <w:r>
              <w:rPr>
                <w:rFonts w:hint="default"/>
                <w:color w:val="000000"/>
                <w:lang w:val="en-US" w:eastAsia="zh-CN"/>
              </w:rPr>
              <w:t>9.9</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DBA4474">
            <w:pPr>
              <w:pStyle w:val="10"/>
              <w:bidi w:val="0"/>
              <w:jc w:val="center"/>
              <w:rPr>
                <w:rFonts w:hint="default"/>
                <w:color w:val="000000"/>
              </w:rPr>
            </w:pPr>
            <w:r>
              <w:rPr>
                <w:rFonts w:hint="default"/>
                <w:color w:val="000000"/>
                <w:lang w:val="en-US" w:eastAsia="zh-CN"/>
              </w:rPr>
              <w:t>2.8</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A5DC7D2">
            <w:pPr>
              <w:pStyle w:val="10"/>
              <w:bidi w:val="0"/>
              <w:jc w:val="center"/>
              <w:rPr>
                <w:rFonts w:hint="default"/>
                <w:color w:val="000000"/>
              </w:rPr>
            </w:pPr>
            <w:r>
              <w:rPr>
                <w:rFonts w:hint="default"/>
                <w:color w:val="000000"/>
                <w:lang w:val="en-US" w:eastAsia="zh-CN"/>
              </w:rPr>
              <w:t>0.459</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0DD7551">
            <w:pPr>
              <w:pStyle w:val="10"/>
              <w:bidi w:val="0"/>
              <w:jc w:val="center"/>
              <w:rPr>
                <w:rFonts w:hint="default"/>
                <w:color w:val="000000"/>
              </w:rPr>
            </w:pPr>
            <w:r>
              <w:rPr>
                <w:rFonts w:hint="default"/>
                <w:color w:val="000000"/>
                <w:lang w:val="en-US" w:eastAsia="zh-CN"/>
              </w:rPr>
              <w:t>0.124</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950AB12">
            <w:pPr>
              <w:pStyle w:val="10"/>
              <w:bidi w:val="0"/>
              <w:jc w:val="center"/>
              <w:rPr>
                <w:rFonts w:hint="default"/>
                <w:color w:val="000000"/>
              </w:rPr>
            </w:pPr>
            <w:r>
              <w:rPr>
                <w:rFonts w:hint="default"/>
                <w:color w:val="000000"/>
                <w:lang w:val="en-US" w:eastAsia="zh-CN"/>
              </w:rPr>
              <w:t>0.002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BDB6AE2">
            <w:pPr>
              <w:pStyle w:val="10"/>
              <w:bidi w:val="0"/>
              <w:jc w:val="center"/>
              <w:rPr>
                <w:rFonts w:hint="default"/>
                <w:color w:val="000000"/>
              </w:rPr>
            </w:pPr>
            <w:r>
              <w:rPr>
                <w:rFonts w:hint="default"/>
                <w:color w:val="000000"/>
                <w:lang w:val="en-US" w:eastAsia="zh-CN"/>
              </w:rPr>
              <w:t>0.028</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302590F">
            <w:pPr>
              <w:pStyle w:val="10"/>
              <w:bidi w:val="0"/>
              <w:jc w:val="center"/>
              <w:rPr>
                <w:rFonts w:hint="default"/>
                <w:color w:val="000000"/>
              </w:rPr>
            </w:pPr>
            <w:r>
              <w:rPr>
                <w:rFonts w:hint="default"/>
                <w:color w:val="000000"/>
                <w:lang w:val="en-US" w:eastAsia="zh-CN"/>
              </w:rPr>
              <w:t>0.51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96DCF84">
            <w:pPr>
              <w:pStyle w:val="10"/>
              <w:bidi w:val="0"/>
              <w:jc w:val="center"/>
              <w:rPr>
                <w:rFonts w:hint="default"/>
                <w:color w:val="000000"/>
              </w:rPr>
            </w:pPr>
            <w:r>
              <w:rPr>
                <w:rFonts w:hint="default"/>
                <w:color w:val="000000"/>
                <w:lang w:val="en-US" w:eastAsia="zh-CN"/>
              </w:rPr>
              <w:t>0.00004</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C34BD5D">
            <w:pPr>
              <w:pStyle w:val="10"/>
              <w:bidi w:val="0"/>
              <w:jc w:val="center"/>
              <w:rPr>
                <w:rFonts w:hint="default"/>
                <w:color w:val="000000"/>
              </w:rPr>
            </w:pPr>
            <w:r>
              <w:rPr>
                <w:rFonts w:hint="default"/>
                <w:color w:val="000000"/>
                <w:lang w:val="en-US" w:eastAsia="zh-CN"/>
              </w:rPr>
              <w:t>0.00001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EE343BD">
            <w:pPr>
              <w:pStyle w:val="10"/>
              <w:bidi w:val="0"/>
              <w:jc w:val="center"/>
              <w:rPr>
                <w:rFonts w:hint="default"/>
                <w:color w:val="000000"/>
              </w:rPr>
            </w:pPr>
            <w:r>
              <w:rPr>
                <w:rFonts w:hint="default"/>
                <w:color w:val="000000"/>
                <w:lang w:val="en-US" w:eastAsia="zh-CN"/>
              </w:rPr>
              <w:t>0.00001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4786126">
            <w:pPr>
              <w:pStyle w:val="10"/>
              <w:bidi w:val="0"/>
              <w:jc w:val="center"/>
              <w:rPr>
                <w:rFonts w:hint="default"/>
                <w:color w:val="000000"/>
              </w:rPr>
            </w:pPr>
            <w:r>
              <w:rPr>
                <w:rFonts w:hint="default"/>
                <w:color w:val="000000"/>
                <w:lang w:val="en-US" w:eastAsia="zh-CN"/>
              </w:rPr>
              <w:t>0.002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22BE486">
            <w:pPr>
              <w:pStyle w:val="10"/>
              <w:bidi w:val="0"/>
              <w:jc w:val="center"/>
              <w:rPr>
                <w:rFonts w:hint="default"/>
                <w:color w:val="000000"/>
              </w:rPr>
            </w:pPr>
            <w:r>
              <w:rPr>
                <w:rFonts w:hint="default"/>
                <w:color w:val="000000"/>
                <w:lang w:val="en-US" w:eastAsia="zh-CN"/>
              </w:rPr>
              <w:t>0.020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21A3C5E">
            <w:pPr>
              <w:pStyle w:val="10"/>
              <w:bidi w:val="0"/>
              <w:jc w:val="center"/>
              <w:rPr>
                <w:rFonts w:hint="default"/>
                <w:color w:val="000000"/>
              </w:rPr>
            </w:pPr>
            <w:r>
              <w:rPr>
                <w:rFonts w:hint="default"/>
                <w:color w:val="000000"/>
                <w:lang w:val="en-US" w:eastAsia="zh-CN"/>
              </w:rPr>
              <w:t>0.0005</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F2A5B8A">
            <w:pPr>
              <w:pStyle w:val="10"/>
              <w:bidi w:val="0"/>
              <w:jc w:val="center"/>
              <w:rPr>
                <w:rFonts w:hint="default"/>
                <w:color w:val="000000"/>
              </w:rPr>
            </w:pPr>
            <w:r>
              <w:rPr>
                <w:rFonts w:hint="default"/>
                <w:color w:val="000000"/>
                <w:lang w:val="en-US" w:eastAsia="zh-CN"/>
              </w:rPr>
              <w:t>0.002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2449653">
            <w:pPr>
              <w:pStyle w:val="10"/>
              <w:bidi w:val="0"/>
              <w:jc w:val="center"/>
              <w:rPr>
                <w:rFonts w:hint="default"/>
                <w:color w:val="000000"/>
              </w:rPr>
            </w:pPr>
            <w:r>
              <w:rPr>
                <w:rFonts w:hint="default"/>
                <w:color w:val="000000"/>
                <w:lang w:val="en-US" w:eastAsia="zh-CN"/>
              </w:rPr>
              <w:t>0.0035</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7432A6E">
            <w:pPr>
              <w:pStyle w:val="10"/>
              <w:bidi w:val="0"/>
              <w:jc w:val="center"/>
              <w:rPr>
                <w:rFonts w:hint="default"/>
                <w:color w:val="000000"/>
              </w:rPr>
            </w:pPr>
            <w:r>
              <w:rPr>
                <w:rFonts w:hint="default"/>
                <w:color w:val="000000"/>
                <w:lang w:val="en-US" w:eastAsia="zh-CN"/>
              </w:rPr>
              <w:t>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9B062AF">
            <w:pPr>
              <w:pStyle w:val="10"/>
              <w:bidi w:val="0"/>
              <w:jc w:val="center"/>
              <w:rPr>
                <w:rFonts w:hint="default"/>
                <w:color w:val="000000"/>
              </w:rPr>
            </w:pPr>
            <w:r>
              <w:rPr>
                <w:rFonts w:hint="default"/>
                <w:color w:val="000000"/>
                <w:lang w:val="en-US" w:eastAsia="zh-CN"/>
              </w:rPr>
              <w:t>0.151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092B08A">
            <w:pPr>
              <w:pStyle w:val="10"/>
              <w:bidi w:val="0"/>
              <w:jc w:val="center"/>
              <w:rPr>
                <w:rFonts w:hint="default"/>
                <w:color w:val="000000"/>
              </w:rPr>
            </w:pPr>
            <w:r>
              <w:rPr>
                <w:rFonts w:hint="default"/>
                <w:color w:val="000000"/>
                <w:lang w:val="en-US" w:eastAsia="zh-CN"/>
              </w:rPr>
              <w:t>0.032</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23F9141">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4773E61">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30532301">
            <w:pPr>
              <w:pStyle w:val="10"/>
              <w:bidi w:val="0"/>
              <w:jc w:val="center"/>
              <w:rPr>
                <w:rFonts w:hint="default"/>
                <w:color w:val="000000"/>
              </w:rPr>
            </w:pPr>
          </w:p>
        </w:tc>
      </w:tr>
      <w:tr w14:paraId="010F317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80" w:hRule="atLeast"/>
        </w:trPr>
        <w:tc>
          <w:tcPr>
            <w:tcW w:w="192" w:type="pct"/>
            <w:vMerge w:val="continue"/>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817AC4D">
            <w:pPr>
              <w:pStyle w:val="10"/>
              <w:bidi w:val="0"/>
              <w:jc w:val="center"/>
              <w:rPr>
                <w:rFonts w:hint="eastAsia"/>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086B17E">
            <w:pPr>
              <w:pStyle w:val="10"/>
              <w:bidi w:val="0"/>
              <w:jc w:val="center"/>
              <w:rPr>
                <w:rFonts w:hint="default"/>
                <w:color w:val="000000"/>
              </w:rPr>
            </w:pPr>
            <w:r>
              <w:rPr>
                <w:rFonts w:hint="eastAsia"/>
                <w:color w:val="000000"/>
                <w:lang w:val="en-US" w:eastAsia="zh-CN"/>
              </w:rPr>
              <w:t>最小</w:t>
            </w:r>
            <w:r>
              <w:rPr>
                <w:rFonts w:hint="eastAsia"/>
                <w:color w:val="000000"/>
                <w:lang w:val="en-US" w:eastAsia="zh-CN"/>
              </w:rPr>
              <w:br w:type="textWrapping"/>
            </w:r>
            <w:r>
              <w:rPr>
                <w:rFonts w:hint="eastAsia"/>
                <w:color w:val="000000"/>
                <w:lang w:val="en-US" w:eastAsia="zh-CN"/>
              </w:rPr>
              <w:t>值</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17FA978">
            <w:pPr>
              <w:pStyle w:val="10"/>
              <w:bidi w:val="0"/>
              <w:jc w:val="center"/>
              <w:rPr>
                <w:rFonts w:hint="default"/>
                <w:color w:val="000000"/>
              </w:rPr>
            </w:pPr>
            <w:r>
              <w:rPr>
                <w:rFonts w:hint="default"/>
                <w:color w:val="000000"/>
                <w:lang w:val="en-US" w:eastAsia="zh-CN"/>
              </w:rPr>
              <w:t>6.8</w:t>
            </w:r>
            <w:r>
              <w:rPr>
                <w:rFonts w:hint="default"/>
                <w:color w:val="000000"/>
                <w:lang w:val="en-US" w:eastAsia="zh-CN"/>
              </w:rPr>
              <w:br w:type="textWrapping"/>
            </w:r>
            <w:r>
              <w:rPr>
                <w:rFonts w:hint="default"/>
                <w:color w:val="000000"/>
                <w:lang w:val="en-US" w:eastAsia="zh-CN"/>
              </w:rPr>
              <w:t>4</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AFB6297">
            <w:pPr>
              <w:pStyle w:val="10"/>
              <w:bidi w:val="0"/>
              <w:jc w:val="center"/>
              <w:rPr>
                <w:rFonts w:hint="default"/>
                <w:color w:val="000000"/>
              </w:rPr>
            </w:pPr>
            <w:r>
              <w:rPr>
                <w:rFonts w:hint="default"/>
                <w:color w:val="000000"/>
                <w:lang w:val="en-US" w:eastAsia="zh-CN"/>
              </w:rPr>
              <w:t>6.7</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AB19448">
            <w:pPr>
              <w:pStyle w:val="10"/>
              <w:bidi w:val="0"/>
              <w:jc w:val="center"/>
              <w:rPr>
                <w:rFonts w:hint="default"/>
                <w:color w:val="000000"/>
              </w:rPr>
            </w:pPr>
            <w:r>
              <w:rPr>
                <w:rFonts w:hint="default"/>
                <w:color w:val="000000"/>
                <w:lang w:val="en-US" w:eastAsia="zh-CN"/>
              </w:rPr>
              <w:t>1.7</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7F60A28">
            <w:pPr>
              <w:pStyle w:val="10"/>
              <w:bidi w:val="0"/>
              <w:jc w:val="center"/>
              <w:rPr>
                <w:rFonts w:hint="default"/>
                <w:color w:val="000000"/>
              </w:rPr>
            </w:pPr>
            <w:r>
              <w:rPr>
                <w:rFonts w:hint="default"/>
                <w:color w:val="000000"/>
                <w:lang w:val="en-US" w:eastAsia="zh-CN"/>
              </w:rPr>
              <w:t>6.9</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E9E62B9">
            <w:pPr>
              <w:pStyle w:val="10"/>
              <w:bidi w:val="0"/>
              <w:jc w:val="center"/>
              <w:rPr>
                <w:rFonts w:hint="default"/>
                <w:color w:val="000000"/>
              </w:rPr>
            </w:pPr>
            <w:r>
              <w:rPr>
                <w:rFonts w:hint="default"/>
                <w:color w:val="000000"/>
                <w:lang w:val="en-US" w:eastAsia="zh-CN"/>
              </w:rPr>
              <w:t>2.2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429DCB7">
            <w:pPr>
              <w:pStyle w:val="10"/>
              <w:bidi w:val="0"/>
              <w:jc w:val="center"/>
              <w:rPr>
                <w:rFonts w:hint="default"/>
                <w:color w:val="000000"/>
              </w:rPr>
            </w:pPr>
            <w:r>
              <w:rPr>
                <w:rFonts w:hint="default"/>
                <w:color w:val="000000"/>
                <w:lang w:val="en-US" w:eastAsia="zh-CN"/>
              </w:rPr>
              <w:t>0.220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8EE439A">
            <w:pPr>
              <w:pStyle w:val="10"/>
              <w:bidi w:val="0"/>
              <w:jc w:val="center"/>
              <w:rPr>
                <w:rFonts w:hint="default"/>
                <w:color w:val="000000"/>
              </w:rPr>
            </w:pPr>
            <w:r>
              <w:rPr>
                <w:rFonts w:hint="default"/>
                <w:color w:val="000000"/>
                <w:lang w:val="en-US" w:eastAsia="zh-CN"/>
              </w:rPr>
              <w:t>0.040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031439B">
            <w:pPr>
              <w:pStyle w:val="10"/>
              <w:bidi w:val="0"/>
              <w:jc w:val="center"/>
              <w:rPr>
                <w:rFonts w:hint="default"/>
                <w:color w:val="000000"/>
              </w:rPr>
            </w:pPr>
            <w:r>
              <w:rPr>
                <w:rFonts w:hint="default"/>
                <w:color w:val="000000"/>
                <w:lang w:val="en-US" w:eastAsia="zh-CN"/>
              </w:rPr>
              <w:t>0.002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849AC44">
            <w:pPr>
              <w:pStyle w:val="10"/>
              <w:bidi w:val="0"/>
              <w:jc w:val="center"/>
              <w:rPr>
                <w:rFonts w:hint="default"/>
                <w:color w:val="000000"/>
              </w:rPr>
            </w:pPr>
            <w:r>
              <w:rPr>
                <w:rFonts w:hint="default"/>
                <w:color w:val="000000"/>
                <w:lang w:val="en-US" w:eastAsia="zh-CN"/>
              </w:rPr>
              <w:t>0.001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E81A4D3">
            <w:pPr>
              <w:pStyle w:val="10"/>
              <w:bidi w:val="0"/>
              <w:jc w:val="center"/>
              <w:rPr>
                <w:rFonts w:hint="default"/>
                <w:color w:val="000000"/>
              </w:rPr>
            </w:pPr>
            <w:r>
              <w:rPr>
                <w:rFonts w:hint="default"/>
                <w:color w:val="000000"/>
                <w:lang w:val="en-US" w:eastAsia="zh-CN"/>
              </w:rPr>
              <w:t>0.13</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F82372E">
            <w:pPr>
              <w:pStyle w:val="10"/>
              <w:bidi w:val="0"/>
              <w:jc w:val="center"/>
              <w:rPr>
                <w:rFonts w:hint="default"/>
                <w:color w:val="000000"/>
              </w:rPr>
            </w:pPr>
            <w:r>
              <w:rPr>
                <w:rFonts w:hint="default"/>
                <w:color w:val="000000"/>
                <w:lang w:val="en-US" w:eastAsia="zh-CN"/>
              </w:rPr>
              <w:t>0.00004</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5DB8C45">
            <w:pPr>
              <w:pStyle w:val="10"/>
              <w:bidi w:val="0"/>
              <w:jc w:val="center"/>
              <w:rPr>
                <w:rFonts w:hint="default"/>
                <w:color w:val="000000"/>
              </w:rPr>
            </w:pPr>
            <w:r>
              <w:rPr>
                <w:rFonts w:hint="default"/>
                <w:color w:val="000000"/>
                <w:lang w:val="en-US" w:eastAsia="zh-CN"/>
              </w:rPr>
              <w:t>0.00001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203A55B">
            <w:pPr>
              <w:pStyle w:val="10"/>
              <w:bidi w:val="0"/>
              <w:jc w:val="center"/>
              <w:rPr>
                <w:rFonts w:hint="default"/>
                <w:color w:val="000000"/>
              </w:rPr>
            </w:pPr>
            <w:r>
              <w:rPr>
                <w:rFonts w:hint="default"/>
                <w:color w:val="000000"/>
                <w:lang w:val="en-US" w:eastAsia="zh-CN"/>
              </w:rPr>
              <w:t>0.00001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393F736">
            <w:pPr>
              <w:pStyle w:val="10"/>
              <w:bidi w:val="0"/>
              <w:jc w:val="center"/>
              <w:rPr>
                <w:rFonts w:hint="default"/>
                <w:color w:val="000000"/>
              </w:rPr>
            </w:pPr>
            <w:r>
              <w:rPr>
                <w:rFonts w:hint="default"/>
                <w:color w:val="000000"/>
                <w:lang w:val="en-US" w:eastAsia="zh-CN"/>
              </w:rPr>
              <w:t>0.002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740AD64">
            <w:pPr>
              <w:pStyle w:val="10"/>
              <w:bidi w:val="0"/>
              <w:jc w:val="center"/>
              <w:rPr>
                <w:rFonts w:hint="default"/>
                <w:color w:val="000000"/>
              </w:rPr>
            </w:pPr>
            <w:r>
              <w:rPr>
                <w:rFonts w:hint="default"/>
                <w:color w:val="000000"/>
                <w:lang w:val="en-US" w:eastAsia="zh-CN"/>
              </w:rPr>
              <w:t>0.005</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97F714B">
            <w:pPr>
              <w:pStyle w:val="10"/>
              <w:bidi w:val="0"/>
              <w:jc w:val="center"/>
              <w:rPr>
                <w:rFonts w:hint="default"/>
                <w:color w:val="000000"/>
              </w:rPr>
            </w:pPr>
            <w:r>
              <w:rPr>
                <w:rFonts w:hint="default"/>
                <w:color w:val="000000"/>
                <w:lang w:val="en-US" w:eastAsia="zh-CN"/>
              </w:rPr>
              <w:t>0.0005</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EE2C49F">
            <w:pPr>
              <w:pStyle w:val="10"/>
              <w:bidi w:val="0"/>
              <w:jc w:val="center"/>
              <w:rPr>
                <w:rFonts w:hint="default"/>
                <w:color w:val="000000"/>
              </w:rPr>
            </w:pPr>
            <w:r>
              <w:rPr>
                <w:rFonts w:hint="default"/>
                <w:color w:val="000000"/>
                <w:lang w:val="en-US" w:eastAsia="zh-CN"/>
              </w:rPr>
              <w:t>0.002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2EFECC8">
            <w:pPr>
              <w:pStyle w:val="10"/>
              <w:bidi w:val="0"/>
              <w:jc w:val="center"/>
              <w:rPr>
                <w:rFonts w:hint="default"/>
                <w:color w:val="000000"/>
              </w:rPr>
            </w:pPr>
            <w:r>
              <w:rPr>
                <w:rFonts w:hint="default"/>
                <w:color w:val="000000"/>
                <w:lang w:val="en-US" w:eastAsia="zh-CN"/>
              </w:rPr>
              <w:t>0.0012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C0F081E">
            <w:pPr>
              <w:pStyle w:val="10"/>
              <w:bidi w:val="0"/>
              <w:jc w:val="center"/>
              <w:rPr>
                <w:rFonts w:hint="default"/>
                <w:color w:val="000000"/>
              </w:rPr>
            </w:pPr>
            <w:r>
              <w:rPr>
                <w:rFonts w:hint="default"/>
                <w:color w:val="000000"/>
                <w:lang w:val="en-US" w:eastAsia="zh-CN"/>
              </w:rPr>
              <w:t>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8B81F4D">
            <w:pPr>
              <w:pStyle w:val="10"/>
              <w:bidi w:val="0"/>
              <w:jc w:val="center"/>
              <w:rPr>
                <w:rFonts w:hint="default"/>
                <w:color w:val="000000"/>
              </w:rPr>
            </w:pPr>
            <w:r>
              <w:rPr>
                <w:rFonts w:hint="default"/>
                <w:color w:val="000000"/>
                <w:lang w:val="en-US" w:eastAsia="zh-CN"/>
              </w:rPr>
              <w:t>0.025</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8D4CB85">
            <w:pPr>
              <w:pStyle w:val="10"/>
              <w:bidi w:val="0"/>
              <w:jc w:val="center"/>
              <w:rPr>
                <w:rFonts w:hint="default"/>
                <w:color w:val="000000"/>
              </w:rPr>
            </w:pPr>
            <w:r>
              <w:rPr>
                <w:rFonts w:hint="default"/>
                <w:color w:val="000000"/>
                <w:lang w:val="en-US" w:eastAsia="zh-CN"/>
              </w:rPr>
              <w:t>0.017</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133F7E8">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75D66FD">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50E223FB">
            <w:pPr>
              <w:pStyle w:val="10"/>
              <w:bidi w:val="0"/>
              <w:jc w:val="center"/>
              <w:rPr>
                <w:rFonts w:hint="default"/>
                <w:color w:val="000000"/>
              </w:rPr>
            </w:pPr>
          </w:p>
        </w:tc>
      </w:tr>
      <w:tr w14:paraId="54FB60E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75" w:hRule="atLeast"/>
        </w:trPr>
        <w:tc>
          <w:tcPr>
            <w:tcW w:w="192" w:type="pct"/>
            <w:vMerge w:val="continue"/>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9347D14">
            <w:pPr>
              <w:pStyle w:val="10"/>
              <w:bidi w:val="0"/>
              <w:jc w:val="center"/>
              <w:rPr>
                <w:rFonts w:hint="eastAsia"/>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428ECB5">
            <w:pPr>
              <w:pStyle w:val="10"/>
              <w:bidi w:val="0"/>
              <w:jc w:val="center"/>
              <w:rPr>
                <w:rFonts w:hint="eastAsia"/>
                <w:color w:val="000000"/>
              </w:rPr>
            </w:pPr>
            <w:r>
              <w:rPr>
                <w:rFonts w:hint="eastAsia"/>
                <w:color w:val="000000"/>
                <w:lang w:val="en-US" w:eastAsia="zh-CN"/>
              </w:rPr>
              <w:t>平均值</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AFF7079">
            <w:pPr>
              <w:pStyle w:val="10"/>
              <w:bidi w:val="0"/>
              <w:jc w:val="center"/>
              <w:rPr>
                <w:rFonts w:hint="default"/>
                <w:color w:val="000000"/>
              </w:rPr>
            </w:pPr>
            <w:r>
              <w:rPr>
                <w:rFonts w:hint="default"/>
                <w:color w:val="000000"/>
                <w:lang w:val="en-US" w:eastAsia="zh-CN"/>
              </w:rPr>
              <w:t>7.4</w:t>
            </w:r>
            <w:r>
              <w:rPr>
                <w:rFonts w:hint="default"/>
                <w:color w:val="000000"/>
                <w:lang w:val="en-US" w:eastAsia="zh-CN"/>
              </w:rPr>
              <w:br w:type="textWrapping"/>
            </w:r>
            <w:r>
              <w:rPr>
                <w:rFonts w:hint="default"/>
                <w:color w:val="000000"/>
                <w:lang w:val="en-US" w:eastAsia="zh-CN"/>
              </w:rPr>
              <w:t>5</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CE7188D">
            <w:pPr>
              <w:pStyle w:val="10"/>
              <w:bidi w:val="0"/>
              <w:jc w:val="center"/>
              <w:rPr>
                <w:rFonts w:hint="default"/>
                <w:color w:val="000000"/>
              </w:rPr>
            </w:pPr>
            <w:r>
              <w:rPr>
                <w:rFonts w:hint="default"/>
                <w:color w:val="000000"/>
                <w:lang w:val="en-US" w:eastAsia="zh-CN"/>
              </w:rPr>
              <w:t>7.8</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77B5FD4">
            <w:pPr>
              <w:pStyle w:val="10"/>
              <w:bidi w:val="0"/>
              <w:jc w:val="center"/>
              <w:rPr>
                <w:rFonts w:hint="default"/>
                <w:color w:val="000000"/>
              </w:rPr>
            </w:pPr>
            <w:r>
              <w:rPr>
                <w:rFonts w:hint="default"/>
                <w:color w:val="000000"/>
                <w:lang w:val="en-US" w:eastAsia="zh-CN"/>
              </w:rPr>
              <w:t>2.8</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2577621">
            <w:pPr>
              <w:pStyle w:val="10"/>
              <w:bidi w:val="0"/>
              <w:jc w:val="center"/>
              <w:rPr>
                <w:rFonts w:hint="default"/>
                <w:color w:val="000000"/>
              </w:rPr>
            </w:pPr>
            <w:r>
              <w:rPr>
                <w:rFonts w:hint="default"/>
                <w:color w:val="000000"/>
                <w:lang w:val="en-US" w:eastAsia="zh-CN"/>
              </w:rPr>
              <w:t>8.0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74F6279">
            <w:pPr>
              <w:pStyle w:val="10"/>
              <w:bidi w:val="0"/>
              <w:jc w:val="center"/>
              <w:rPr>
                <w:rFonts w:hint="default"/>
                <w:color w:val="000000"/>
              </w:rPr>
            </w:pPr>
            <w:r>
              <w:rPr>
                <w:rFonts w:hint="default"/>
                <w:color w:val="000000"/>
                <w:lang w:val="en-US" w:eastAsia="zh-CN"/>
              </w:rPr>
              <w:t>2.5</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CCA8F60">
            <w:pPr>
              <w:pStyle w:val="10"/>
              <w:bidi w:val="0"/>
              <w:jc w:val="center"/>
              <w:rPr>
                <w:rFonts w:hint="default"/>
                <w:color w:val="000000"/>
              </w:rPr>
            </w:pPr>
            <w:r>
              <w:rPr>
                <w:rFonts w:hint="default"/>
                <w:color w:val="000000"/>
                <w:lang w:val="en-US" w:eastAsia="zh-CN"/>
              </w:rPr>
              <w:t>0.340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05DADDC">
            <w:pPr>
              <w:pStyle w:val="10"/>
              <w:bidi w:val="0"/>
              <w:jc w:val="center"/>
              <w:rPr>
                <w:rFonts w:hint="default"/>
                <w:color w:val="000000"/>
              </w:rPr>
            </w:pPr>
            <w:r>
              <w:rPr>
                <w:rFonts w:hint="default"/>
                <w:color w:val="000000"/>
                <w:lang w:val="en-US" w:eastAsia="zh-CN"/>
              </w:rPr>
              <w:t>0.077</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8F19AC0">
            <w:pPr>
              <w:pStyle w:val="10"/>
              <w:bidi w:val="0"/>
              <w:jc w:val="center"/>
              <w:rPr>
                <w:rFonts w:hint="default"/>
                <w:color w:val="000000"/>
              </w:rPr>
            </w:pPr>
            <w:r>
              <w:rPr>
                <w:rFonts w:hint="default"/>
                <w:color w:val="000000"/>
                <w:lang w:val="en-US" w:eastAsia="zh-CN"/>
              </w:rPr>
              <w:t>0.002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BC1EC4B">
            <w:pPr>
              <w:pStyle w:val="10"/>
              <w:bidi w:val="0"/>
              <w:jc w:val="center"/>
              <w:rPr>
                <w:rFonts w:hint="default"/>
                <w:color w:val="000000"/>
              </w:rPr>
            </w:pPr>
            <w:r>
              <w:rPr>
                <w:rFonts w:hint="default"/>
                <w:color w:val="000000"/>
                <w:lang w:val="en-US" w:eastAsia="zh-CN"/>
              </w:rPr>
              <w:t>0.003</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A363F9E">
            <w:pPr>
              <w:pStyle w:val="10"/>
              <w:bidi w:val="0"/>
              <w:jc w:val="center"/>
              <w:rPr>
                <w:rFonts w:hint="default"/>
                <w:color w:val="000000"/>
              </w:rPr>
            </w:pPr>
            <w:r>
              <w:rPr>
                <w:rFonts w:hint="default"/>
                <w:color w:val="000000"/>
                <w:lang w:val="en-US" w:eastAsia="zh-CN"/>
              </w:rPr>
              <w:t>0.32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7B33F20">
            <w:pPr>
              <w:pStyle w:val="10"/>
              <w:bidi w:val="0"/>
              <w:jc w:val="center"/>
              <w:rPr>
                <w:rFonts w:hint="default"/>
                <w:color w:val="000000"/>
              </w:rPr>
            </w:pPr>
            <w:r>
              <w:rPr>
                <w:rFonts w:hint="default"/>
                <w:color w:val="000000"/>
                <w:lang w:val="en-US" w:eastAsia="zh-CN"/>
              </w:rPr>
              <w:t>0.00004</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3B93335">
            <w:pPr>
              <w:pStyle w:val="10"/>
              <w:bidi w:val="0"/>
              <w:jc w:val="center"/>
              <w:rPr>
                <w:rFonts w:hint="default"/>
                <w:color w:val="000000"/>
              </w:rPr>
            </w:pPr>
            <w:r>
              <w:rPr>
                <w:rFonts w:hint="default"/>
                <w:color w:val="000000"/>
                <w:lang w:val="en-US" w:eastAsia="zh-CN"/>
              </w:rPr>
              <w:t>0.00001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A67ED0D">
            <w:pPr>
              <w:pStyle w:val="10"/>
              <w:bidi w:val="0"/>
              <w:jc w:val="center"/>
              <w:rPr>
                <w:rFonts w:hint="default"/>
                <w:color w:val="000000"/>
              </w:rPr>
            </w:pPr>
            <w:r>
              <w:rPr>
                <w:rFonts w:hint="default"/>
                <w:color w:val="000000"/>
                <w:lang w:val="en-US" w:eastAsia="zh-CN"/>
              </w:rPr>
              <w:t>0.00001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01FAC12">
            <w:pPr>
              <w:pStyle w:val="10"/>
              <w:bidi w:val="0"/>
              <w:jc w:val="center"/>
              <w:rPr>
                <w:rFonts w:hint="default"/>
                <w:color w:val="000000"/>
              </w:rPr>
            </w:pPr>
            <w:r>
              <w:rPr>
                <w:rFonts w:hint="default"/>
                <w:color w:val="000000"/>
                <w:lang w:val="en-US" w:eastAsia="zh-CN"/>
              </w:rPr>
              <w:t>0.002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1C4B55F">
            <w:pPr>
              <w:pStyle w:val="10"/>
              <w:bidi w:val="0"/>
              <w:jc w:val="center"/>
              <w:rPr>
                <w:rFonts w:hint="default"/>
                <w:color w:val="000000"/>
              </w:rPr>
            </w:pPr>
            <w:r>
              <w:rPr>
                <w:rFonts w:hint="default"/>
                <w:color w:val="000000"/>
                <w:lang w:val="en-US" w:eastAsia="zh-CN"/>
              </w:rPr>
              <w:t>0.013</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C7B9137">
            <w:pPr>
              <w:pStyle w:val="10"/>
              <w:bidi w:val="0"/>
              <w:jc w:val="center"/>
              <w:rPr>
                <w:rFonts w:hint="default"/>
                <w:color w:val="000000"/>
              </w:rPr>
            </w:pPr>
            <w:r>
              <w:rPr>
                <w:rFonts w:hint="default"/>
                <w:color w:val="000000"/>
                <w:lang w:val="en-US" w:eastAsia="zh-CN"/>
              </w:rPr>
              <w:t>0.0005</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BB145E9">
            <w:pPr>
              <w:pStyle w:val="10"/>
              <w:bidi w:val="0"/>
              <w:jc w:val="center"/>
              <w:rPr>
                <w:rFonts w:hint="default"/>
                <w:color w:val="000000"/>
              </w:rPr>
            </w:pPr>
            <w:r>
              <w:rPr>
                <w:rFonts w:hint="default"/>
                <w:color w:val="000000"/>
                <w:lang w:val="en-US" w:eastAsia="zh-CN"/>
              </w:rPr>
              <w:t>0.002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86E68B6">
            <w:pPr>
              <w:pStyle w:val="10"/>
              <w:bidi w:val="0"/>
              <w:jc w:val="center"/>
              <w:rPr>
                <w:rFonts w:hint="default"/>
                <w:color w:val="000000"/>
              </w:rPr>
            </w:pPr>
            <w:r>
              <w:rPr>
                <w:rFonts w:hint="default"/>
                <w:color w:val="000000"/>
                <w:lang w:val="en-US" w:eastAsia="zh-CN"/>
              </w:rPr>
              <w:t>0.0020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A5821E3">
            <w:pPr>
              <w:pStyle w:val="10"/>
              <w:bidi w:val="0"/>
              <w:jc w:val="center"/>
              <w:rPr>
                <w:rFonts w:hint="default"/>
                <w:color w:val="000000"/>
              </w:rPr>
            </w:pPr>
            <w:r>
              <w:rPr>
                <w:rFonts w:hint="default"/>
                <w:color w:val="000000"/>
                <w:lang w:val="en-US" w:eastAsia="zh-CN"/>
              </w:rPr>
              <w:t>0.02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E68A5E4">
            <w:pPr>
              <w:pStyle w:val="10"/>
              <w:bidi w:val="0"/>
              <w:jc w:val="center"/>
              <w:rPr>
                <w:rFonts w:hint="default"/>
                <w:color w:val="000000"/>
              </w:rPr>
            </w:pPr>
            <w:r>
              <w:rPr>
                <w:rFonts w:hint="default"/>
                <w:color w:val="000000"/>
                <w:lang w:val="en-US" w:eastAsia="zh-CN"/>
              </w:rPr>
              <w:t>0.080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407A9ED">
            <w:pPr>
              <w:pStyle w:val="10"/>
              <w:bidi w:val="0"/>
              <w:jc w:val="center"/>
              <w:rPr>
                <w:rFonts w:hint="default"/>
                <w:color w:val="000000"/>
              </w:rPr>
            </w:pPr>
            <w:r>
              <w:rPr>
                <w:rFonts w:hint="default"/>
                <w:color w:val="000000"/>
                <w:lang w:val="en-US" w:eastAsia="zh-CN"/>
              </w:rPr>
              <w:t>0.026</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B38EA12">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81198CD">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19ED51ED">
            <w:pPr>
              <w:pStyle w:val="10"/>
              <w:bidi w:val="0"/>
              <w:jc w:val="center"/>
              <w:rPr>
                <w:rFonts w:hint="default"/>
                <w:color w:val="000000"/>
              </w:rPr>
            </w:pPr>
          </w:p>
        </w:tc>
      </w:tr>
      <w:tr w14:paraId="34736E6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85" w:hRule="atLeast"/>
        </w:trPr>
        <w:tc>
          <w:tcPr>
            <w:tcW w:w="192" w:type="pct"/>
            <w:vMerge w:val="continue"/>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8686C29">
            <w:pPr>
              <w:pStyle w:val="10"/>
              <w:bidi w:val="0"/>
              <w:jc w:val="center"/>
              <w:rPr>
                <w:rFonts w:hint="eastAsia"/>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0813C5B">
            <w:pPr>
              <w:pStyle w:val="10"/>
              <w:bidi w:val="0"/>
              <w:jc w:val="center"/>
              <w:rPr>
                <w:rFonts w:hint="eastAsia"/>
                <w:color w:val="000000"/>
              </w:rPr>
            </w:pPr>
            <w:r>
              <w:rPr>
                <w:rFonts w:hint="eastAsia"/>
                <w:color w:val="000000"/>
                <w:lang w:val="en-US" w:eastAsia="zh-CN"/>
              </w:rPr>
              <w:t>水质类别</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5A97304">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0C0BAB1">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E853C9A">
            <w:pPr>
              <w:pStyle w:val="10"/>
              <w:bidi w:val="0"/>
              <w:jc w:val="center"/>
              <w:rPr>
                <w:rFonts w:hint="default"/>
                <w:color w:val="000000"/>
              </w:rPr>
            </w:pPr>
            <w:r>
              <w:rPr>
                <w:rFonts w:hint="default"/>
                <w:color w:val="000000"/>
                <w:lang w:val="en-US" w:eastAsia="zh-CN"/>
              </w:rPr>
              <w:t>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6707284">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8FE6427">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1206AA3">
            <w:pPr>
              <w:pStyle w:val="10"/>
              <w:bidi w:val="0"/>
              <w:jc w:val="center"/>
              <w:rPr>
                <w:rFonts w:hint="default"/>
                <w:color w:val="000000"/>
              </w:rPr>
            </w:pPr>
            <w:r>
              <w:rPr>
                <w:rFonts w:hint="default"/>
                <w:color w:val="000000"/>
                <w:lang w:val="en-US" w:eastAsia="zh-CN"/>
              </w:rPr>
              <w:t>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32BAD06">
            <w:pPr>
              <w:pStyle w:val="10"/>
              <w:bidi w:val="0"/>
              <w:jc w:val="center"/>
              <w:rPr>
                <w:rFonts w:hint="default"/>
                <w:color w:val="000000"/>
              </w:rPr>
            </w:pPr>
            <w:r>
              <w:rPr>
                <w:rFonts w:hint="default"/>
                <w:color w:val="000000"/>
                <w:lang w:val="en-US" w:eastAsia="zh-CN"/>
              </w:rPr>
              <w:t>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CB71D6A">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80E5DE8">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6033A8F">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09D6EED">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FBAA5EB">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608686F">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D51CAAE">
            <w:pPr>
              <w:pStyle w:val="10"/>
              <w:bidi w:val="0"/>
              <w:jc w:val="center"/>
              <w:rPr>
                <w:rFonts w:hint="default"/>
                <w:color w:val="000000"/>
              </w:rPr>
            </w:pPr>
            <w:r>
              <w:rPr>
                <w:rFonts w:hint="default"/>
                <w:color w:val="000000"/>
                <w:lang w:val="en-US" w:eastAsia="zh-CN"/>
              </w:rPr>
              <w:t>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4EBF4B7">
            <w:pPr>
              <w:pStyle w:val="10"/>
              <w:bidi w:val="0"/>
              <w:jc w:val="center"/>
              <w:rPr>
                <w:rFonts w:hint="default"/>
                <w:color w:val="000000"/>
              </w:rPr>
            </w:pPr>
            <w:r>
              <w:rPr>
                <w:rFonts w:hint="default"/>
                <w:color w:val="000000"/>
                <w:lang w:val="en-US" w:eastAsia="zh-CN"/>
              </w:rPr>
              <w:t>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F783FB6">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3FC7043">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1C81A81">
            <w:pPr>
              <w:pStyle w:val="10"/>
              <w:bidi w:val="0"/>
              <w:jc w:val="center"/>
              <w:rPr>
                <w:rFonts w:hint="default"/>
                <w:color w:val="000000"/>
              </w:rPr>
            </w:pPr>
            <w:r>
              <w:rPr>
                <w:rFonts w:hint="default"/>
                <w:color w:val="000000"/>
                <w:lang w:val="en-US" w:eastAsia="zh-CN"/>
              </w:rPr>
              <w:t>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7A455F9">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3FF94FE">
            <w:pPr>
              <w:pStyle w:val="10"/>
              <w:bidi w:val="0"/>
              <w:jc w:val="center"/>
              <w:rPr>
                <w:rFonts w:hint="default"/>
                <w:color w:val="000000"/>
              </w:rPr>
            </w:pPr>
            <w:r>
              <w:rPr>
                <w:rFonts w:hint="default"/>
                <w:color w:val="000000"/>
                <w:lang w:val="en-US" w:eastAsia="zh-CN"/>
              </w:rPr>
              <w:t>I</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2E9FC67">
            <w:pPr>
              <w:pStyle w:val="10"/>
              <w:bidi w:val="0"/>
              <w:jc w:val="center"/>
              <w:rPr>
                <w:rFonts w:hint="default"/>
                <w:color w:val="000000"/>
              </w:rPr>
            </w:pPr>
            <w:r>
              <w:rPr>
                <w:rFonts w:hint="default"/>
                <w:color w:val="000000"/>
                <w:lang w:val="en-US" w:eastAsia="zh-CN"/>
              </w:rPr>
              <w:t>1</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1C88646">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B3B0E7C">
            <w:pPr>
              <w:pStyle w:val="10"/>
              <w:bidi w:val="0"/>
              <w:jc w:val="center"/>
              <w:rPr>
                <w:rFonts w:hint="default"/>
                <w:color w:val="000000"/>
              </w:rPr>
            </w:pPr>
            <w:r>
              <w:rPr>
                <w:rFonts w:hint="default"/>
                <w:color w:val="000000"/>
                <w:lang w:val="en-US" w:eastAsia="zh-CN"/>
              </w:rPr>
              <w:t>2</w:t>
            </w:r>
          </w:p>
        </w:tc>
        <w:tc>
          <w:tcPr>
            <w:tcW w:w="19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1B32C78D">
            <w:pPr>
              <w:pStyle w:val="10"/>
              <w:bidi w:val="0"/>
              <w:jc w:val="center"/>
              <w:rPr>
                <w:rFonts w:hint="default"/>
                <w:color w:val="000000"/>
              </w:rPr>
            </w:pPr>
          </w:p>
        </w:tc>
      </w:tr>
      <w:tr w14:paraId="0EFDDE6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75" w:hRule="atLeast"/>
        </w:trPr>
        <w:tc>
          <w:tcPr>
            <w:tcW w:w="192" w:type="pct"/>
            <w:vMerge w:val="continue"/>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9A0E6A2">
            <w:pPr>
              <w:pStyle w:val="10"/>
              <w:bidi w:val="0"/>
              <w:jc w:val="center"/>
              <w:rPr>
                <w:rFonts w:hint="eastAsia"/>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090413A">
            <w:pPr>
              <w:pStyle w:val="10"/>
              <w:bidi w:val="0"/>
              <w:jc w:val="center"/>
              <w:rPr>
                <w:rFonts w:hint="eastAsia"/>
                <w:color w:val="000000"/>
              </w:rPr>
            </w:pPr>
            <w:r>
              <w:rPr>
                <w:rFonts w:hint="eastAsia"/>
                <w:color w:val="000000"/>
                <w:lang w:val="en-US" w:eastAsia="zh-CN"/>
              </w:rPr>
              <w:t>超标率％</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D75FE64">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246C76A">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DF8F9E3">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BA741A3">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F97E83D">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9B701E6">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C3A75E1">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F1AE2B9">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0CB4698">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124F542">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678779D">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8540B9D">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B10F8AC">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F86700E">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20B8932">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E099EEF">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BE8BD48">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FBF9EDF">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9A1C09E">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403261D">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8300276">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EC40372">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87096E0">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14:paraId="2DF5F4E3">
            <w:pPr>
              <w:pStyle w:val="10"/>
              <w:bidi w:val="0"/>
              <w:jc w:val="center"/>
              <w:rPr>
                <w:rFonts w:hint="default"/>
                <w:color w:val="000000"/>
              </w:rPr>
            </w:pPr>
            <w:r>
              <w:rPr>
                <w:rFonts w:hint="default"/>
                <w:color w:val="000000"/>
                <w:lang w:val="en-US" w:eastAsia="zh-CN"/>
              </w:rPr>
              <w:t>4</w:t>
            </w:r>
          </w:p>
        </w:tc>
      </w:tr>
      <w:tr w14:paraId="35D710A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70" w:hRule="atLeast"/>
        </w:trPr>
        <w:tc>
          <w:tcPr>
            <w:tcW w:w="192" w:type="pct"/>
            <w:vMerge w:val="continue"/>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D7A7BEB">
            <w:pPr>
              <w:pStyle w:val="10"/>
              <w:bidi w:val="0"/>
              <w:jc w:val="center"/>
              <w:rPr>
                <w:rFonts w:hint="eastAsia"/>
                <w:color w:val="000000"/>
              </w:rPr>
            </w:pP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EBBC546">
            <w:pPr>
              <w:pStyle w:val="10"/>
              <w:bidi w:val="0"/>
              <w:jc w:val="center"/>
              <w:rPr>
                <w:rFonts w:hint="eastAsia"/>
                <w:color w:val="000000"/>
              </w:rPr>
            </w:pPr>
            <w:r>
              <w:rPr>
                <w:rFonts w:hint="eastAsia"/>
                <w:color w:val="000000"/>
                <w:lang w:val="en-US" w:eastAsia="zh-CN"/>
              </w:rPr>
              <w:t>污染指数</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75AA5A4">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0385824">
            <w:pPr>
              <w:pStyle w:val="10"/>
              <w:bidi w:val="0"/>
              <w:jc w:val="center"/>
              <w:rPr>
                <w:rFonts w:hint="default"/>
                <w:color w:val="000000"/>
              </w:rPr>
            </w:pPr>
            <w:r>
              <w:rPr>
                <w:rFonts w:hint="default"/>
                <w:color w:val="000000"/>
                <w:lang w:val="en-US" w:eastAsia="zh-CN"/>
              </w:rPr>
              <w:t>—</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736D92E">
            <w:pPr>
              <w:pStyle w:val="10"/>
              <w:bidi w:val="0"/>
              <w:jc w:val="center"/>
              <w:rPr>
                <w:rFonts w:hint="default"/>
                <w:color w:val="000000"/>
              </w:rPr>
            </w:pPr>
            <w:r>
              <w:rPr>
                <w:rFonts w:hint="default"/>
                <w:color w:val="000000"/>
                <w:lang w:val="en-US" w:eastAsia="zh-CN"/>
              </w:rPr>
              <w:t>0.46</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DE7C04C">
            <w:pPr>
              <w:pStyle w:val="10"/>
              <w:bidi w:val="0"/>
              <w:jc w:val="center"/>
              <w:rPr>
                <w:rFonts w:hint="default"/>
                <w:color w:val="000000"/>
              </w:rPr>
            </w:pPr>
            <w:r>
              <w:rPr>
                <w:rFonts w:hint="default"/>
                <w:color w:val="000000"/>
                <w:lang w:val="en-US" w:eastAsia="zh-CN"/>
              </w:rPr>
              <w:t>0.40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F8B35C7">
            <w:pPr>
              <w:pStyle w:val="10"/>
              <w:bidi w:val="0"/>
              <w:jc w:val="center"/>
              <w:rPr>
                <w:rFonts w:hint="default"/>
                <w:color w:val="000000"/>
              </w:rPr>
            </w:pPr>
            <w:r>
              <w:rPr>
                <w:rFonts w:hint="default"/>
                <w:color w:val="000000"/>
                <w:lang w:val="en-US" w:eastAsia="zh-CN"/>
              </w:rPr>
              <w:t>0.62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9E67740">
            <w:pPr>
              <w:pStyle w:val="10"/>
              <w:bidi w:val="0"/>
              <w:jc w:val="center"/>
              <w:rPr>
                <w:rFonts w:hint="default"/>
                <w:color w:val="000000"/>
              </w:rPr>
            </w:pPr>
            <w:r>
              <w:rPr>
                <w:rFonts w:hint="default"/>
                <w:color w:val="000000"/>
                <w:lang w:val="en-US" w:eastAsia="zh-CN"/>
              </w:rPr>
              <w:t>0.34</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F0A50E2">
            <w:pPr>
              <w:pStyle w:val="10"/>
              <w:bidi w:val="0"/>
              <w:jc w:val="center"/>
              <w:rPr>
                <w:rFonts w:hint="default"/>
                <w:color w:val="000000"/>
              </w:rPr>
            </w:pPr>
            <w:r>
              <w:rPr>
                <w:rFonts w:hint="default"/>
                <w:color w:val="000000"/>
                <w:lang w:val="en-US" w:eastAsia="zh-CN"/>
              </w:rPr>
              <w:t>0.38</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7A404AD">
            <w:pPr>
              <w:pStyle w:val="10"/>
              <w:bidi w:val="0"/>
              <w:jc w:val="center"/>
              <w:rPr>
                <w:rFonts w:hint="default"/>
                <w:color w:val="000000"/>
              </w:rPr>
            </w:pPr>
            <w:r>
              <w:rPr>
                <w:rFonts w:hint="default"/>
                <w:color w:val="000000"/>
                <w:lang w:val="en-US" w:eastAsia="zh-CN"/>
              </w:rPr>
              <w:t>0.00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60B46C0">
            <w:pPr>
              <w:pStyle w:val="10"/>
              <w:bidi w:val="0"/>
              <w:jc w:val="center"/>
              <w:rPr>
                <w:rFonts w:hint="default"/>
                <w:color w:val="000000"/>
              </w:rPr>
            </w:pPr>
            <w:r>
              <w:rPr>
                <w:rFonts w:hint="default"/>
                <w:color w:val="000000"/>
                <w:lang w:val="en-US" w:eastAsia="zh-CN"/>
              </w:rPr>
              <w:t>0.00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D61D551">
            <w:pPr>
              <w:pStyle w:val="10"/>
              <w:bidi w:val="0"/>
              <w:jc w:val="center"/>
              <w:rPr>
                <w:rFonts w:hint="default"/>
                <w:color w:val="000000"/>
              </w:rPr>
            </w:pPr>
            <w:r>
              <w:rPr>
                <w:rFonts w:hint="default"/>
                <w:color w:val="000000"/>
                <w:lang w:val="en-US" w:eastAsia="zh-CN"/>
              </w:rPr>
              <w:t>0.32</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7939BD2">
            <w:pPr>
              <w:pStyle w:val="10"/>
              <w:bidi w:val="0"/>
              <w:jc w:val="center"/>
              <w:rPr>
                <w:rFonts w:hint="default"/>
                <w:color w:val="000000"/>
              </w:rPr>
            </w:pPr>
            <w:r>
              <w:rPr>
                <w:rFonts w:hint="default"/>
                <w:color w:val="000000"/>
                <w:lang w:val="en-US" w:eastAsia="zh-CN"/>
              </w:rPr>
              <w:t>0.00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20DCB19">
            <w:pPr>
              <w:pStyle w:val="10"/>
              <w:bidi w:val="0"/>
              <w:jc w:val="center"/>
              <w:rPr>
                <w:rFonts w:hint="default"/>
                <w:color w:val="000000"/>
              </w:rPr>
            </w:pPr>
            <w:r>
              <w:rPr>
                <w:rFonts w:hint="default"/>
                <w:color w:val="000000"/>
                <w:lang w:val="en-US" w:eastAsia="zh-CN"/>
              </w:rPr>
              <w:t>0.00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17BF639">
            <w:pPr>
              <w:pStyle w:val="10"/>
              <w:bidi w:val="0"/>
              <w:jc w:val="center"/>
              <w:rPr>
                <w:rFonts w:hint="default"/>
                <w:color w:val="000000"/>
              </w:rPr>
            </w:pPr>
            <w:r>
              <w:rPr>
                <w:rFonts w:hint="default"/>
                <w:color w:val="000000"/>
                <w:lang w:val="en-US" w:eastAsia="zh-CN"/>
              </w:rPr>
              <w:t>0.10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2F8CFEC">
            <w:pPr>
              <w:pStyle w:val="10"/>
              <w:bidi w:val="0"/>
              <w:jc w:val="center"/>
              <w:rPr>
                <w:rFonts w:hint="default"/>
                <w:color w:val="000000"/>
              </w:rPr>
            </w:pPr>
            <w:r>
              <w:rPr>
                <w:rFonts w:hint="default"/>
                <w:color w:val="000000"/>
                <w:lang w:val="en-US" w:eastAsia="zh-CN"/>
              </w:rPr>
              <w:t>0.40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19B02B4">
            <w:pPr>
              <w:pStyle w:val="10"/>
              <w:bidi w:val="0"/>
              <w:jc w:val="center"/>
              <w:rPr>
                <w:rFonts w:hint="default"/>
                <w:color w:val="000000"/>
              </w:rPr>
            </w:pPr>
            <w:r>
              <w:rPr>
                <w:rFonts w:hint="default"/>
                <w:color w:val="000000"/>
                <w:lang w:val="en-US" w:eastAsia="zh-CN"/>
              </w:rPr>
              <w:t>0.25</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B86F9CE">
            <w:pPr>
              <w:pStyle w:val="10"/>
              <w:bidi w:val="0"/>
              <w:jc w:val="center"/>
              <w:rPr>
                <w:rFonts w:hint="default"/>
                <w:color w:val="000000"/>
              </w:rPr>
            </w:pPr>
            <w:r>
              <w:rPr>
                <w:rFonts w:hint="default"/>
                <w:color w:val="000000"/>
                <w:lang w:val="en-US" w:eastAsia="zh-CN"/>
              </w:rPr>
              <w:t>0.01</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3233268">
            <w:pPr>
              <w:pStyle w:val="10"/>
              <w:bidi w:val="0"/>
              <w:jc w:val="center"/>
              <w:rPr>
                <w:rFonts w:hint="default"/>
                <w:color w:val="000000"/>
              </w:rPr>
            </w:pPr>
            <w:r>
              <w:rPr>
                <w:rFonts w:hint="default"/>
                <w:color w:val="000000"/>
                <w:lang w:val="en-US" w:eastAsia="zh-CN"/>
              </w:rPr>
              <w:t>0.01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DEAD1FE">
            <w:pPr>
              <w:pStyle w:val="10"/>
              <w:bidi w:val="0"/>
              <w:jc w:val="center"/>
              <w:rPr>
                <w:rFonts w:hint="default"/>
                <w:color w:val="000000"/>
              </w:rPr>
            </w:pPr>
            <w:r>
              <w:rPr>
                <w:rFonts w:hint="default"/>
                <w:color w:val="000000"/>
                <w:lang w:val="en-US" w:eastAsia="zh-CN"/>
              </w:rPr>
              <w:t>0.41</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89BF0C8">
            <w:pPr>
              <w:pStyle w:val="10"/>
              <w:bidi w:val="0"/>
              <w:jc w:val="center"/>
              <w:rPr>
                <w:rFonts w:hint="default"/>
                <w:color w:val="000000"/>
              </w:rPr>
            </w:pPr>
            <w:r>
              <w:rPr>
                <w:rFonts w:hint="default"/>
                <w:color w:val="000000"/>
                <w:lang w:val="en-US" w:eastAsia="zh-CN"/>
              </w:rPr>
              <w:t>0.40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3C7EE49">
            <w:pPr>
              <w:pStyle w:val="10"/>
              <w:bidi w:val="0"/>
              <w:jc w:val="center"/>
              <w:rPr>
                <w:rFonts w:hint="default"/>
                <w:color w:val="000000"/>
              </w:rPr>
            </w:pPr>
            <w:r>
              <w:rPr>
                <w:rFonts w:hint="default"/>
                <w:color w:val="000000"/>
                <w:lang w:val="en-US" w:eastAsia="zh-CN"/>
              </w:rPr>
              <w:t>0.40</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403288C">
            <w:pPr>
              <w:pStyle w:val="10"/>
              <w:bidi w:val="0"/>
              <w:jc w:val="center"/>
              <w:rPr>
                <w:rFonts w:hint="default"/>
                <w:color w:val="000000"/>
              </w:rPr>
            </w:pPr>
            <w:r>
              <w:rPr>
                <w:rFonts w:hint="default"/>
                <w:color w:val="000000"/>
                <w:lang w:val="en-US" w:eastAsia="zh-CN"/>
              </w:rPr>
              <w:t>0.13</w:t>
            </w:r>
          </w:p>
        </w:tc>
        <w:tc>
          <w:tcPr>
            <w:tcW w:w="19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EC03742">
            <w:pPr>
              <w:pStyle w:val="10"/>
              <w:bidi w:val="0"/>
              <w:jc w:val="center"/>
              <w:rPr>
                <w:rFonts w:hint="default"/>
                <w:color w:val="000000"/>
              </w:rPr>
            </w:pPr>
            <w:r>
              <w:rPr>
                <w:rFonts w:hint="default"/>
                <w:color w:val="000000"/>
                <w:lang w:val="en-US" w:eastAsia="zh-CN"/>
              </w:rPr>
              <w:t>0.24</w:t>
            </w:r>
          </w:p>
        </w:tc>
        <w:tc>
          <w:tcPr>
            <w:tcW w:w="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94A679A">
            <w:pPr>
              <w:pStyle w:val="10"/>
              <w:bidi w:val="0"/>
              <w:jc w:val="center"/>
              <w:rPr>
                <w:rFonts w:hint="default"/>
                <w:color w:val="000000"/>
              </w:rPr>
            </w:pPr>
          </w:p>
        </w:tc>
        <w:tc>
          <w:tcPr>
            <w:tcW w:w="19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14:paraId="06D574EE">
            <w:pPr>
              <w:pStyle w:val="10"/>
              <w:bidi w:val="0"/>
              <w:jc w:val="center"/>
              <w:rPr>
                <w:rFonts w:hint="default"/>
                <w:color w:val="000000"/>
              </w:rPr>
            </w:pPr>
            <w:r>
              <w:rPr>
                <w:rFonts w:hint="default"/>
                <w:color w:val="000000"/>
                <w:lang w:val="en-US" w:eastAsia="zh-CN"/>
              </w:rPr>
              <w:t>3</w:t>
            </w:r>
          </w:p>
        </w:tc>
      </w:tr>
    </w:tbl>
    <w:p w14:paraId="0514303D">
      <w:pPr>
        <w:pStyle w:val="10"/>
        <w:bidi w:val="0"/>
        <w:jc w:val="center"/>
        <w:rPr>
          <w:rFonts w:hint="eastAsia"/>
          <w:b/>
          <w:bCs/>
        </w:rPr>
      </w:pPr>
      <w:r>
        <w:rPr>
          <w:rFonts w:hint="eastAsia"/>
          <w:b/>
          <w:bCs/>
        </w:rPr>
        <w:t>河流断面水质评价</w:t>
      </w:r>
    </w:p>
    <w:p w14:paraId="06B0719A">
      <w:pPr>
        <w:bidi w:val="0"/>
        <w:rPr>
          <w:rFonts w:hint="eastAsia"/>
        </w:rPr>
      </w:pPr>
      <w:r>
        <w:rPr>
          <w:rFonts w:hint="eastAsia"/>
        </w:rPr>
        <w:t>表22</w:t>
      </w:r>
    </w:p>
    <w:tbl>
      <w:tblPr>
        <w:tblStyle w:val="7"/>
        <w:tblW w:w="4998" w:type="pct"/>
        <w:jc w:val="center"/>
        <w:tblBorders>
          <w:top w:val="single" w:color="auto" w:sz="8" w:space="0"/>
          <w:left w:val="single" w:color="auto" w:sz="4"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20"/>
        <w:gridCol w:w="1357"/>
        <w:gridCol w:w="1357"/>
        <w:gridCol w:w="5524"/>
      </w:tblGrid>
      <w:tr w14:paraId="66ED61F2">
        <w:tblPrEx>
          <w:tblBorders>
            <w:top w:val="single" w:color="auto" w:sz="8" w:space="0"/>
            <w:left w:val="single" w:color="auto" w:sz="4"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77" w:hRule="atLeast"/>
          <w:jc w:val="center"/>
        </w:trPr>
        <w:tc>
          <w:tcPr>
            <w:tcW w:w="864" w:type="pct"/>
            <w:tcBorders>
              <w:top w:val="single" w:color="000000" w:sz="8" w:space="0"/>
              <w:left w:val="nil"/>
              <w:bottom w:val="single" w:color="000000" w:sz="8" w:space="0"/>
              <w:right w:val="single" w:color="000000" w:sz="8" w:space="0"/>
            </w:tcBorders>
            <w:shd w:val="clear" w:color="auto" w:fill="FFFFFF"/>
            <w:noWrap w:val="0"/>
            <w:vAlign w:val="center"/>
          </w:tcPr>
          <w:p w14:paraId="13897F56">
            <w:pPr>
              <w:pStyle w:val="10"/>
              <w:bidi w:val="0"/>
              <w:jc w:val="center"/>
              <w:rPr>
                <w:rFonts w:hint="eastAsia"/>
                <w:b/>
                <w:bCs/>
                <w:color w:val="000000"/>
              </w:rPr>
            </w:pPr>
            <w:r>
              <w:rPr>
                <w:rFonts w:hint="eastAsia"/>
                <w:b/>
                <w:bCs/>
                <w:color w:val="000000"/>
              </w:rPr>
              <w:t>水质类别</w:t>
            </w:r>
          </w:p>
        </w:tc>
        <w:tc>
          <w:tcPr>
            <w:tcW w:w="6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E2EDEBA">
            <w:pPr>
              <w:pStyle w:val="10"/>
              <w:bidi w:val="0"/>
              <w:jc w:val="center"/>
              <w:rPr>
                <w:rFonts w:hint="eastAsia"/>
                <w:b/>
                <w:bCs/>
                <w:color w:val="000000"/>
              </w:rPr>
            </w:pPr>
            <w:r>
              <w:rPr>
                <w:rFonts w:hint="eastAsia"/>
                <w:b/>
                <w:bCs/>
                <w:color w:val="000000"/>
              </w:rPr>
              <w:t>水质状况</w:t>
            </w:r>
          </w:p>
        </w:tc>
        <w:tc>
          <w:tcPr>
            <w:tcW w:w="6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2E6FC33">
            <w:pPr>
              <w:pStyle w:val="10"/>
              <w:bidi w:val="0"/>
              <w:jc w:val="center"/>
              <w:rPr>
                <w:rFonts w:hint="eastAsia"/>
                <w:b/>
                <w:bCs/>
                <w:color w:val="000000"/>
              </w:rPr>
            </w:pPr>
            <w:r>
              <w:rPr>
                <w:rFonts w:hint="eastAsia"/>
                <w:b/>
                <w:bCs/>
                <w:color w:val="000000"/>
              </w:rPr>
              <w:t>表征颜色</w:t>
            </w:r>
          </w:p>
        </w:tc>
        <w:tc>
          <w:tcPr>
            <w:tcW w:w="2773" w:type="pct"/>
            <w:tcBorders>
              <w:top w:val="single" w:color="000000" w:sz="8" w:space="0"/>
              <w:left w:val="single" w:color="000000" w:sz="8" w:space="0"/>
              <w:bottom w:val="single" w:color="000000" w:sz="8" w:space="0"/>
              <w:right w:val="nil"/>
            </w:tcBorders>
            <w:shd w:val="clear" w:color="auto" w:fill="FFFFFF"/>
            <w:noWrap w:val="0"/>
            <w:vAlign w:val="center"/>
          </w:tcPr>
          <w:p w14:paraId="4210FE62">
            <w:pPr>
              <w:pStyle w:val="10"/>
              <w:bidi w:val="0"/>
              <w:jc w:val="center"/>
              <w:rPr>
                <w:rFonts w:hint="eastAsia"/>
                <w:b/>
                <w:bCs/>
                <w:color w:val="000000"/>
              </w:rPr>
            </w:pPr>
            <w:r>
              <w:rPr>
                <w:rFonts w:hint="eastAsia"/>
                <w:b/>
                <w:bCs/>
                <w:color w:val="000000"/>
              </w:rPr>
              <w:t>水质功能类别</w:t>
            </w:r>
          </w:p>
        </w:tc>
      </w:tr>
      <w:tr w14:paraId="2DF3A695">
        <w:tblPrEx>
          <w:tblBorders>
            <w:top w:val="single" w:color="auto" w:sz="8" w:space="0"/>
            <w:left w:val="single" w:color="auto" w:sz="4"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6" w:hRule="atLeast"/>
          <w:jc w:val="center"/>
        </w:trPr>
        <w:tc>
          <w:tcPr>
            <w:tcW w:w="864" w:type="pct"/>
            <w:tcBorders>
              <w:top w:val="single" w:color="000000" w:sz="8" w:space="0"/>
              <w:left w:val="nil"/>
              <w:bottom w:val="single" w:color="000000" w:sz="8" w:space="0"/>
              <w:right w:val="single" w:color="000000" w:sz="8" w:space="0"/>
            </w:tcBorders>
            <w:shd w:val="clear" w:color="auto" w:fill="FFFFFF"/>
            <w:noWrap w:val="0"/>
            <w:vAlign w:val="center"/>
          </w:tcPr>
          <w:p w14:paraId="159B059E">
            <w:pPr>
              <w:pStyle w:val="10"/>
              <w:bidi w:val="0"/>
              <w:jc w:val="center"/>
              <w:rPr>
                <w:rFonts w:hint="eastAsia"/>
                <w:color w:val="000000"/>
              </w:rPr>
            </w:pPr>
            <w:r>
              <w:rPr>
                <w:rFonts w:hint="eastAsia"/>
                <w:color w:val="000000"/>
              </w:rPr>
              <w:t>Ⅰ～Ⅱ类水质</w:t>
            </w:r>
          </w:p>
        </w:tc>
        <w:tc>
          <w:tcPr>
            <w:tcW w:w="6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659103E">
            <w:pPr>
              <w:pStyle w:val="10"/>
              <w:bidi w:val="0"/>
              <w:jc w:val="center"/>
              <w:rPr>
                <w:rFonts w:hint="eastAsia"/>
                <w:color w:val="000000"/>
              </w:rPr>
            </w:pPr>
            <w:r>
              <w:rPr>
                <w:rFonts w:hint="eastAsia"/>
                <w:color w:val="000000"/>
              </w:rPr>
              <w:t>优</w:t>
            </w:r>
          </w:p>
        </w:tc>
        <w:tc>
          <w:tcPr>
            <w:tcW w:w="6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10D63C0">
            <w:pPr>
              <w:pStyle w:val="10"/>
              <w:bidi w:val="0"/>
              <w:jc w:val="center"/>
              <w:rPr>
                <w:rFonts w:hint="eastAsia"/>
                <w:color w:val="000000"/>
              </w:rPr>
            </w:pPr>
            <w:r>
              <w:rPr>
                <w:rFonts w:hint="eastAsia"/>
                <w:color w:val="000000"/>
              </w:rPr>
              <w:t>蓝色</w:t>
            </w:r>
          </w:p>
        </w:tc>
        <w:tc>
          <w:tcPr>
            <w:tcW w:w="2773" w:type="pct"/>
            <w:tcBorders>
              <w:top w:val="single" w:color="000000" w:sz="8" w:space="0"/>
              <w:left w:val="single" w:color="000000" w:sz="8" w:space="0"/>
              <w:bottom w:val="single" w:color="000000" w:sz="8" w:space="0"/>
              <w:right w:val="nil"/>
            </w:tcBorders>
            <w:shd w:val="clear" w:color="auto" w:fill="FFFFFF"/>
            <w:noWrap w:val="0"/>
            <w:vAlign w:val="center"/>
          </w:tcPr>
          <w:p w14:paraId="77544F87">
            <w:pPr>
              <w:pStyle w:val="10"/>
              <w:bidi w:val="0"/>
              <w:jc w:val="both"/>
              <w:rPr>
                <w:rFonts w:hint="eastAsia"/>
                <w:color w:val="000000"/>
              </w:rPr>
            </w:pPr>
            <w:r>
              <w:rPr>
                <w:rFonts w:hint="eastAsia"/>
                <w:color w:val="000000"/>
              </w:rPr>
              <w:t>饮用水源地一级保护区、珍稀水生生物栖息地、鱼虾类产卵场、仔稚幼鱼的索饵场等</w:t>
            </w:r>
          </w:p>
        </w:tc>
      </w:tr>
      <w:tr w14:paraId="71E15BC3">
        <w:tblPrEx>
          <w:tblBorders>
            <w:top w:val="single" w:color="auto" w:sz="8" w:space="0"/>
            <w:left w:val="single" w:color="auto" w:sz="4"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34" w:hRule="atLeast"/>
          <w:jc w:val="center"/>
        </w:trPr>
        <w:tc>
          <w:tcPr>
            <w:tcW w:w="864" w:type="pct"/>
            <w:tcBorders>
              <w:top w:val="single" w:color="000000" w:sz="8" w:space="0"/>
              <w:left w:val="nil"/>
              <w:bottom w:val="single" w:color="000000" w:sz="8" w:space="0"/>
              <w:right w:val="single" w:color="000000" w:sz="8" w:space="0"/>
            </w:tcBorders>
            <w:shd w:val="clear" w:color="auto" w:fill="FFFFFF"/>
            <w:noWrap w:val="0"/>
            <w:vAlign w:val="center"/>
          </w:tcPr>
          <w:p w14:paraId="569DE2AE">
            <w:pPr>
              <w:pStyle w:val="10"/>
              <w:bidi w:val="0"/>
              <w:jc w:val="center"/>
              <w:rPr>
                <w:rFonts w:hint="eastAsia"/>
                <w:color w:val="000000"/>
              </w:rPr>
            </w:pPr>
            <w:r>
              <w:rPr>
                <w:rFonts w:hint="eastAsia"/>
                <w:color w:val="000000"/>
              </w:rPr>
              <w:t>Ⅲ类水质</w:t>
            </w:r>
          </w:p>
        </w:tc>
        <w:tc>
          <w:tcPr>
            <w:tcW w:w="6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7DF5723">
            <w:pPr>
              <w:pStyle w:val="10"/>
              <w:bidi w:val="0"/>
              <w:jc w:val="center"/>
              <w:rPr>
                <w:rFonts w:hint="eastAsia"/>
                <w:color w:val="000000"/>
              </w:rPr>
            </w:pPr>
            <w:r>
              <w:rPr>
                <w:rFonts w:hint="eastAsia"/>
                <w:color w:val="000000"/>
              </w:rPr>
              <w:t>良好</w:t>
            </w:r>
          </w:p>
        </w:tc>
        <w:tc>
          <w:tcPr>
            <w:tcW w:w="6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ED0A41A">
            <w:pPr>
              <w:pStyle w:val="10"/>
              <w:bidi w:val="0"/>
              <w:jc w:val="center"/>
              <w:rPr>
                <w:rFonts w:hint="eastAsia"/>
                <w:color w:val="000000"/>
              </w:rPr>
            </w:pPr>
            <w:r>
              <w:rPr>
                <w:rFonts w:hint="eastAsia"/>
                <w:color w:val="000000"/>
              </w:rPr>
              <w:t>绿色</w:t>
            </w:r>
          </w:p>
        </w:tc>
        <w:tc>
          <w:tcPr>
            <w:tcW w:w="2773" w:type="pct"/>
            <w:tcBorders>
              <w:top w:val="single" w:color="000000" w:sz="8" w:space="0"/>
              <w:left w:val="single" w:color="000000" w:sz="8" w:space="0"/>
              <w:bottom w:val="single" w:color="000000" w:sz="8" w:space="0"/>
              <w:right w:val="nil"/>
            </w:tcBorders>
            <w:shd w:val="clear" w:color="auto" w:fill="FFFFFF"/>
            <w:noWrap w:val="0"/>
            <w:vAlign w:val="center"/>
          </w:tcPr>
          <w:p w14:paraId="00E145D7">
            <w:pPr>
              <w:pStyle w:val="10"/>
              <w:bidi w:val="0"/>
              <w:jc w:val="both"/>
              <w:rPr>
                <w:rFonts w:hint="eastAsia"/>
                <w:color w:val="000000"/>
              </w:rPr>
            </w:pPr>
            <w:r>
              <w:rPr>
                <w:rFonts w:hint="eastAsia"/>
                <w:color w:val="000000"/>
              </w:rPr>
              <w:t>饮用水源地二级保护区、鱼虾类越冬场、洄游通道、水产养殖区、游泳区</w:t>
            </w:r>
          </w:p>
        </w:tc>
      </w:tr>
      <w:tr w14:paraId="485A5DF0">
        <w:tblPrEx>
          <w:tblBorders>
            <w:top w:val="single" w:color="auto" w:sz="8" w:space="0"/>
            <w:left w:val="single" w:color="auto" w:sz="4"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77" w:hRule="atLeast"/>
          <w:jc w:val="center"/>
        </w:trPr>
        <w:tc>
          <w:tcPr>
            <w:tcW w:w="864" w:type="pct"/>
            <w:tcBorders>
              <w:top w:val="single" w:color="000000" w:sz="8" w:space="0"/>
              <w:left w:val="nil"/>
              <w:bottom w:val="single" w:color="000000" w:sz="8" w:space="0"/>
              <w:right w:val="single" w:color="000000" w:sz="8" w:space="0"/>
            </w:tcBorders>
            <w:shd w:val="clear" w:color="auto" w:fill="FFFFFF"/>
            <w:noWrap w:val="0"/>
            <w:vAlign w:val="center"/>
          </w:tcPr>
          <w:p w14:paraId="01E79FE3">
            <w:pPr>
              <w:pStyle w:val="10"/>
              <w:bidi w:val="0"/>
              <w:jc w:val="center"/>
              <w:rPr>
                <w:rFonts w:hint="eastAsia"/>
                <w:color w:val="000000"/>
              </w:rPr>
            </w:pPr>
            <w:r>
              <w:rPr>
                <w:rFonts w:hint="eastAsia"/>
                <w:color w:val="000000"/>
              </w:rPr>
              <w:t>Ⅳ类水质</w:t>
            </w:r>
          </w:p>
        </w:tc>
        <w:tc>
          <w:tcPr>
            <w:tcW w:w="6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AE07A0E">
            <w:pPr>
              <w:pStyle w:val="10"/>
              <w:bidi w:val="0"/>
              <w:jc w:val="center"/>
              <w:rPr>
                <w:rFonts w:hint="eastAsia"/>
                <w:color w:val="000000"/>
              </w:rPr>
            </w:pPr>
            <w:r>
              <w:rPr>
                <w:rFonts w:hint="eastAsia"/>
                <w:color w:val="000000"/>
              </w:rPr>
              <w:t>轻度污染</w:t>
            </w:r>
          </w:p>
        </w:tc>
        <w:tc>
          <w:tcPr>
            <w:tcW w:w="6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A217E9F">
            <w:pPr>
              <w:pStyle w:val="10"/>
              <w:bidi w:val="0"/>
              <w:jc w:val="center"/>
              <w:rPr>
                <w:rFonts w:hint="eastAsia"/>
                <w:color w:val="000000"/>
              </w:rPr>
            </w:pPr>
            <w:r>
              <w:rPr>
                <w:rFonts w:hint="eastAsia"/>
                <w:color w:val="000000"/>
              </w:rPr>
              <w:t>黄色</w:t>
            </w:r>
          </w:p>
        </w:tc>
        <w:tc>
          <w:tcPr>
            <w:tcW w:w="2773" w:type="pct"/>
            <w:tcBorders>
              <w:top w:val="single" w:color="000000" w:sz="8" w:space="0"/>
              <w:left w:val="single" w:color="000000" w:sz="8" w:space="0"/>
              <w:bottom w:val="single" w:color="000000" w:sz="8" w:space="0"/>
              <w:right w:val="nil"/>
            </w:tcBorders>
            <w:shd w:val="clear" w:color="auto" w:fill="FFFFFF"/>
            <w:noWrap w:val="0"/>
            <w:vAlign w:val="center"/>
          </w:tcPr>
          <w:p w14:paraId="1D661378">
            <w:pPr>
              <w:pStyle w:val="10"/>
              <w:bidi w:val="0"/>
              <w:jc w:val="both"/>
              <w:rPr>
                <w:rFonts w:hint="eastAsia"/>
                <w:color w:val="000000"/>
              </w:rPr>
            </w:pPr>
            <w:r>
              <w:rPr>
                <w:rFonts w:hint="eastAsia"/>
                <w:color w:val="000000"/>
              </w:rPr>
              <w:t>一般工业用水和人体非直接接触的娱乐用水</w:t>
            </w:r>
          </w:p>
        </w:tc>
      </w:tr>
      <w:tr w14:paraId="373F55C2">
        <w:tblPrEx>
          <w:tblBorders>
            <w:top w:val="single" w:color="auto" w:sz="8" w:space="0"/>
            <w:left w:val="single" w:color="auto" w:sz="4"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77" w:hRule="atLeast"/>
          <w:jc w:val="center"/>
        </w:trPr>
        <w:tc>
          <w:tcPr>
            <w:tcW w:w="864" w:type="pct"/>
            <w:tcBorders>
              <w:top w:val="single" w:color="000000" w:sz="8" w:space="0"/>
              <w:left w:val="nil"/>
              <w:bottom w:val="single" w:color="000000" w:sz="8" w:space="0"/>
              <w:right w:val="single" w:color="000000" w:sz="8" w:space="0"/>
            </w:tcBorders>
            <w:shd w:val="clear" w:color="auto" w:fill="FFFFFF"/>
            <w:noWrap w:val="0"/>
            <w:vAlign w:val="center"/>
          </w:tcPr>
          <w:p w14:paraId="4F9DE0C4">
            <w:pPr>
              <w:pStyle w:val="10"/>
              <w:bidi w:val="0"/>
              <w:jc w:val="center"/>
              <w:rPr>
                <w:rFonts w:hint="eastAsia"/>
                <w:color w:val="000000"/>
              </w:rPr>
            </w:pPr>
            <w:r>
              <w:rPr>
                <w:rFonts w:hint="eastAsia"/>
                <w:color w:val="000000"/>
              </w:rPr>
              <w:t>Ⅴ类水质</w:t>
            </w:r>
          </w:p>
        </w:tc>
        <w:tc>
          <w:tcPr>
            <w:tcW w:w="6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2A1514D">
            <w:pPr>
              <w:pStyle w:val="10"/>
              <w:bidi w:val="0"/>
              <w:jc w:val="center"/>
              <w:rPr>
                <w:rFonts w:hint="eastAsia"/>
                <w:color w:val="000000"/>
              </w:rPr>
            </w:pPr>
            <w:r>
              <w:rPr>
                <w:rFonts w:hint="eastAsia"/>
                <w:color w:val="000000"/>
              </w:rPr>
              <w:t>中度污染</w:t>
            </w:r>
          </w:p>
        </w:tc>
        <w:tc>
          <w:tcPr>
            <w:tcW w:w="6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7E47FD9">
            <w:pPr>
              <w:pStyle w:val="10"/>
              <w:bidi w:val="0"/>
              <w:jc w:val="center"/>
              <w:rPr>
                <w:rFonts w:hint="eastAsia"/>
                <w:color w:val="000000"/>
              </w:rPr>
            </w:pPr>
            <w:r>
              <w:rPr>
                <w:rFonts w:hint="eastAsia"/>
                <w:color w:val="000000"/>
              </w:rPr>
              <w:t>橙色</w:t>
            </w:r>
          </w:p>
        </w:tc>
        <w:tc>
          <w:tcPr>
            <w:tcW w:w="2773" w:type="pct"/>
            <w:tcBorders>
              <w:top w:val="single" w:color="000000" w:sz="8" w:space="0"/>
              <w:left w:val="single" w:color="000000" w:sz="8" w:space="0"/>
              <w:bottom w:val="single" w:color="000000" w:sz="8" w:space="0"/>
              <w:right w:val="nil"/>
            </w:tcBorders>
            <w:shd w:val="clear" w:color="auto" w:fill="FFFFFF"/>
            <w:noWrap w:val="0"/>
            <w:vAlign w:val="center"/>
          </w:tcPr>
          <w:p w14:paraId="36B90F6D">
            <w:pPr>
              <w:pStyle w:val="10"/>
              <w:bidi w:val="0"/>
              <w:jc w:val="both"/>
              <w:rPr>
                <w:rFonts w:hint="eastAsia"/>
                <w:color w:val="000000"/>
              </w:rPr>
            </w:pPr>
            <w:r>
              <w:rPr>
                <w:rFonts w:hint="eastAsia"/>
                <w:color w:val="000000"/>
              </w:rPr>
              <w:t>农业用水及一般景观用水</w:t>
            </w:r>
          </w:p>
        </w:tc>
      </w:tr>
      <w:tr w14:paraId="616D180C">
        <w:tblPrEx>
          <w:tblBorders>
            <w:top w:val="single" w:color="auto" w:sz="8" w:space="0"/>
            <w:left w:val="single" w:color="auto" w:sz="4"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77" w:hRule="atLeast"/>
          <w:jc w:val="center"/>
        </w:trPr>
        <w:tc>
          <w:tcPr>
            <w:tcW w:w="864" w:type="pct"/>
            <w:tcBorders>
              <w:top w:val="single" w:color="000000" w:sz="8" w:space="0"/>
              <w:left w:val="nil"/>
              <w:bottom w:val="single" w:color="000000" w:sz="8" w:space="0"/>
              <w:right w:val="single" w:color="000000" w:sz="8" w:space="0"/>
            </w:tcBorders>
            <w:shd w:val="clear" w:color="auto" w:fill="FFFFFF"/>
            <w:noWrap w:val="0"/>
            <w:vAlign w:val="center"/>
          </w:tcPr>
          <w:p w14:paraId="69E5F401">
            <w:pPr>
              <w:pStyle w:val="10"/>
              <w:bidi w:val="0"/>
              <w:jc w:val="center"/>
              <w:rPr>
                <w:rFonts w:hint="eastAsia"/>
                <w:color w:val="000000"/>
              </w:rPr>
            </w:pPr>
            <w:r>
              <w:rPr>
                <w:rFonts w:hint="eastAsia"/>
                <w:color w:val="000000"/>
              </w:rPr>
              <w:t>劣Ⅴ类水质</w:t>
            </w:r>
          </w:p>
        </w:tc>
        <w:tc>
          <w:tcPr>
            <w:tcW w:w="6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4888998">
            <w:pPr>
              <w:pStyle w:val="10"/>
              <w:bidi w:val="0"/>
              <w:jc w:val="center"/>
              <w:rPr>
                <w:rFonts w:hint="eastAsia"/>
                <w:color w:val="000000"/>
              </w:rPr>
            </w:pPr>
            <w:r>
              <w:rPr>
                <w:rFonts w:hint="eastAsia"/>
                <w:color w:val="000000"/>
              </w:rPr>
              <w:t>重度污染</w:t>
            </w:r>
          </w:p>
        </w:tc>
        <w:tc>
          <w:tcPr>
            <w:tcW w:w="6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1857495">
            <w:pPr>
              <w:pStyle w:val="10"/>
              <w:bidi w:val="0"/>
              <w:jc w:val="center"/>
              <w:rPr>
                <w:rFonts w:hint="eastAsia"/>
                <w:color w:val="000000"/>
              </w:rPr>
            </w:pPr>
            <w:r>
              <w:rPr>
                <w:rFonts w:hint="eastAsia"/>
                <w:color w:val="000000"/>
              </w:rPr>
              <w:t>红色</w:t>
            </w:r>
          </w:p>
        </w:tc>
        <w:tc>
          <w:tcPr>
            <w:tcW w:w="2773" w:type="pct"/>
            <w:tcBorders>
              <w:top w:val="single" w:color="000000" w:sz="8" w:space="0"/>
              <w:left w:val="single" w:color="000000" w:sz="8" w:space="0"/>
              <w:bottom w:val="single" w:color="000000" w:sz="8" w:space="0"/>
              <w:right w:val="nil"/>
            </w:tcBorders>
            <w:shd w:val="clear" w:color="auto" w:fill="FFFFFF"/>
            <w:noWrap w:val="0"/>
            <w:vAlign w:val="center"/>
          </w:tcPr>
          <w:p w14:paraId="55EF7783">
            <w:pPr>
              <w:pStyle w:val="10"/>
              <w:bidi w:val="0"/>
              <w:jc w:val="both"/>
              <w:rPr>
                <w:rFonts w:hint="eastAsia"/>
                <w:color w:val="000000"/>
              </w:rPr>
            </w:pPr>
            <w:r>
              <w:rPr>
                <w:rFonts w:hint="eastAsia"/>
                <w:color w:val="000000"/>
              </w:rPr>
              <w:t>除调节局部气候外，使用功能较差</w:t>
            </w:r>
          </w:p>
        </w:tc>
      </w:tr>
    </w:tbl>
    <w:p w14:paraId="6D414BC8">
      <w:pPr>
        <w:pStyle w:val="10"/>
        <w:bidi w:val="0"/>
        <w:jc w:val="center"/>
        <w:rPr>
          <w:rFonts w:hint="eastAsia"/>
          <w:b/>
          <w:bCs/>
        </w:rPr>
      </w:pPr>
      <w:r>
        <w:rPr>
          <w:rFonts w:hint="eastAsia"/>
          <w:b/>
          <w:bCs/>
        </w:rPr>
        <w:t>整条河流、流域（水系）水质定性评价分级</w:t>
      </w:r>
    </w:p>
    <w:p w14:paraId="1103380E">
      <w:pPr>
        <w:bidi w:val="0"/>
        <w:rPr>
          <w:rFonts w:hint="eastAsia"/>
        </w:rPr>
      </w:pPr>
      <w:r>
        <w:rPr>
          <w:rFonts w:hint="eastAsia"/>
        </w:rPr>
        <w:t>表23</w:t>
      </w:r>
    </w:p>
    <w:tbl>
      <w:tblPr>
        <w:tblStyle w:val="7"/>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277"/>
        <w:gridCol w:w="1791"/>
        <w:gridCol w:w="1890"/>
      </w:tblGrid>
      <w:tr w14:paraId="31A032F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3151" w:type="pct"/>
            <w:tcBorders>
              <w:top w:val="single" w:color="000000" w:sz="8" w:space="0"/>
              <w:left w:val="nil"/>
              <w:bottom w:val="single" w:color="000000" w:sz="8" w:space="0"/>
              <w:right w:val="single" w:color="000000" w:sz="8" w:space="0"/>
            </w:tcBorders>
            <w:shd w:val="clear" w:color="auto" w:fill="FFFFFF"/>
            <w:noWrap w:val="0"/>
            <w:vAlign w:val="center"/>
          </w:tcPr>
          <w:p w14:paraId="47879ABE">
            <w:pPr>
              <w:pStyle w:val="10"/>
              <w:bidi w:val="0"/>
              <w:jc w:val="center"/>
              <w:rPr>
                <w:rFonts w:hint="eastAsia"/>
                <w:b/>
                <w:bCs/>
                <w:color w:val="000000"/>
              </w:rPr>
            </w:pPr>
            <w:r>
              <w:rPr>
                <w:rFonts w:hint="eastAsia"/>
                <w:b/>
                <w:bCs/>
                <w:color w:val="000000"/>
              </w:rPr>
              <w:t>水质类别</w:t>
            </w:r>
          </w:p>
        </w:tc>
        <w:tc>
          <w:tcPr>
            <w:tcW w:w="8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B141FF6">
            <w:pPr>
              <w:pStyle w:val="10"/>
              <w:bidi w:val="0"/>
              <w:jc w:val="center"/>
              <w:rPr>
                <w:rFonts w:hint="eastAsia"/>
                <w:b/>
                <w:bCs/>
                <w:color w:val="000000"/>
              </w:rPr>
            </w:pPr>
            <w:r>
              <w:rPr>
                <w:rFonts w:hint="eastAsia"/>
                <w:b/>
                <w:bCs/>
                <w:color w:val="000000"/>
              </w:rPr>
              <w:t>水质状况</w:t>
            </w:r>
          </w:p>
        </w:tc>
        <w:tc>
          <w:tcPr>
            <w:tcW w:w="949" w:type="pct"/>
            <w:tcBorders>
              <w:top w:val="single" w:color="000000" w:sz="8" w:space="0"/>
              <w:left w:val="single" w:color="000000" w:sz="8" w:space="0"/>
              <w:bottom w:val="single" w:color="000000" w:sz="8" w:space="0"/>
              <w:right w:val="nil"/>
            </w:tcBorders>
            <w:shd w:val="clear" w:color="auto" w:fill="FFFFFF"/>
            <w:noWrap w:val="0"/>
            <w:vAlign w:val="center"/>
          </w:tcPr>
          <w:p w14:paraId="659AFE3D">
            <w:pPr>
              <w:pStyle w:val="10"/>
              <w:bidi w:val="0"/>
              <w:jc w:val="center"/>
              <w:rPr>
                <w:rFonts w:hint="eastAsia"/>
                <w:b/>
                <w:bCs/>
                <w:color w:val="000000"/>
              </w:rPr>
            </w:pPr>
            <w:r>
              <w:rPr>
                <w:rFonts w:hint="eastAsia"/>
                <w:b/>
                <w:bCs/>
                <w:color w:val="000000"/>
              </w:rPr>
              <w:t>表征颜色</w:t>
            </w:r>
          </w:p>
        </w:tc>
      </w:tr>
      <w:tr w14:paraId="16AA0A1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3151" w:type="pct"/>
            <w:tcBorders>
              <w:top w:val="single" w:color="000000" w:sz="8" w:space="0"/>
              <w:left w:val="nil"/>
              <w:bottom w:val="single" w:color="000000" w:sz="8" w:space="0"/>
              <w:right w:val="single" w:color="000000" w:sz="8" w:space="0"/>
            </w:tcBorders>
            <w:shd w:val="clear" w:color="auto" w:fill="FFFFFF"/>
            <w:noWrap w:val="0"/>
            <w:vAlign w:val="center"/>
          </w:tcPr>
          <w:p w14:paraId="394BC22E">
            <w:pPr>
              <w:pStyle w:val="10"/>
              <w:bidi w:val="0"/>
              <w:jc w:val="center"/>
              <w:rPr>
                <w:rFonts w:hint="eastAsia"/>
                <w:color w:val="000000"/>
              </w:rPr>
            </w:pPr>
            <w:r>
              <w:rPr>
                <w:rFonts w:hint="eastAsia"/>
                <w:color w:val="000000"/>
              </w:rPr>
              <w:t>Ⅰ～Ⅲ类水质比例≥90%</w:t>
            </w:r>
          </w:p>
        </w:tc>
        <w:tc>
          <w:tcPr>
            <w:tcW w:w="8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018CC0A">
            <w:pPr>
              <w:pStyle w:val="10"/>
              <w:bidi w:val="0"/>
              <w:jc w:val="center"/>
              <w:rPr>
                <w:rFonts w:hint="eastAsia"/>
                <w:color w:val="000000"/>
              </w:rPr>
            </w:pPr>
            <w:r>
              <w:rPr>
                <w:rFonts w:hint="eastAsia"/>
                <w:color w:val="000000"/>
              </w:rPr>
              <w:t>优</w:t>
            </w:r>
          </w:p>
        </w:tc>
        <w:tc>
          <w:tcPr>
            <w:tcW w:w="949" w:type="pct"/>
            <w:tcBorders>
              <w:top w:val="single" w:color="000000" w:sz="8" w:space="0"/>
              <w:left w:val="single" w:color="000000" w:sz="8" w:space="0"/>
              <w:bottom w:val="single" w:color="000000" w:sz="8" w:space="0"/>
              <w:right w:val="nil"/>
            </w:tcBorders>
            <w:shd w:val="clear" w:color="auto" w:fill="FFFFFF"/>
            <w:noWrap w:val="0"/>
            <w:vAlign w:val="center"/>
          </w:tcPr>
          <w:p w14:paraId="13A28C36">
            <w:pPr>
              <w:pStyle w:val="10"/>
              <w:bidi w:val="0"/>
              <w:jc w:val="center"/>
              <w:rPr>
                <w:rFonts w:hint="eastAsia"/>
                <w:color w:val="000000"/>
              </w:rPr>
            </w:pPr>
            <w:r>
              <w:rPr>
                <w:rFonts w:hint="eastAsia"/>
                <w:color w:val="000000"/>
              </w:rPr>
              <w:t>蓝色</w:t>
            </w:r>
          </w:p>
        </w:tc>
      </w:tr>
      <w:tr w14:paraId="7B20CE5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3151" w:type="pct"/>
            <w:tcBorders>
              <w:top w:val="single" w:color="000000" w:sz="8" w:space="0"/>
              <w:left w:val="nil"/>
              <w:bottom w:val="single" w:color="000000" w:sz="8" w:space="0"/>
              <w:right w:val="single" w:color="000000" w:sz="8" w:space="0"/>
            </w:tcBorders>
            <w:shd w:val="clear" w:color="auto" w:fill="FFFFFF"/>
            <w:noWrap w:val="0"/>
            <w:vAlign w:val="center"/>
          </w:tcPr>
          <w:p w14:paraId="3CEF143D">
            <w:pPr>
              <w:pStyle w:val="10"/>
              <w:bidi w:val="0"/>
              <w:jc w:val="center"/>
              <w:rPr>
                <w:rFonts w:hint="eastAsia"/>
                <w:color w:val="000000"/>
              </w:rPr>
            </w:pPr>
            <w:r>
              <w:rPr>
                <w:rFonts w:hint="eastAsia"/>
                <w:color w:val="000000"/>
              </w:rPr>
              <w:t>75%≤Ⅰ～Ⅲ类水质比例＜90%</w:t>
            </w:r>
          </w:p>
        </w:tc>
        <w:tc>
          <w:tcPr>
            <w:tcW w:w="8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87CDF58">
            <w:pPr>
              <w:pStyle w:val="10"/>
              <w:bidi w:val="0"/>
              <w:jc w:val="center"/>
              <w:rPr>
                <w:rFonts w:hint="eastAsia"/>
                <w:color w:val="000000"/>
              </w:rPr>
            </w:pPr>
            <w:r>
              <w:rPr>
                <w:rFonts w:hint="eastAsia"/>
                <w:color w:val="000000"/>
              </w:rPr>
              <w:t>良好</w:t>
            </w:r>
          </w:p>
        </w:tc>
        <w:tc>
          <w:tcPr>
            <w:tcW w:w="949" w:type="pct"/>
            <w:tcBorders>
              <w:top w:val="single" w:color="000000" w:sz="8" w:space="0"/>
              <w:left w:val="single" w:color="000000" w:sz="8" w:space="0"/>
              <w:bottom w:val="single" w:color="000000" w:sz="8" w:space="0"/>
              <w:right w:val="nil"/>
            </w:tcBorders>
            <w:shd w:val="clear" w:color="auto" w:fill="FFFFFF"/>
            <w:noWrap w:val="0"/>
            <w:vAlign w:val="center"/>
          </w:tcPr>
          <w:p w14:paraId="5B3943FD">
            <w:pPr>
              <w:pStyle w:val="10"/>
              <w:bidi w:val="0"/>
              <w:jc w:val="center"/>
              <w:rPr>
                <w:rFonts w:hint="eastAsia"/>
                <w:color w:val="000000"/>
              </w:rPr>
            </w:pPr>
            <w:r>
              <w:rPr>
                <w:rFonts w:hint="eastAsia"/>
                <w:color w:val="000000"/>
              </w:rPr>
              <w:t>绿色</w:t>
            </w:r>
          </w:p>
        </w:tc>
      </w:tr>
      <w:tr w14:paraId="6934BB2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3151" w:type="pct"/>
            <w:tcBorders>
              <w:top w:val="single" w:color="000000" w:sz="8" w:space="0"/>
              <w:left w:val="nil"/>
              <w:bottom w:val="single" w:color="000000" w:sz="8" w:space="0"/>
              <w:right w:val="single" w:color="000000" w:sz="8" w:space="0"/>
            </w:tcBorders>
            <w:shd w:val="clear" w:color="auto" w:fill="FFFFFF"/>
            <w:noWrap w:val="0"/>
            <w:vAlign w:val="center"/>
          </w:tcPr>
          <w:p w14:paraId="77CADEAF">
            <w:pPr>
              <w:pStyle w:val="10"/>
              <w:bidi w:val="0"/>
              <w:jc w:val="center"/>
              <w:rPr>
                <w:rFonts w:hint="eastAsia"/>
                <w:color w:val="000000"/>
              </w:rPr>
            </w:pPr>
            <w:r>
              <w:rPr>
                <w:rFonts w:hint="eastAsia"/>
                <w:color w:val="000000"/>
              </w:rPr>
              <w:t>Ⅰ～Ⅲ类水质比例＜75%，且劣Ⅴ类比例＜20%</w:t>
            </w:r>
          </w:p>
        </w:tc>
        <w:tc>
          <w:tcPr>
            <w:tcW w:w="8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B415A30">
            <w:pPr>
              <w:pStyle w:val="10"/>
              <w:bidi w:val="0"/>
              <w:jc w:val="center"/>
              <w:rPr>
                <w:rFonts w:hint="eastAsia"/>
                <w:color w:val="000000"/>
              </w:rPr>
            </w:pPr>
            <w:r>
              <w:rPr>
                <w:rFonts w:hint="eastAsia"/>
                <w:color w:val="000000"/>
              </w:rPr>
              <w:t>轻度污染</w:t>
            </w:r>
          </w:p>
        </w:tc>
        <w:tc>
          <w:tcPr>
            <w:tcW w:w="949" w:type="pct"/>
            <w:tcBorders>
              <w:top w:val="single" w:color="000000" w:sz="8" w:space="0"/>
              <w:left w:val="single" w:color="000000" w:sz="8" w:space="0"/>
              <w:bottom w:val="single" w:color="000000" w:sz="8" w:space="0"/>
              <w:right w:val="nil"/>
            </w:tcBorders>
            <w:shd w:val="clear" w:color="auto" w:fill="FFFFFF"/>
            <w:noWrap w:val="0"/>
            <w:vAlign w:val="center"/>
          </w:tcPr>
          <w:p w14:paraId="2331F012">
            <w:pPr>
              <w:pStyle w:val="10"/>
              <w:bidi w:val="0"/>
              <w:jc w:val="center"/>
              <w:rPr>
                <w:rFonts w:hint="eastAsia"/>
                <w:color w:val="000000"/>
              </w:rPr>
            </w:pPr>
            <w:r>
              <w:rPr>
                <w:rFonts w:hint="eastAsia"/>
                <w:color w:val="000000"/>
              </w:rPr>
              <w:t>黄色</w:t>
            </w:r>
          </w:p>
        </w:tc>
      </w:tr>
      <w:tr w14:paraId="020A801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3151" w:type="pct"/>
            <w:tcBorders>
              <w:top w:val="single" w:color="000000" w:sz="8" w:space="0"/>
              <w:left w:val="nil"/>
              <w:bottom w:val="single" w:color="000000" w:sz="8" w:space="0"/>
              <w:right w:val="single" w:color="000000" w:sz="8" w:space="0"/>
            </w:tcBorders>
            <w:shd w:val="clear" w:color="auto" w:fill="FFFFFF"/>
            <w:noWrap w:val="0"/>
            <w:vAlign w:val="center"/>
          </w:tcPr>
          <w:p w14:paraId="21C7B5CE">
            <w:pPr>
              <w:pStyle w:val="10"/>
              <w:bidi w:val="0"/>
              <w:jc w:val="center"/>
              <w:rPr>
                <w:rFonts w:hint="eastAsia"/>
                <w:color w:val="000000"/>
              </w:rPr>
            </w:pPr>
            <w:r>
              <w:rPr>
                <w:rFonts w:hint="eastAsia"/>
                <w:color w:val="000000"/>
              </w:rPr>
              <w:t>Ⅰ～Ⅲ类水质比例＜75%，且20%≤劣Ⅴ类比例＜40%</w:t>
            </w:r>
          </w:p>
        </w:tc>
        <w:tc>
          <w:tcPr>
            <w:tcW w:w="8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53457AF">
            <w:pPr>
              <w:pStyle w:val="10"/>
              <w:bidi w:val="0"/>
              <w:jc w:val="center"/>
              <w:rPr>
                <w:rFonts w:hint="eastAsia"/>
                <w:color w:val="000000"/>
              </w:rPr>
            </w:pPr>
            <w:r>
              <w:rPr>
                <w:rFonts w:hint="eastAsia"/>
                <w:color w:val="000000"/>
              </w:rPr>
              <w:t>中度污染</w:t>
            </w:r>
          </w:p>
        </w:tc>
        <w:tc>
          <w:tcPr>
            <w:tcW w:w="949" w:type="pct"/>
            <w:tcBorders>
              <w:top w:val="single" w:color="000000" w:sz="8" w:space="0"/>
              <w:left w:val="single" w:color="000000" w:sz="8" w:space="0"/>
              <w:bottom w:val="single" w:color="000000" w:sz="8" w:space="0"/>
              <w:right w:val="nil"/>
            </w:tcBorders>
            <w:shd w:val="clear" w:color="auto" w:fill="FFFFFF"/>
            <w:noWrap w:val="0"/>
            <w:vAlign w:val="center"/>
          </w:tcPr>
          <w:p w14:paraId="28E6C0D4">
            <w:pPr>
              <w:pStyle w:val="10"/>
              <w:bidi w:val="0"/>
              <w:jc w:val="center"/>
              <w:rPr>
                <w:rFonts w:hint="eastAsia"/>
                <w:color w:val="000000"/>
              </w:rPr>
            </w:pPr>
            <w:r>
              <w:rPr>
                <w:rFonts w:hint="eastAsia"/>
                <w:color w:val="000000"/>
              </w:rPr>
              <w:t>橙色</w:t>
            </w:r>
          </w:p>
        </w:tc>
      </w:tr>
      <w:tr w14:paraId="49B4D4E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3151" w:type="pct"/>
            <w:tcBorders>
              <w:top w:val="single" w:color="000000" w:sz="8" w:space="0"/>
              <w:left w:val="nil"/>
              <w:bottom w:val="single" w:color="000000" w:sz="8" w:space="0"/>
              <w:right w:val="single" w:color="000000" w:sz="8" w:space="0"/>
            </w:tcBorders>
            <w:shd w:val="clear" w:color="auto" w:fill="FFFFFF"/>
            <w:noWrap w:val="0"/>
            <w:vAlign w:val="center"/>
          </w:tcPr>
          <w:p w14:paraId="7D957B30">
            <w:pPr>
              <w:pStyle w:val="10"/>
              <w:bidi w:val="0"/>
              <w:jc w:val="center"/>
              <w:rPr>
                <w:rFonts w:hint="eastAsia"/>
                <w:color w:val="000000"/>
              </w:rPr>
            </w:pPr>
            <w:r>
              <w:rPr>
                <w:rFonts w:hint="eastAsia"/>
                <w:color w:val="000000"/>
              </w:rPr>
              <w:t>Ⅰ～Ⅲ类水质比例＜75%，且劣Ⅴ类比例≥40%</w:t>
            </w:r>
          </w:p>
        </w:tc>
        <w:tc>
          <w:tcPr>
            <w:tcW w:w="8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1D12D2C">
            <w:pPr>
              <w:pStyle w:val="10"/>
              <w:bidi w:val="0"/>
              <w:jc w:val="center"/>
              <w:rPr>
                <w:rFonts w:hint="eastAsia"/>
                <w:color w:val="000000"/>
              </w:rPr>
            </w:pPr>
            <w:r>
              <w:rPr>
                <w:rFonts w:hint="eastAsia"/>
                <w:color w:val="000000"/>
              </w:rPr>
              <w:t>重度污染</w:t>
            </w:r>
          </w:p>
        </w:tc>
        <w:tc>
          <w:tcPr>
            <w:tcW w:w="949" w:type="pct"/>
            <w:tcBorders>
              <w:top w:val="single" w:color="000000" w:sz="8" w:space="0"/>
              <w:left w:val="single" w:color="000000" w:sz="8" w:space="0"/>
              <w:bottom w:val="single" w:color="000000" w:sz="8" w:space="0"/>
              <w:right w:val="nil"/>
            </w:tcBorders>
            <w:shd w:val="clear" w:color="auto" w:fill="FFFFFF"/>
            <w:noWrap w:val="0"/>
            <w:vAlign w:val="center"/>
          </w:tcPr>
          <w:p w14:paraId="01EBD51F">
            <w:pPr>
              <w:pStyle w:val="10"/>
              <w:bidi w:val="0"/>
              <w:jc w:val="center"/>
              <w:rPr>
                <w:rFonts w:hint="eastAsia"/>
                <w:color w:val="000000"/>
              </w:rPr>
            </w:pPr>
            <w:r>
              <w:rPr>
                <w:rFonts w:hint="eastAsia"/>
                <w:color w:val="000000"/>
              </w:rPr>
              <w:t>红色</w:t>
            </w:r>
          </w:p>
        </w:tc>
      </w:tr>
    </w:tbl>
    <w:p w14:paraId="03554A9C">
      <w:pPr>
        <w:pStyle w:val="10"/>
        <w:bidi w:val="0"/>
        <w:jc w:val="center"/>
        <w:rPr>
          <w:rFonts w:hint="eastAsia"/>
          <w:b/>
          <w:bCs/>
        </w:rPr>
      </w:pPr>
      <w:r>
        <w:rPr>
          <w:rFonts w:hint="eastAsia"/>
          <w:b/>
          <w:bCs/>
        </w:rPr>
        <w:t>河流主要水质类别的判定</w:t>
      </w:r>
    </w:p>
    <w:p w14:paraId="46DFA5FB">
      <w:pPr>
        <w:bidi w:val="0"/>
        <w:rPr>
          <w:rFonts w:hint="eastAsia"/>
        </w:rPr>
      </w:pPr>
      <w:r>
        <w:rPr>
          <w:rFonts w:hint="eastAsia"/>
        </w:rPr>
        <w:t>表24</w:t>
      </w:r>
    </w:p>
    <w:tbl>
      <w:tblPr>
        <w:tblStyle w:val="7"/>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3"/>
        <w:gridCol w:w="5059"/>
        <w:gridCol w:w="4188"/>
      </w:tblGrid>
      <w:tr w14:paraId="492153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358" w:type="pct"/>
            <w:tcBorders>
              <w:top w:val="single" w:color="000000" w:sz="8" w:space="0"/>
              <w:left w:val="nil"/>
              <w:bottom w:val="single" w:color="000000" w:sz="8" w:space="0"/>
              <w:right w:val="single" w:color="000000" w:sz="8" w:space="0"/>
            </w:tcBorders>
            <w:shd w:val="clear" w:color="auto" w:fill="FFFFFF"/>
            <w:noWrap w:val="0"/>
            <w:vAlign w:val="center"/>
          </w:tcPr>
          <w:p w14:paraId="7E9EB355">
            <w:pPr>
              <w:pStyle w:val="10"/>
              <w:bidi w:val="0"/>
              <w:jc w:val="center"/>
              <w:rPr>
                <w:rFonts w:hint="eastAsia"/>
                <w:b/>
                <w:bCs/>
                <w:color w:val="000000"/>
              </w:rPr>
            </w:pPr>
            <w:r>
              <w:rPr>
                <w:rFonts w:hint="eastAsia"/>
                <w:b/>
                <w:bCs/>
                <w:color w:val="000000"/>
              </w:rPr>
              <w:t>序号</w:t>
            </w:r>
          </w:p>
        </w:tc>
        <w:tc>
          <w:tcPr>
            <w:tcW w:w="25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F73EC3D">
            <w:pPr>
              <w:pStyle w:val="10"/>
              <w:bidi w:val="0"/>
              <w:jc w:val="center"/>
              <w:rPr>
                <w:rFonts w:hint="eastAsia"/>
                <w:b/>
                <w:bCs/>
                <w:color w:val="000000"/>
              </w:rPr>
            </w:pPr>
            <w:r>
              <w:rPr>
                <w:rFonts w:hint="eastAsia"/>
                <w:b/>
                <w:bCs/>
                <w:color w:val="000000"/>
              </w:rPr>
              <w:t>条件</w:t>
            </w:r>
          </w:p>
        </w:tc>
        <w:tc>
          <w:tcPr>
            <w:tcW w:w="2102" w:type="pct"/>
            <w:tcBorders>
              <w:top w:val="single" w:color="000000" w:sz="8" w:space="0"/>
              <w:left w:val="single" w:color="000000" w:sz="8" w:space="0"/>
              <w:bottom w:val="single" w:color="000000" w:sz="8" w:space="0"/>
              <w:right w:val="nil"/>
            </w:tcBorders>
            <w:shd w:val="clear" w:color="auto" w:fill="FFFFFF"/>
            <w:noWrap w:val="0"/>
            <w:vAlign w:val="center"/>
          </w:tcPr>
          <w:p w14:paraId="58D6913B">
            <w:pPr>
              <w:pStyle w:val="10"/>
              <w:bidi w:val="0"/>
              <w:jc w:val="center"/>
              <w:rPr>
                <w:rFonts w:hint="eastAsia"/>
                <w:b/>
                <w:bCs/>
                <w:color w:val="000000"/>
              </w:rPr>
            </w:pPr>
            <w:r>
              <w:rPr>
                <w:rFonts w:hint="eastAsia"/>
                <w:b/>
                <w:bCs/>
                <w:color w:val="000000"/>
              </w:rPr>
              <w:t>判定结论</w:t>
            </w:r>
          </w:p>
        </w:tc>
      </w:tr>
      <w:tr w14:paraId="7093F6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2" w:hRule="atLeast"/>
          <w:jc w:val="center"/>
        </w:trPr>
        <w:tc>
          <w:tcPr>
            <w:tcW w:w="358" w:type="pct"/>
            <w:tcBorders>
              <w:top w:val="single" w:color="000000" w:sz="8" w:space="0"/>
              <w:left w:val="nil"/>
              <w:bottom w:val="single" w:color="000000" w:sz="8" w:space="0"/>
              <w:right w:val="single" w:color="000000" w:sz="8" w:space="0"/>
            </w:tcBorders>
            <w:shd w:val="clear" w:color="auto" w:fill="FFFFFF"/>
            <w:noWrap w:val="0"/>
            <w:vAlign w:val="center"/>
          </w:tcPr>
          <w:p w14:paraId="4148A7F7">
            <w:pPr>
              <w:pStyle w:val="10"/>
              <w:bidi w:val="0"/>
              <w:jc w:val="center"/>
              <w:rPr>
                <w:rFonts w:hint="eastAsia"/>
                <w:color w:val="000000"/>
              </w:rPr>
            </w:pPr>
            <w:r>
              <w:rPr>
                <w:rFonts w:hint="eastAsia"/>
                <w:color w:val="000000"/>
              </w:rPr>
              <w:t>1</w:t>
            </w:r>
          </w:p>
        </w:tc>
        <w:tc>
          <w:tcPr>
            <w:tcW w:w="25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14F8580">
            <w:pPr>
              <w:pStyle w:val="10"/>
              <w:bidi w:val="0"/>
              <w:jc w:val="both"/>
              <w:rPr>
                <w:rFonts w:hint="eastAsia"/>
                <w:color w:val="000000"/>
              </w:rPr>
            </w:pPr>
            <w:r>
              <w:rPr>
                <w:rFonts w:hint="eastAsia"/>
                <w:color w:val="000000"/>
              </w:rPr>
              <w:t>当河流的某一类水质断面比例大于或等于60%</w:t>
            </w:r>
          </w:p>
        </w:tc>
        <w:tc>
          <w:tcPr>
            <w:tcW w:w="2102" w:type="pct"/>
            <w:tcBorders>
              <w:top w:val="single" w:color="000000" w:sz="8" w:space="0"/>
              <w:left w:val="single" w:color="000000" w:sz="8" w:space="0"/>
              <w:bottom w:val="single" w:color="000000" w:sz="8" w:space="0"/>
              <w:right w:val="nil"/>
            </w:tcBorders>
            <w:shd w:val="clear" w:color="auto" w:fill="FFFFFF"/>
            <w:noWrap w:val="0"/>
            <w:vAlign w:val="center"/>
          </w:tcPr>
          <w:p w14:paraId="018D0C72">
            <w:pPr>
              <w:pStyle w:val="10"/>
              <w:bidi w:val="0"/>
              <w:jc w:val="both"/>
              <w:rPr>
                <w:rFonts w:hint="eastAsia"/>
                <w:color w:val="000000"/>
              </w:rPr>
            </w:pPr>
            <w:r>
              <w:rPr>
                <w:rFonts w:hint="eastAsia"/>
                <w:color w:val="000000"/>
              </w:rPr>
              <w:t>则称河流以该类水质为主</w:t>
            </w:r>
          </w:p>
        </w:tc>
      </w:tr>
      <w:tr w14:paraId="4096A6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4" w:hRule="atLeast"/>
          <w:jc w:val="center"/>
        </w:trPr>
        <w:tc>
          <w:tcPr>
            <w:tcW w:w="358" w:type="pct"/>
            <w:tcBorders>
              <w:top w:val="single" w:color="000000" w:sz="8" w:space="0"/>
              <w:left w:val="nil"/>
              <w:bottom w:val="single" w:color="000000" w:sz="8" w:space="0"/>
              <w:right w:val="single" w:color="000000" w:sz="8" w:space="0"/>
            </w:tcBorders>
            <w:shd w:val="clear" w:color="auto" w:fill="FFFFFF"/>
            <w:noWrap w:val="0"/>
            <w:vAlign w:val="center"/>
          </w:tcPr>
          <w:p w14:paraId="49EB2A13">
            <w:pPr>
              <w:pStyle w:val="10"/>
              <w:bidi w:val="0"/>
              <w:jc w:val="center"/>
              <w:rPr>
                <w:rFonts w:hint="eastAsia"/>
                <w:color w:val="000000"/>
              </w:rPr>
            </w:pPr>
            <w:r>
              <w:rPr>
                <w:rFonts w:hint="eastAsia"/>
                <w:color w:val="000000"/>
              </w:rPr>
              <w:t>2</w:t>
            </w:r>
          </w:p>
        </w:tc>
        <w:tc>
          <w:tcPr>
            <w:tcW w:w="25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B05BAE6">
            <w:pPr>
              <w:pStyle w:val="10"/>
              <w:bidi w:val="0"/>
              <w:jc w:val="both"/>
              <w:rPr>
                <w:rFonts w:hint="eastAsia"/>
                <w:color w:val="000000"/>
              </w:rPr>
            </w:pPr>
            <w:r>
              <w:rPr>
                <w:rFonts w:hint="eastAsia"/>
                <w:color w:val="000000"/>
              </w:rPr>
              <w:t>当不满足上述条件时，若Ⅰ～Ⅲ类，或Ⅳ～Ⅴ类水质断面比例大于或等于70%</w:t>
            </w:r>
          </w:p>
        </w:tc>
        <w:tc>
          <w:tcPr>
            <w:tcW w:w="2102" w:type="pct"/>
            <w:tcBorders>
              <w:top w:val="single" w:color="000000" w:sz="8" w:space="0"/>
              <w:left w:val="single" w:color="000000" w:sz="8" w:space="0"/>
              <w:bottom w:val="single" w:color="000000" w:sz="8" w:space="0"/>
              <w:right w:val="nil"/>
            </w:tcBorders>
            <w:shd w:val="clear" w:color="auto" w:fill="FFFFFF"/>
            <w:noWrap w:val="0"/>
            <w:vAlign w:val="center"/>
          </w:tcPr>
          <w:p w14:paraId="09A5532D">
            <w:pPr>
              <w:pStyle w:val="10"/>
              <w:bidi w:val="0"/>
              <w:jc w:val="both"/>
              <w:rPr>
                <w:rFonts w:hint="eastAsia"/>
                <w:color w:val="000000"/>
              </w:rPr>
            </w:pPr>
            <w:r>
              <w:rPr>
                <w:rFonts w:hint="eastAsia"/>
                <w:color w:val="000000"/>
              </w:rPr>
              <w:t>则称河流以Ⅰ～Ⅲ类水质或Ⅳ～Ⅴ类水质为主</w:t>
            </w:r>
          </w:p>
        </w:tc>
      </w:tr>
      <w:tr w14:paraId="4A8F95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358" w:type="pct"/>
            <w:tcBorders>
              <w:top w:val="single" w:color="000000" w:sz="8" w:space="0"/>
              <w:left w:val="nil"/>
              <w:bottom w:val="single" w:color="000000" w:sz="8" w:space="0"/>
              <w:right w:val="single" w:color="000000" w:sz="8" w:space="0"/>
            </w:tcBorders>
            <w:shd w:val="clear" w:color="auto" w:fill="FFFFFF"/>
            <w:noWrap w:val="0"/>
            <w:vAlign w:val="center"/>
          </w:tcPr>
          <w:p w14:paraId="2D60C278">
            <w:pPr>
              <w:pStyle w:val="10"/>
              <w:bidi w:val="0"/>
              <w:jc w:val="center"/>
              <w:rPr>
                <w:rFonts w:hint="eastAsia"/>
                <w:color w:val="000000"/>
              </w:rPr>
            </w:pPr>
            <w:r>
              <w:rPr>
                <w:rFonts w:hint="eastAsia"/>
                <w:color w:val="000000"/>
              </w:rPr>
              <w:t>3</w:t>
            </w:r>
          </w:p>
        </w:tc>
        <w:tc>
          <w:tcPr>
            <w:tcW w:w="25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1FBAD13">
            <w:pPr>
              <w:pStyle w:val="10"/>
              <w:bidi w:val="0"/>
              <w:jc w:val="both"/>
              <w:rPr>
                <w:rFonts w:hint="eastAsia"/>
                <w:color w:val="000000"/>
              </w:rPr>
            </w:pPr>
            <w:r>
              <w:rPr>
                <w:rFonts w:hint="eastAsia"/>
                <w:color w:val="000000"/>
              </w:rPr>
              <w:t>除此之外</w:t>
            </w:r>
          </w:p>
        </w:tc>
        <w:tc>
          <w:tcPr>
            <w:tcW w:w="2102" w:type="pct"/>
            <w:tcBorders>
              <w:top w:val="single" w:color="000000" w:sz="8" w:space="0"/>
              <w:left w:val="single" w:color="000000" w:sz="8" w:space="0"/>
              <w:bottom w:val="single" w:color="000000" w:sz="8" w:space="0"/>
              <w:right w:val="nil"/>
            </w:tcBorders>
            <w:shd w:val="clear" w:color="auto" w:fill="FFFFFF"/>
            <w:noWrap w:val="0"/>
            <w:vAlign w:val="center"/>
          </w:tcPr>
          <w:p w14:paraId="365F532F">
            <w:pPr>
              <w:pStyle w:val="10"/>
              <w:bidi w:val="0"/>
              <w:jc w:val="both"/>
              <w:rPr>
                <w:rFonts w:hint="eastAsia"/>
                <w:color w:val="000000"/>
              </w:rPr>
            </w:pPr>
            <w:r>
              <w:rPr>
                <w:rFonts w:hint="eastAsia"/>
                <w:color w:val="000000"/>
              </w:rPr>
              <w:t>不指出主要水质类别</w:t>
            </w:r>
          </w:p>
        </w:tc>
      </w:tr>
    </w:tbl>
    <w:p w14:paraId="3B72A82B">
      <w:pPr>
        <w:bidi w:val="0"/>
        <w:ind w:left="0" w:leftChars="0" w:firstLine="0" w:firstLineChars="0"/>
        <w:jc w:val="center"/>
        <w:rPr>
          <w:rFonts w:hint="eastAsia"/>
          <w:b/>
          <w:bCs/>
        </w:rPr>
      </w:pPr>
      <w:r>
        <w:rPr>
          <w:rFonts w:hint="eastAsia"/>
          <w:b/>
          <w:bCs/>
        </w:rPr>
        <w:t>2013年南雄市环境空气中二氧化氮监测情况</w:t>
      </w:r>
    </w:p>
    <w:p w14:paraId="5C76F6D3">
      <w:pPr>
        <w:bidi w:val="0"/>
        <w:rPr>
          <w:rFonts w:hint="default" w:eastAsia="宋体"/>
          <w:lang w:val="en-US" w:eastAsia="zh-CN"/>
        </w:rPr>
      </w:pPr>
      <w:r>
        <w:rPr>
          <w:rFonts w:hint="eastAsia"/>
          <w:lang w:val="en-US" w:eastAsia="zh-CN"/>
        </w:rPr>
        <w:t>表25</w:t>
      </w:r>
    </w:p>
    <w:p w14:paraId="38D2C383">
      <w:pPr>
        <w:bidi w:val="0"/>
        <w:jc w:val="right"/>
        <w:rPr>
          <w:rFonts w:hint="eastAsia"/>
        </w:rPr>
      </w:pPr>
      <w:r>
        <w:rPr>
          <w:rFonts w:hint="eastAsia"/>
        </w:rPr>
        <w:t>单位：mg/m3</w:t>
      </w:r>
    </w:p>
    <w:tbl>
      <w:tblPr>
        <w:tblStyle w:val="7"/>
        <w:tblW w:w="5000"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Layout w:type="fixed"/>
        <w:tblCellMar>
          <w:top w:w="0" w:type="dxa"/>
          <w:left w:w="0" w:type="dxa"/>
          <w:bottom w:w="0" w:type="dxa"/>
          <w:right w:w="0" w:type="dxa"/>
        </w:tblCellMar>
      </w:tblPr>
      <w:tblGrid>
        <w:gridCol w:w="713"/>
        <w:gridCol w:w="718"/>
        <w:gridCol w:w="472"/>
        <w:gridCol w:w="546"/>
        <w:gridCol w:w="482"/>
        <w:gridCol w:w="472"/>
        <w:gridCol w:w="482"/>
        <w:gridCol w:w="493"/>
        <w:gridCol w:w="460"/>
        <w:gridCol w:w="483"/>
        <w:gridCol w:w="417"/>
        <w:gridCol w:w="504"/>
        <w:gridCol w:w="482"/>
        <w:gridCol w:w="482"/>
        <w:gridCol w:w="493"/>
        <w:gridCol w:w="493"/>
        <w:gridCol w:w="493"/>
        <w:gridCol w:w="538"/>
        <w:gridCol w:w="553"/>
      </w:tblGrid>
      <w:tr w14:paraId="557162A9">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350" w:hRule="atLeast"/>
        </w:trPr>
        <w:tc>
          <w:tcPr>
            <w:tcW w:w="364" w:type="pct"/>
            <w:vMerge w:val="restar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80095C8">
            <w:pPr>
              <w:pStyle w:val="10"/>
              <w:bidi w:val="0"/>
              <w:jc w:val="center"/>
              <w:rPr>
                <w:rFonts w:hint="default"/>
                <w:b/>
                <w:bCs/>
                <w:color w:val="000000"/>
                <w:lang w:val="en-US"/>
              </w:rPr>
            </w:pPr>
            <w:r>
              <w:rPr>
                <w:rFonts w:hint="eastAsia"/>
                <w:b/>
                <w:bCs/>
                <w:color w:val="000000"/>
                <w:lang w:val="en-US" w:eastAsia="zh-CN"/>
              </w:rPr>
              <w:t>监测点</w:t>
            </w:r>
          </w:p>
        </w:tc>
        <w:tc>
          <w:tcPr>
            <w:tcW w:w="367"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29C13DB">
            <w:pPr>
              <w:pStyle w:val="10"/>
              <w:bidi w:val="0"/>
              <w:jc w:val="center"/>
              <w:rPr>
                <w:rFonts w:hint="eastAsia"/>
                <w:b/>
                <w:bCs/>
                <w:color w:val="000000"/>
              </w:rPr>
            </w:pPr>
            <w:r>
              <w:rPr>
                <w:rFonts w:hint="eastAsia"/>
                <w:b/>
                <w:bCs/>
                <w:color w:val="000000"/>
                <w:lang w:val="en-US" w:eastAsia="zh-CN"/>
              </w:rPr>
              <w:t>指标</w:t>
            </w:r>
          </w:p>
        </w:tc>
        <w:tc>
          <w:tcPr>
            <w:tcW w:w="1008" w:type="pct"/>
            <w:gridSpan w:val="4"/>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08A8C2D">
            <w:pPr>
              <w:pStyle w:val="10"/>
              <w:bidi w:val="0"/>
              <w:jc w:val="center"/>
              <w:rPr>
                <w:rFonts w:hint="eastAsia"/>
                <w:b/>
                <w:bCs/>
                <w:color w:val="000000"/>
              </w:rPr>
            </w:pPr>
            <w:r>
              <w:rPr>
                <w:rFonts w:hint="eastAsia"/>
                <w:b/>
                <w:bCs/>
                <w:color w:val="000000"/>
                <w:lang w:val="en-US" w:eastAsia="zh-CN"/>
              </w:rPr>
              <w:t>第一季度</w:t>
            </w:r>
          </w:p>
        </w:tc>
        <w:tc>
          <w:tcPr>
            <w:tcW w:w="980" w:type="pct"/>
            <w:gridSpan w:val="4"/>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EF445F4">
            <w:pPr>
              <w:pStyle w:val="10"/>
              <w:bidi w:val="0"/>
              <w:jc w:val="center"/>
              <w:rPr>
                <w:rFonts w:hint="eastAsia"/>
                <w:b/>
                <w:bCs/>
                <w:color w:val="000000"/>
              </w:rPr>
            </w:pPr>
            <w:r>
              <w:rPr>
                <w:rFonts w:hint="eastAsia"/>
                <w:b/>
                <w:bCs/>
                <w:color w:val="000000"/>
                <w:lang w:val="en-US" w:eastAsia="zh-CN"/>
              </w:rPr>
              <w:t>第二季度</w:t>
            </w:r>
          </w:p>
        </w:tc>
        <w:tc>
          <w:tcPr>
            <w:tcW w:w="964" w:type="pct"/>
            <w:gridSpan w:val="4"/>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A36D0CE">
            <w:pPr>
              <w:pStyle w:val="10"/>
              <w:bidi w:val="0"/>
              <w:jc w:val="center"/>
              <w:rPr>
                <w:rFonts w:hint="eastAsia"/>
                <w:b/>
                <w:bCs/>
                <w:color w:val="000000"/>
              </w:rPr>
            </w:pPr>
            <w:r>
              <w:rPr>
                <w:rFonts w:hint="eastAsia"/>
                <w:b/>
                <w:bCs/>
                <w:color w:val="000000"/>
                <w:lang w:val="en-US" w:eastAsia="zh-CN"/>
              </w:rPr>
              <w:t>第三季度</w:t>
            </w:r>
          </w:p>
        </w:tc>
        <w:tc>
          <w:tcPr>
            <w:tcW w:w="1031" w:type="pct"/>
            <w:gridSpan w:val="4"/>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40B2883">
            <w:pPr>
              <w:pStyle w:val="10"/>
              <w:bidi w:val="0"/>
              <w:jc w:val="center"/>
              <w:rPr>
                <w:rFonts w:hint="eastAsia"/>
                <w:b/>
                <w:bCs/>
                <w:color w:val="000000"/>
              </w:rPr>
            </w:pPr>
            <w:r>
              <w:rPr>
                <w:rFonts w:hint="eastAsia"/>
                <w:b/>
                <w:bCs/>
                <w:color w:val="000000"/>
                <w:lang w:val="en-US" w:eastAsia="zh-CN"/>
              </w:rPr>
              <w:t>第四季度</w:t>
            </w:r>
          </w:p>
        </w:tc>
        <w:tc>
          <w:tcPr>
            <w:tcW w:w="28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4E51FE2C">
            <w:pPr>
              <w:pStyle w:val="10"/>
              <w:bidi w:val="0"/>
              <w:jc w:val="center"/>
              <w:rPr>
                <w:rFonts w:hint="eastAsia"/>
                <w:b/>
                <w:bCs/>
                <w:color w:val="000000"/>
              </w:rPr>
            </w:pPr>
            <w:r>
              <w:rPr>
                <w:rFonts w:hint="eastAsia"/>
                <w:b/>
                <w:bCs/>
                <w:color w:val="000000"/>
                <w:lang w:val="en-US" w:eastAsia="zh-CN"/>
              </w:rPr>
              <w:t>全年</w:t>
            </w:r>
          </w:p>
        </w:tc>
      </w:tr>
      <w:tr w14:paraId="5959CF4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00" w:hRule="atLeast"/>
        </w:trPr>
        <w:tc>
          <w:tcPr>
            <w:tcW w:w="364" w:type="pct"/>
            <w:vMerge w:val="continue"/>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45A1B84">
            <w:pPr>
              <w:pStyle w:val="10"/>
              <w:bidi w:val="0"/>
              <w:jc w:val="center"/>
              <w:rPr>
                <w:rFonts w:hint="eastAsia"/>
                <w:b/>
                <w:bCs/>
                <w:color w:val="000000"/>
              </w:rPr>
            </w:pPr>
          </w:p>
        </w:tc>
        <w:tc>
          <w:tcPr>
            <w:tcW w:w="367"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042EE7F">
            <w:pPr>
              <w:pStyle w:val="10"/>
              <w:bidi w:val="0"/>
              <w:jc w:val="center"/>
              <w:rPr>
                <w:rFonts w:hint="eastAsia"/>
                <w:b/>
                <w:bCs/>
                <w:color w:val="000000"/>
              </w:rPr>
            </w:pPr>
          </w:p>
        </w:tc>
        <w:tc>
          <w:tcPr>
            <w:tcW w:w="24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266161C">
            <w:pPr>
              <w:pStyle w:val="10"/>
              <w:bidi w:val="0"/>
              <w:jc w:val="center"/>
              <w:rPr>
                <w:rFonts w:hint="default"/>
                <w:b/>
                <w:bCs/>
                <w:color w:val="000000"/>
              </w:rPr>
            </w:pPr>
            <w:r>
              <w:rPr>
                <w:rFonts w:hint="default"/>
                <w:b/>
                <w:bCs/>
                <w:color w:val="000000"/>
                <w:lang w:val="en-US" w:eastAsia="zh-CN"/>
              </w:rPr>
              <w:t>1</w:t>
            </w:r>
            <w:r>
              <w:rPr>
                <w:rFonts w:hint="eastAsia"/>
                <w:b/>
                <w:bCs/>
                <w:color w:val="000000"/>
                <w:lang w:val="en-US" w:eastAsia="zh-CN"/>
              </w:rPr>
              <w:t>月</w:t>
            </w:r>
          </w:p>
        </w:tc>
        <w:tc>
          <w:tcPr>
            <w:tcW w:w="27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4611807">
            <w:pPr>
              <w:pStyle w:val="10"/>
              <w:bidi w:val="0"/>
              <w:jc w:val="center"/>
              <w:rPr>
                <w:rFonts w:hint="default"/>
                <w:b/>
                <w:bCs/>
                <w:color w:val="000000"/>
              </w:rPr>
            </w:pPr>
            <w:r>
              <w:rPr>
                <w:rFonts w:hint="default"/>
                <w:b/>
                <w:bCs/>
                <w:color w:val="000000"/>
                <w:lang w:val="en-US" w:eastAsia="zh-CN"/>
              </w:rPr>
              <w:t>2</w:t>
            </w:r>
            <w:r>
              <w:rPr>
                <w:rFonts w:hint="eastAsia"/>
                <w:b/>
                <w:bCs/>
                <w:color w:val="000000"/>
                <w:lang w:val="en-US" w:eastAsia="zh-CN"/>
              </w:rPr>
              <w:t>月</w:t>
            </w:r>
          </w:p>
        </w:tc>
        <w:tc>
          <w:tcPr>
            <w:tcW w:w="24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DD5064A">
            <w:pPr>
              <w:pStyle w:val="10"/>
              <w:bidi w:val="0"/>
              <w:jc w:val="center"/>
              <w:rPr>
                <w:rFonts w:hint="default"/>
                <w:b/>
                <w:bCs/>
                <w:color w:val="000000"/>
              </w:rPr>
            </w:pPr>
            <w:r>
              <w:rPr>
                <w:rFonts w:hint="default"/>
                <w:b/>
                <w:bCs/>
                <w:color w:val="000000"/>
                <w:lang w:val="en-US" w:eastAsia="zh-CN"/>
              </w:rPr>
              <w:t>3</w:t>
            </w:r>
            <w:r>
              <w:rPr>
                <w:rFonts w:hint="eastAsia"/>
                <w:b/>
                <w:bCs/>
                <w:color w:val="000000"/>
                <w:lang w:val="en-US" w:eastAsia="zh-CN"/>
              </w:rPr>
              <w:t>月</w:t>
            </w:r>
          </w:p>
        </w:tc>
        <w:tc>
          <w:tcPr>
            <w:tcW w:w="24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515489E">
            <w:pPr>
              <w:pStyle w:val="10"/>
              <w:bidi w:val="0"/>
              <w:jc w:val="center"/>
              <w:rPr>
                <w:rFonts w:hint="eastAsia"/>
                <w:b/>
                <w:bCs/>
                <w:color w:val="000000"/>
              </w:rPr>
            </w:pPr>
            <w:r>
              <w:rPr>
                <w:rFonts w:hint="eastAsia"/>
                <w:b/>
                <w:bCs/>
                <w:color w:val="000000"/>
                <w:lang w:val="en-US" w:eastAsia="zh-CN"/>
              </w:rPr>
              <w:t>小计</w:t>
            </w:r>
          </w:p>
        </w:tc>
        <w:tc>
          <w:tcPr>
            <w:tcW w:w="24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15D9241">
            <w:pPr>
              <w:pStyle w:val="10"/>
              <w:bidi w:val="0"/>
              <w:jc w:val="center"/>
              <w:rPr>
                <w:rFonts w:hint="default"/>
                <w:b/>
                <w:bCs/>
                <w:color w:val="000000"/>
              </w:rPr>
            </w:pPr>
            <w:r>
              <w:rPr>
                <w:rFonts w:hint="default"/>
                <w:b/>
                <w:bCs/>
                <w:color w:val="000000"/>
                <w:lang w:val="en-US" w:eastAsia="zh-CN"/>
              </w:rPr>
              <w:t>4</w:t>
            </w:r>
            <w:r>
              <w:rPr>
                <w:rFonts w:hint="eastAsia"/>
                <w:b/>
                <w:bCs/>
                <w:color w:val="000000"/>
                <w:lang w:val="en-US" w:eastAsia="zh-CN"/>
              </w:rPr>
              <w:t>月</w:t>
            </w:r>
          </w:p>
        </w:tc>
        <w:tc>
          <w:tcPr>
            <w:tcW w:w="25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2C9D170">
            <w:pPr>
              <w:pStyle w:val="10"/>
              <w:bidi w:val="0"/>
              <w:jc w:val="center"/>
              <w:rPr>
                <w:rFonts w:hint="default"/>
                <w:b/>
                <w:bCs/>
                <w:color w:val="000000"/>
              </w:rPr>
            </w:pPr>
            <w:r>
              <w:rPr>
                <w:rFonts w:hint="default"/>
                <w:b/>
                <w:bCs/>
                <w:color w:val="000000"/>
                <w:lang w:val="en-US" w:eastAsia="zh-CN"/>
              </w:rPr>
              <w:t>5</w:t>
            </w:r>
            <w:r>
              <w:rPr>
                <w:rFonts w:hint="eastAsia"/>
                <w:b/>
                <w:bCs/>
                <w:color w:val="000000"/>
                <w:lang w:val="en-US" w:eastAsia="zh-CN"/>
              </w:rPr>
              <w:t>月</w:t>
            </w:r>
          </w:p>
        </w:tc>
        <w:tc>
          <w:tcPr>
            <w:tcW w:w="23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2B3E954">
            <w:pPr>
              <w:pStyle w:val="10"/>
              <w:bidi w:val="0"/>
              <w:jc w:val="center"/>
              <w:rPr>
                <w:rFonts w:hint="default"/>
                <w:b/>
                <w:bCs/>
                <w:color w:val="000000"/>
              </w:rPr>
            </w:pPr>
            <w:r>
              <w:rPr>
                <w:rFonts w:hint="default"/>
                <w:b/>
                <w:bCs/>
                <w:color w:val="000000"/>
                <w:lang w:val="en-US" w:eastAsia="zh-CN"/>
              </w:rPr>
              <w:t>6</w:t>
            </w:r>
            <w:r>
              <w:rPr>
                <w:rFonts w:hint="eastAsia"/>
                <w:b/>
                <w:bCs/>
                <w:color w:val="000000"/>
                <w:lang w:val="en-US" w:eastAsia="zh-CN"/>
              </w:rPr>
              <w:t>月</w:t>
            </w:r>
          </w:p>
        </w:tc>
        <w:tc>
          <w:tcPr>
            <w:tcW w:w="2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0E167D8">
            <w:pPr>
              <w:pStyle w:val="10"/>
              <w:bidi w:val="0"/>
              <w:jc w:val="center"/>
              <w:rPr>
                <w:rFonts w:hint="eastAsia"/>
                <w:b/>
                <w:bCs/>
                <w:color w:val="000000"/>
              </w:rPr>
            </w:pPr>
            <w:r>
              <w:rPr>
                <w:rFonts w:hint="eastAsia"/>
                <w:b/>
                <w:bCs/>
                <w:color w:val="000000"/>
                <w:lang w:val="en-US" w:eastAsia="zh-CN"/>
              </w:rPr>
              <w:t>小计</w:t>
            </w:r>
          </w:p>
        </w:tc>
        <w:tc>
          <w:tcPr>
            <w:tcW w:w="21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960E54C">
            <w:pPr>
              <w:pStyle w:val="10"/>
              <w:bidi w:val="0"/>
              <w:jc w:val="center"/>
              <w:rPr>
                <w:rFonts w:hint="default"/>
                <w:b/>
                <w:bCs/>
                <w:color w:val="000000"/>
              </w:rPr>
            </w:pPr>
            <w:r>
              <w:rPr>
                <w:rFonts w:hint="default"/>
                <w:b/>
                <w:bCs/>
                <w:color w:val="000000"/>
                <w:lang w:val="en-US" w:eastAsia="zh-CN"/>
              </w:rPr>
              <w:t>7</w:t>
            </w:r>
            <w:r>
              <w:rPr>
                <w:rFonts w:hint="eastAsia"/>
                <w:b/>
                <w:bCs/>
                <w:color w:val="000000"/>
                <w:lang w:val="en-US" w:eastAsia="zh-CN"/>
              </w:rPr>
              <w:t>月</w:t>
            </w:r>
          </w:p>
        </w:tc>
        <w:tc>
          <w:tcPr>
            <w:tcW w:w="25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0A5BE8D">
            <w:pPr>
              <w:pStyle w:val="10"/>
              <w:bidi w:val="0"/>
              <w:jc w:val="center"/>
              <w:rPr>
                <w:rFonts w:hint="default"/>
                <w:b/>
                <w:bCs/>
                <w:color w:val="000000"/>
              </w:rPr>
            </w:pPr>
            <w:r>
              <w:rPr>
                <w:rFonts w:hint="default"/>
                <w:b/>
                <w:bCs/>
                <w:color w:val="000000"/>
                <w:lang w:val="en-US" w:eastAsia="zh-CN"/>
              </w:rPr>
              <w:t>8</w:t>
            </w:r>
            <w:r>
              <w:rPr>
                <w:rFonts w:hint="eastAsia"/>
                <w:b/>
                <w:bCs/>
                <w:color w:val="000000"/>
                <w:lang w:val="en-US" w:eastAsia="zh-CN"/>
              </w:rPr>
              <w:t>月</w:t>
            </w:r>
          </w:p>
        </w:tc>
        <w:tc>
          <w:tcPr>
            <w:tcW w:w="24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B1B1753">
            <w:pPr>
              <w:pStyle w:val="10"/>
              <w:bidi w:val="0"/>
              <w:jc w:val="center"/>
              <w:rPr>
                <w:rFonts w:hint="default"/>
                <w:b/>
                <w:bCs/>
                <w:color w:val="000000"/>
              </w:rPr>
            </w:pPr>
            <w:r>
              <w:rPr>
                <w:rFonts w:hint="default"/>
                <w:b/>
                <w:bCs/>
                <w:color w:val="000000"/>
                <w:lang w:val="en-US" w:eastAsia="zh-CN"/>
              </w:rPr>
              <w:t>9</w:t>
            </w:r>
            <w:r>
              <w:rPr>
                <w:rFonts w:hint="eastAsia"/>
                <w:b/>
                <w:bCs/>
                <w:color w:val="000000"/>
                <w:lang w:val="en-US" w:eastAsia="zh-CN"/>
              </w:rPr>
              <w:t>月</w:t>
            </w:r>
          </w:p>
        </w:tc>
        <w:tc>
          <w:tcPr>
            <w:tcW w:w="24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2F13B87">
            <w:pPr>
              <w:pStyle w:val="10"/>
              <w:bidi w:val="0"/>
              <w:jc w:val="center"/>
              <w:rPr>
                <w:rFonts w:hint="eastAsia"/>
                <w:b/>
                <w:bCs/>
                <w:color w:val="000000"/>
              </w:rPr>
            </w:pPr>
            <w:r>
              <w:rPr>
                <w:rFonts w:hint="eastAsia"/>
                <w:b/>
                <w:bCs/>
                <w:color w:val="000000"/>
                <w:lang w:val="en-US" w:eastAsia="zh-CN"/>
              </w:rPr>
              <w:t>小计</w:t>
            </w:r>
          </w:p>
        </w:tc>
        <w:tc>
          <w:tcPr>
            <w:tcW w:w="25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F872200">
            <w:pPr>
              <w:pStyle w:val="10"/>
              <w:bidi w:val="0"/>
              <w:jc w:val="center"/>
              <w:rPr>
                <w:rFonts w:hint="default"/>
                <w:b/>
                <w:bCs/>
                <w:color w:val="000000"/>
              </w:rPr>
            </w:pPr>
            <w:r>
              <w:rPr>
                <w:rFonts w:hint="default"/>
                <w:b/>
                <w:bCs/>
                <w:color w:val="000000"/>
                <w:lang w:val="en-US" w:eastAsia="zh-CN"/>
              </w:rPr>
              <w:t>10</w:t>
            </w:r>
            <w:r>
              <w:rPr>
                <w:rFonts w:hint="eastAsia"/>
                <w:b/>
                <w:bCs/>
                <w:color w:val="000000"/>
                <w:lang w:val="en-US" w:eastAsia="zh-CN"/>
              </w:rPr>
              <w:t>月</w:t>
            </w:r>
          </w:p>
        </w:tc>
        <w:tc>
          <w:tcPr>
            <w:tcW w:w="25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BCEE7C4">
            <w:pPr>
              <w:pStyle w:val="10"/>
              <w:bidi w:val="0"/>
              <w:jc w:val="center"/>
              <w:rPr>
                <w:rFonts w:hint="default"/>
                <w:b/>
                <w:bCs/>
                <w:color w:val="000000"/>
              </w:rPr>
            </w:pPr>
            <w:r>
              <w:rPr>
                <w:rFonts w:hint="default"/>
                <w:b/>
                <w:bCs/>
                <w:color w:val="000000"/>
                <w:lang w:val="en-US" w:eastAsia="zh-CN"/>
              </w:rPr>
              <w:t>11</w:t>
            </w:r>
            <w:r>
              <w:rPr>
                <w:rFonts w:hint="eastAsia"/>
                <w:b/>
                <w:bCs/>
                <w:color w:val="000000"/>
                <w:lang w:val="en-US" w:eastAsia="zh-CN"/>
              </w:rPr>
              <w:t>月</w:t>
            </w:r>
          </w:p>
        </w:tc>
        <w:tc>
          <w:tcPr>
            <w:tcW w:w="25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810195C">
            <w:pPr>
              <w:pStyle w:val="10"/>
              <w:bidi w:val="0"/>
              <w:jc w:val="center"/>
              <w:rPr>
                <w:rFonts w:hint="default"/>
                <w:b/>
                <w:bCs/>
                <w:color w:val="000000"/>
              </w:rPr>
            </w:pPr>
            <w:r>
              <w:rPr>
                <w:rFonts w:hint="default"/>
                <w:b/>
                <w:bCs/>
                <w:color w:val="000000"/>
                <w:lang w:val="en-US" w:eastAsia="zh-CN"/>
              </w:rPr>
              <w:t>12</w:t>
            </w:r>
            <w:r>
              <w:rPr>
                <w:rFonts w:hint="eastAsia"/>
                <w:b/>
                <w:bCs/>
                <w:color w:val="000000"/>
                <w:lang w:val="en-US" w:eastAsia="zh-CN"/>
              </w:rPr>
              <w:t>月</w:t>
            </w:r>
          </w:p>
        </w:tc>
        <w:tc>
          <w:tcPr>
            <w:tcW w:w="27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A4FB394">
            <w:pPr>
              <w:pStyle w:val="10"/>
              <w:bidi w:val="0"/>
              <w:jc w:val="center"/>
              <w:rPr>
                <w:rFonts w:hint="eastAsia"/>
                <w:b/>
                <w:bCs/>
                <w:color w:val="000000"/>
              </w:rPr>
            </w:pPr>
            <w:r>
              <w:rPr>
                <w:rFonts w:hint="eastAsia"/>
                <w:b/>
                <w:bCs/>
                <w:color w:val="000000"/>
                <w:lang w:val="en-US" w:eastAsia="zh-CN"/>
              </w:rPr>
              <w:t>小计</w:t>
            </w:r>
          </w:p>
        </w:tc>
        <w:tc>
          <w:tcPr>
            <w:tcW w:w="28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7300C19B">
            <w:pPr>
              <w:pStyle w:val="10"/>
              <w:bidi w:val="0"/>
              <w:jc w:val="center"/>
              <w:rPr>
                <w:rFonts w:hint="eastAsia"/>
                <w:b/>
                <w:bCs/>
                <w:color w:val="000000"/>
              </w:rPr>
            </w:pPr>
            <w:r>
              <w:rPr>
                <w:rFonts w:hint="eastAsia"/>
                <w:b/>
                <w:bCs/>
                <w:color w:val="000000"/>
                <w:lang w:val="en-US" w:eastAsia="zh-CN"/>
              </w:rPr>
              <w:t>总计</w:t>
            </w:r>
          </w:p>
        </w:tc>
      </w:tr>
      <w:tr w14:paraId="3A4C479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35" w:hRule="atLeast"/>
        </w:trPr>
        <w:tc>
          <w:tcPr>
            <w:tcW w:w="364" w:type="pct"/>
            <w:vMerge w:val="restar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F6B8FB3">
            <w:pPr>
              <w:pStyle w:val="10"/>
              <w:bidi w:val="0"/>
              <w:jc w:val="center"/>
              <w:rPr>
                <w:rFonts w:hint="eastAsia"/>
                <w:color w:val="000000"/>
              </w:rPr>
            </w:pPr>
            <w:r>
              <w:rPr>
                <w:rFonts w:hint="eastAsia"/>
                <w:color w:val="000000"/>
                <w:lang w:val="en-US" w:eastAsia="zh-CN"/>
              </w:rPr>
              <w:t>监测站大楼</w:t>
            </w:r>
          </w:p>
        </w:tc>
        <w:tc>
          <w:tcPr>
            <w:tcW w:w="3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D8B6F69">
            <w:pPr>
              <w:pStyle w:val="10"/>
              <w:bidi w:val="0"/>
              <w:jc w:val="center"/>
              <w:rPr>
                <w:rFonts w:hint="default"/>
                <w:color w:val="000000"/>
              </w:rPr>
            </w:pPr>
            <w:r>
              <w:rPr>
                <w:rFonts w:hint="eastAsia"/>
                <w:color w:val="000000"/>
                <w:lang w:val="en-US" w:eastAsia="zh-CN"/>
              </w:rPr>
              <w:t>日均值</w:t>
            </w:r>
            <w:r>
              <w:rPr>
                <w:rFonts w:hint="eastAsia"/>
                <w:color w:val="000000"/>
                <w:lang w:val="en-US" w:eastAsia="zh-CN"/>
              </w:rPr>
              <w:br w:type="textWrapping"/>
            </w:r>
            <w:r>
              <w:rPr>
                <w:rFonts w:hint="eastAsia"/>
                <w:color w:val="000000"/>
                <w:lang w:val="en-US" w:eastAsia="zh-CN"/>
              </w:rPr>
              <w:t>样品数</w:t>
            </w:r>
          </w:p>
        </w:tc>
        <w:tc>
          <w:tcPr>
            <w:tcW w:w="24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FD1114F">
            <w:pPr>
              <w:pStyle w:val="10"/>
              <w:bidi w:val="0"/>
              <w:jc w:val="center"/>
              <w:rPr>
                <w:rFonts w:hint="default"/>
                <w:color w:val="000000"/>
              </w:rPr>
            </w:pPr>
            <w:r>
              <w:rPr>
                <w:rFonts w:hint="default"/>
                <w:color w:val="000000"/>
                <w:lang w:val="en-US" w:eastAsia="zh-CN"/>
              </w:rPr>
              <w:t>31</w:t>
            </w:r>
          </w:p>
        </w:tc>
        <w:tc>
          <w:tcPr>
            <w:tcW w:w="27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293F606">
            <w:pPr>
              <w:pStyle w:val="10"/>
              <w:bidi w:val="0"/>
              <w:jc w:val="center"/>
              <w:rPr>
                <w:rFonts w:hint="default"/>
                <w:color w:val="000000"/>
              </w:rPr>
            </w:pPr>
            <w:r>
              <w:rPr>
                <w:rFonts w:hint="default"/>
                <w:color w:val="000000"/>
                <w:lang w:val="en-US" w:eastAsia="zh-CN"/>
              </w:rPr>
              <w:t>28</w:t>
            </w:r>
          </w:p>
        </w:tc>
        <w:tc>
          <w:tcPr>
            <w:tcW w:w="24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3AF8033">
            <w:pPr>
              <w:pStyle w:val="10"/>
              <w:bidi w:val="0"/>
              <w:jc w:val="center"/>
              <w:rPr>
                <w:rFonts w:hint="default"/>
                <w:color w:val="000000"/>
              </w:rPr>
            </w:pPr>
            <w:r>
              <w:rPr>
                <w:rFonts w:hint="default"/>
                <w:color w:val="000000"/>
                <w:lang w:val="en-US" w:eastAsia="zh-CN"/>
              </w:rPr>
              <w:t>30</w:t>
            </w:r>
          </w:p>
        </w:tc>
        <w:tc>
          <w:tcPr>
            <w:tcW w:w="24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AC8A14C">
            <w:pPr>
              <w:pStyle w:val="10"/>
              <w:bidi w:val="0"/>
              <w:jc w:val="center"/>
              <w:rPr>
                <w:rFonts w:hint="default"/>
                <w:color w:val="000000"/>
              </w:rPr>
            </w:pPr>
            <w:r>
              <w:rPr>
                <w:rFonts w:hint="default"/>
                <w:color w:val="000000"/>
                <w:lang w:val="en-US" w:eastAsia="zh-CN"/>
              </w:rPr>
              <w:t>89</w:t>
            </w:r>
          </w:p>
        </w:tc>
        <w:tc>
          <w:tcPr>
            <w:tcW w:w="24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9FB2A7B">
            <w:pPr>
              <w:pStyle w:val="10"/>
              <w:bidi w:val="0"/>
              <w:jc w:val="center"/>
              <w:rPr>
                <w:rFonts w:hint="default"/>
                <w:color w:val="000000"/>
              </w:rPr>
            </w:pPr>
            <w:r>
              <w:rPr>
                <w:rFonts w:hint="default"/>
                <w:color w:val="000000"/>
                <w:lang w:val="en-US" w:eastAsia="zh-CN"/>
              </w:rPr>
              <w:t>30</w:t>
            </w:r>
          </w:p>
        </w:tc>
        <w:tc>
          <w:tcPr>
            <w:tcW w:w="25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E2B3A8A">
            <w:pPr>
              <w:pStyle w:val="10"/>
              <w:bidi w:val="0"/>
              <w:jc w:val="center"/>
              <w:rPr>
                <w:rFonts w:hint="default"/>
                <w:color w:val="000000"/>
              </w:rPr>
            </w:pPr>
            <w:r>
              <w:rPr>
                <w:rFonts w:hint="default"/>
                <w:color w:val="000000"/>
                <w:lang w:val="en-US" w:eastAsia="zh-CN"/>
              </w:rPr>
              <w:t>28</w:t>
            </w:r>
          </w:p>
        </w:tc>
        <w:tc>
          <w:tcPr>
            <w:tcW w:w="2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766BA79">
            <w:pPr>
              <w:pStyle w:val="10"/>
              <w:bidi w:val="0"/>
              <w:jc w:val="center"/>
              <w:rPr>
                <w:rFonts w:hint="default"/>
                <w:color w:val="000000"/>
              </w:rPr>
            </w:pPr>
            <w:r>
              <w:rPr>
                <w:rFonts w:hint="default"/>
                <w:color w:val="000000"/>
                <w:lang w:val="en-US" w:eastAsia="zh-CN"/>
              </w:rPr>
              <w:t>28</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2636239">
            <w:pPr>
              <w:pStyle w:val="10"/>
              <w:bidi w:val="0"/>
              <w:jc w:val="center"/>
              <w:rPr>
                <w:rFonts w:hint="default"/>
                <w:color w:val="000000"/>
              </w:rPr>
            </w:pPr>
            <w:r>
              <w:rPr>
                <w:rFonts w:hint="default"/>
                <w:color w:val="000000"/>
                <w:lang w:val="en-US" w:eastAsia="zh-CN"/>
              </w:rPr>
              <w:t>86</w:t>
            </w:r>
          </w:p>
        </w:tc>
        <w:tc>
          <w:tcPr>
            <w:tcW w:w="21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19D29D5">
            <w:pPr>
              <w:pStyle w:val="10"/>
              <w:bidi w:val="0"/>
              <w:jc w:val="center"/>
              <w:rPr>
                <w:rFonts w:hint="default"/>
                <w:color w:val="000000"/>
              </w:rPr>
            </w:pPr>
            <w:r>
              <w:rPr>
                <w:rFonts w:hint="default"/>
                <w:color w:val="000000"/>
                <w:lang w:val="en-US" w:eastAsia="zh-CN"/>
              </w:rPr>
              <w:t>30</w:t>
            </w:r>
          </w:p>
        </w:tc>
        <w:tc>
          <w:tcPr>
            <w:tcW w:w="25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61F6677">
            <w:pPr>
              <w:pStyle w:val="10"/>
              <w:bidi w:val="0"/>
              <w:jc w:val="center"/>
              <w:rPr>
                <w:rFonts w:hint="default"/>
                <w:color w:val="000000"/>
              </w:rPr>
            </w:pPr>
            <w:r>
              <w:rPr>
                <w:rFonts w:hint="default"/>
                <w:color w:val="000000"/>
                <w:lang w:val="en-US" w:eastAsia="zh-CN"/>
              </w:rPr>
              <w:t>31</w:t>
            </w:r>
          </w:p>
        </w:tc>
        <w:tc>
          <w:tcPr>
            <w:tcW w:w="24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F4FCA59">
            <w:pPr>
              <w:pStyle w:val="10"/>
              <w:bidi w:val="0"/>
              <w:jc w:val="center"/>
              <w:rPr>
                <w:rFonts w:hint="default"/>
                <w:color w:val="000000"/>
              </w:rPr>
            </w:pPr>
            <w:r>
              <w:rPr>
                <w:rFonts w:hint="default"/>
                <w:color w:val="000000"/>
                <w:lang w:val="en-US" w:eastAsia="zh-CN"/>
              </w:rPr>
              <w:t>30</w:t>
            </w:r>
          </w:p>
        </w:tc>
        <w:tc>
          <w:tcPr>
            <w:tcW w:w="24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01C70B4">
            <w:pPr>
              <w:pStyle w:val="10"/>
              <w:bidi w:val="0"/>
              <w:jc w:val="center"/>
              <w:rPr>
                <w:rFonts w:hint="default"/>
                <w:color w:val="000000"/>
              </w:rPr>
            </w:pPr>
            <w:r>
              <w:rPr>
                <w:rFonts w:hint="default"/>
                <w:color w:val="000000"/>
                <w:lang w:val="en-US" w:eastAsia="zh-CN"/>
              </w:rPr>
              <w:t>91</w:t>
            </w:r>
          </w:p>
        </w:tc>
        <w:tc>
          <w:tcPr>
            <w:tcW w:w="25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F179698">
            <w:pPr>
              <w:pStyle w:val="10"/>
              <w:bidi w:val="0"/>
              <w:jc w:val="center"/>
              <w:rPr>
                <w:rFonts w:hint="default"/>
                <w:color w:val="000000"/>
              </w:rPr>
            </w:pPr>
            <w:r>
              <w:rPr>
                <w:rFonts w:hint="default"/>
                <w:color w:val="000000"/>
                <w:lang w:val="en-US" w:eastAsia="zh-CN"/>
              </w:rPr>
              <w:t>31</w:t>
            </w:r>
          </w:p>
        </w:tc>
        <w:tc>
          <w:tcPr>
            <w:tcW w:w="25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0A3DB28">
            <w:pPr>
              <w:pStyle w:val="10"/>
              <w:bidi w:val="0"/>
              <w:jc w:val="center"/>
              <w:rPr>
                <w:rFonts w:hint="default"/>
                <w:color w:val="000000"/>
              </w:rPr>
            </w:pPr>
            <w:r>
              <w:rPr>
                <w:rFonts w:hint="default"/>
                <w:color w:val="000000"/>
                <w:lang w:val="en-US" w:eastAsia="zh-CN"/>
              </w:rPr>
              <w:t>30</w:t>
            </w:r>
          </w:p>
        </w:tc>
        <w:tc>
          <w:tcPr>
            <w:tcW w:w="25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CE923B3">
            <w:pPr>
              <w:pStyle w:val="10"/>
              <w:bidi w:val="0"/>
              <w:jc w:val="center"/>
              <w:rPr>
                <w:rFonts w:hint="default"/>
                <w:color w:val="000000"/>
              </w:rPr>
            </w:pPr>
            <w:r>
              <w:rPr>
                <w:rFonts w:hint="default"/>
                <w:color w:val="000000"/>
                <w:lang w:val="en-US" w:eastAsia="zh-CN"/>
              </w:rPr>
              <w:t>31</w:t>
            </w:r>
          </w:p>
        </w:tc>
        <w:tc>
          <w:tcPr>
            <w:tcW w:w="27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4F86AC5">
            <w:pPr>
              <w:pStyle w:val="10"/>
              <w:bidi w:val="0"/>
              <w:jc w:val="center"/>
              <w:rPr>
                <w:rFonts w:hint="default"/>
                <w:color w:val="000000"/>
              </w:rPr>
            </w:pPr>
            <w:r>
              <w:rPr>
                <w:rFonts w:hint="default"/>
                <w:color w:val="000000"/>
                <w:lang w:val="en-US" w:eastAsia="zh-CN"/>
              </w:rPr>
              <w:t>92</w:t>
            </w:r>
          </w:p>
        </w:tc>
        <w:tc>
          <w:tcPr>
            <w:tcW w:w="28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14:paraId="66CAB241">
            <w:pPr>
              <w:pStyle w:val="10"/>
              <w:bidi w:val="0"/>
              <w:jc w:val="center"/>
              <w:rPr>
                <w:rFonts w:hint="default"/>
                <w:color w:val="000000"/>
              </w:rPr>
            </w:pPr>
            <w:r>
              <w:rPr>
                <w:rFonts w:hint="default"/>
                <w:color w:val="000000"/>
                <w:lang w:val="en-US" w:eastAsia="zh-CN"/>
              </w:rPr>
              <w:t>358</w:t>
            </w:r>
          </w:p>
        </w:tc>
      </w:tr>
      <w:tr w14:paraId="1419683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50" w:hRule="atLeast"/>
        </w:trPr>
        <w:tc>
          <w:tcPr>
            <w:tcW w:w="364" w:type="pct"/>
            <w:vMerge w:val="continue"/>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09D19AB">
            <w:pPr>
              <w:pStyle w:val="10"/>
              <w:bidi w:val="0"/>
              <w:jc w:val="center"/>
              <w:rPr>
                <w:rFonts w:hint="eastAsia"/>
                <w:color w:val="000000"/>
              </w:rPr>
            </w:pPr>
          </w:p>
        </w:tc>
        <w:tc>
          <w:tcPr>
            <w:tcW w:w="3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5460176">
            <w:pPr>
              <w:pStyle w:val="10"/>
              <w:bidi w:val="0"/>
              <w:jc w:val="center"/>
              <w:rPr>
                <w:rFonts w:hint="eastAsia"/>
                <w:color w:val="000000"/>
              </w:rPr>
            </w:pPr>
            <w:r>
              <w:rPr>
                <w:rFonts w:hint="eastAsia"/>
                <w:color w:val="000000"/>
                <w:lang w:val="en-US" w:eastAsia="zh-CN"/>
              </w:rPr>
              <w:t>最高浓度</w:t>
            </w:r>
          </w:p>
        </w:tc>
        <w:tc>
          <w:tcPr>
            <w:tcW w:w="24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5A0CF27">
            <w:pPr>
              <w:pStyle w:val="10"/>
              <w:bidi w:val="0"/>
              <w:jc w:val="center"/>
              <w:rPr>
                <w:rFonts w:hint="default"/>
                <w:color w:val="000000"/>
              </w:rPr>
            </w:pPr>
            <w:r>
              <w:rPr>
                <w:rFonts w:hint="default"/>
                <w:color w:val="000000"/>
                <w:lang w:val="en-US" w:eastAsia="zh-CN"/>
              </w:rPr>
              <w:t>0.030</w:t>
            </w:r>
          </w:p>
        </w:tc>
        <w:tc>
          <w:tcPr>
            <w:tcW w:w="27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7F6B3D5">
            <w:pPr>
              <w:pStyle w:val="10"/>
              <w:bidi w:val="0"/>
              <w:jc w:val="center"/>
              <w:rPr>
                <w:rFonts w:hint="default"/>
                <w:color w:val="000000"/>
              </w:rPr>
            </w:pPr>
            <w:r>
              <w:rPr>
                <w:rFonts w:hint="default"/>
                <w:color w:val="000000"/>
                <w:lang w:val="en-US" w:eastAsia="zh-CN"/>
              </w:rPr>
              <w:t>0.049</w:t>
            </w:r>
          </w:p>
        </w:tc>
        <w:tc>
          <w:tcPr>
            <w:tcW w:w="24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060CB24">
            <w:pPr>
              <w:pStyle w:val="10"/>
              <w:bidi w:val="0"/>
              <w:jc w:val="center"/>
              <w:rPr>
                <w:rFonts w:hint="default"/>
                <w:color w:val="000000"/>
              </w:rPr>
            </w:pPr>
            <w:r>
              <w:rPr>
                <w:rFonts w:hint="default"/>
                <w:color w:val="000000"/>
                <w:lang w:val="en-US" w:eastAsia="zh-CN"/>
              </w:rPr>
              <w:t>0.030</w:t>
            </w:r>
          </w:p>
        </w:tc>
        <w:tc>
          <w:tcPr>
            <w:tcW w:w="24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D704646">
            <w:pPr>
              <w:pStyle w:val="10"/>
              <w:bidi w:val="0"/>
              <w:jc w:val="center"/>
              <w:rPr>
                <w:rFonts w:hint="default"/>
                <w:color w:val="000000"/>
              </w:rPr>
            </w:pPr>
            <w:r>
              <w:rPr>
                <w:rFonts w:hint="default"/>
                <w:color w:val="000000"/>
                <w:lang w:val="en-US" w:eastAsia="zh-CN"/>
              </w:rPr>
              <w:t>0.049</w:t>
            </w:r>
          </w:p>
        </w:tc>
        <w:tc>
          <w:tcPr>
            <w:tcW w:w="24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2191E02">
            <w:pPr>
              <w:pStyle w:val="10"/>
              <w:bidi w:val="0"/>
              <w:jc w:val="center"/>
              <w:rPr>
                <w:rFonts w:hint="default"/>
                <w:color w:val="000000"/>
              </w:rPr>
            </w:pPr>
            <w:r>
              <w:rPr>
                <w:rFonts w:hint="default"/>
                <w:color w:val="000000"/>
                <w:lang w:val="en-US" w:eastAsia="zh-CN"/>
              </w:rPr>
              <w:t>0.022</w:t>
            </w:r>
          </w:p>
        </w:tc>
        <w:tc>
          <w:tcPr>
            <w:tcW w:w="25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B04E804">
            <w:pPr>
              <w:pStyle w:val="10"/>
              <w:bidi w:val="0"/>
              <w:jc w:val="center"/>
              <w:rPr>
                <w:rFonts w:hint="default"/>
                <w:color w:val="000000"/>
              </w:rPr>
            </w:pPr>
            <w:r>
              <w:rPr>
                <w:rFonts w:hint="default"/>
                <w:color w:val="000000"/>
                <w:lang w:val="en-US" w:eastAsia="zh-CN"/>
              </w:rPr>
              <w:t>0.019</w:t>
            </w:r>
          </w:p>
        </w:tc>
        <w:tc>
          <w:tcPr>
            <w:tcW w:w="2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D32B881">
            <w:pPr>
              <w:pStyle w:val="10"/>
              <w:bidi w:val="0"/>
              <w:jc w:val="center"/>
              <w:rPr>
                <w:rFonts w:hint="default"/>
                <w:color w:val="000000"/>
              </w:rPr>
            </w:pPr>
            <w:r>
              <w:rPr>
                <w:rFonts w:hint="default"/>
                <w:color w:val="000000"/>
                <w:lang w:val="en-US" w:eastAsia="zh-CN"/>
              </w:rPr>
              <w:t>0.020</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A30419A">
            <w:pPr>
              <w:pStyle w:val="10"/>
              <w:bidi w:val="0"/>
              <w:jc w:val="center"/>
              <w:rPr>
                <w:rFonts w:hint="default"/>
                <w:color w:val="000000"/>
              </w:rPr>
            </w:pPr>
            <w:r>
              <w:rPr>
                <w:rFonts w:hint="default"/>
                <w:color w:val="000000"/>
                <w:lang w:val="en-US" w:eastAsia="zh-CN"/>
              </w:rPr>
              <w:t>0.022</w:t>
            </w:r>
          </w:p>
        </w:tc>
        <w:tc>
          <w:tcPr>
            <w:tcW w:w="21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77D03A5">
            <w:pPr>
              <w:pStyle w:val="10"/>
              <w:bidi w:val="0"/>
              <w:jc w:val="center"/>
              <w:rPr>
                <w:rFonts w:hint="default"/>
                <w:color w:val="000000"/>
              </w:rPr>
            </w:pPr>
            <w:r>
              <w:rPr>
                <w:rFonts w:hint="default"/>
                <w:color w:val="000000"/>
                <w:lang w:val="en-US" w:eastAsia="zh-CN"/>
              </w:rPr>
              <w:t>0.023</w:t>
            </w:r>
          </w:p>
        </w:tc>
        <w:tc>
          <w:tcPr>
            <w:tcW w:w="25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959BB03">
            <w:pPr>
              <w:pStyle w:val="10"/>
              <w:bidi w:val="0"/>
              <w:jc w:val="center"/>
              <w:rPr>
                <w:rFonts w:hint="default"/>
                <w:color w:val="000000"/>
              </w:rPr>
            </w:pPr>
            <w:r>
              <w:rPr>
                <w:rFonts w:hint="default"/>
                <w:color w:val="000000"/>
                <w:lang w:val="en-US" w:eastAsia="zh-CN"/>
              </w:rPr>
              <w:t>0.067</w:t>
            </w:r>
          </w:p>
        </w:tc>
        <w:tc>
          <w:tcPr>
            <w:tcW w:w="24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E4685B4">
            <w:pPr>
              <w:pStyle w:val="10"/>
              <w:bidi w:val="0"/>
              <w:jc w:val="center"/>
              <w:rPr>
                <w:rFonts w:hint="default"/>
                <w:color w:val="000000"/>
              </w:rPr>
            </w:pPr>
            <w:r>
              <w:rPr>
                <w:rFonts w:hint="default"/>
                <w:color w:val="000000"/>
                <w:lang w:val="en-US" w:eastAsia="zh-CN"/>
              </w:rPr>
              <w:t>0.033</w:t>
            </w:r>
          </w:p>
        </w:tc>
        <w:tc>
          <w:tcPr>
            <w:tcW w:w="24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506A09A">
            <w:pPr>
              <w:pStyle w:val="10"/>
              <w:bidi w:val="0"/>
              <w:jc w:val="center"/>
              <w:rPr>
                <w:rFonts w:hint="default"/>
                <w:color w:val="000000"/>
              </w:rPr>
            </w:pPr>
            <w:r>
              <w:rPr>
                <w:rFonts w:hint="default"/>
                <w:color w:val="000000"/>
                <w:lang w:val="en-US" w:eastAsia="zh-CN"/>
              </w:rPr>
              <w:t>0.067</w:t>
            </w:r>
          </w:p>
        </w:tc>
        <w:tc>
          <w:tcPr>
            <w:tcW w:w="25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4AF534A">
            <w:pPr>
              <w:pStyle w:val="10"/>
              <w:bidi w:val="0"/>
              <w:jc w:val="center"/>
              <w:rPr>
                <w:rFonts w:hint="default"/>
                <w:color w:val="000000"/>
              </w:rPr>
            </w:pPr>
            <w:r>
              <w:rPr>
                <w:rFonts w:hint="default"/>
                <w:color w:val="000000"/>
                <w:lang w:val="en-US" w:eastAsia="zh-CN"/>
              </w:rPr>
              <w:t>0.050</w:t>
            </w:r>
          </w:p>
        </w:tc>
        <w:tc>
          <w:tcPr>
            <w:tcW w:w="25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9F6DC33">
            <w:pPr>
              <w:pStyle w:val="10"/>
              <w:bidi w:val="0"/>
              <w:jc w:val="center"/>
              <w:rPr>
                <w:rFonts w:hint="default"/>
                <w:color w:val="000000"/>
              </w:rPr>
            </w:pPr>
            <w:r>
              <w:rPr>
                <w:rFonts w:hint="default"/>
                <w:color w:val="000000"/>
                <w:lang w:val="en-US" w:eastAsia="zh-CN"/>
              </w:rPr>
              <w:t>0.061</w:t>
            </w:r>
          </w:p>
        </w:tc>
        <w:tc>
          <w:tcPr>
            <w:tcW w:w="25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168CE94">
            <w:pPr>
              <w:pStyle w:val="10"/>
              <w:bidi w:val="0"/>
              <w:jc w:val="center"/>
              <w:rPr>
                <w:rFonts w:hint="default"/>
                <w:color w:val="000000"/>
              </w:rPr>
            </w:pPr>
            <w:r>
              <w:rPr>
                <w:rFonts w:hint="default"/>
                <w:color w:val="000000"/>
                <w:lang w:val="en-US" w:eastAsia="zh-CN"/>
              </w:rPr>
              <w:t>0.056</w:t>
            </w:r>
          </w:p>
        </w:tc>
        <w:tc>
          <w:tcPr>
            <w:tcW w:w="27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16F1E0C">
            <w:pPr>
              <w:pStyle w:val="10"/>
              <w:bidi w:val="0"/>
              <w:jc w:val="center"/>
              <w:rPr>
                <w:rFonts w:hint="default"/>
                <w:color w:val="000000"/>
              </w:rPr>
            </w:pPr>
            <w:r>
              <w:rPr>
                <w:rFonts w:hint="default"/>
                <w:color w:val="000000"/>
                <w:lang w:val="en-US" w:eastAsia="zh-CN"/>
              </w:rPr>
              <w:t>0.061</w:t>
            </w:r>
          </w:p>
        </w:tc>
        <w:tc>
          <w:tcPr>
            <w:tcW w:w="28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14:paraId="31605ED7">
            <w:pPr>
              <w:pStyle w:val="10"/>
              <w:bidi w:val="0"/>
              <w:jc w:val="center"/>
              <w:rPr>
                <w:rFonts w:hint="default"/>
                <w:color w:val="000000"/>
              </w:rPr>
            </w:pPr>
            <w:r>
              <w:rPr>
                <w:rFonts w:hint="default"/>
                <w:color w:val="000000"/>
                <w:lang w:val="en-US" w:eastAsia="zh-CN"/>
              </w:rPr>
              <w:t>0.067</w:t>
            </w:r>
          </w:p>
        </w:tc>
      </w:tr>
      <w:tr w14:paraId="2D09222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95" w:hRule="atLeast"/>
        </w:trPr>
        <w:tc>
          <w:tcPr>
            <w:tcW w:w="364" w:type="pct"/>
            <w:vMerge w:val="continue"/>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4726563">
            <w:pPr>
              <w:pStyle w:val="10"/>
              <w:bidi w:val="0"/>
              <w:jc w:val="center"/>
              <w:rPr>
                <w:rFonts w:hint="eastAsia"/>
                <w:color w:val="000000"/>
              </w:rPr>
            </w:pPr>
          </w:p>
        </w:tc>
        <w:tc>
          <w:tcPr>
            <w:tcW w:w="3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6D4D80F">
            <w:pPr>
              <w:pStyle w:val="10"/>
              <w:bidi w:val="0"/>
              <w:jc w:val="center"/>
              <w:rPr>
                <w:rFonts w:hint="eastAsia"/>
                <w:color w:val="000000"/>
              </w:rPr>
            </w:pPr>
            <w:r>
              <w:rPr>
                <w:rFonts w:hint="eastAsia"/>
                <w:color w:val="000000"/>
                <w:lang w:val="en-US" w:eastAsia="zh-CN"/>
              </w:rPr>
              <w:t>平均值</w:t>
            </w:r>
          </w:p>
        </w:tc>
        <w:tc>
          <w:tcPr>
            <w:tcW w:w="24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260B1CC">
            <w:pPr>
              <w:pStyle w:val="10"/>
              <w:bidi w:val="0"/>
              <w:jc w:val="center"/>
              <w:rPr>
                <w:rFonts w:hint="default"/>
                <w:color w:val="000000"/>
              </w:rPr>
            </w:pPr>
            <w:r>
              <w:rPr>
                <w:rFonts w:hint="default"/>
                <w:color w:val="000000"/>
                <w:lang w:val="en-US" w:eastAsia="zh-CN"/>
              </w:rPr>
              <w:t>0.020</w:t>
            </w:r>
          </w:p>
        </w:tc>
        <w:tc>
          <w:tcPr>
            <w:tcW w:w="27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0F12CBF">
            <w:pPr>
              <w:pStyle w:val="10"/>
              <w:bidi w:val="0"/>
              <w:jc w:val="center"/>
              <w:rPr>
                <w:rFonts w:hint="default"/>
                <w:color w:val="000000"/>
              </w:rPr>
            </w:pPr>
            <w:r>
              <w:rPr>
                <w:rFonts w:hint="default"/>
                <w:color w:val="000000"/>
                <w:lang w:val="en-US" w:eastAsia="zh-CN"/>
              </w:rPr>
              <w:t>0.020</w:t>
            </w:r>
          </w:p>
        </w:tc>
        <w:tc>
          <w:tcPr>
            <w:tcW w:w="24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63C1F69">
            <w:pPr>
              <w:pStyle w:val="10"/>
              <w:bidi w:val="0"/>
              <w:jc w:val="center"/>
              <w:rPr>
                <w:rFonts w:hint="default"/>
                <w:color w:val="000000"/>
              </w:rPr>
            </w:pPr>
            <w:r>
              <w:rPr>
                <w:rFonts w:hint="default"/>
                <w:color w:val="000000"/>
                <w:lang w:val="en-US" w:eastAsia="zh-CN"/>
              </w:rPr>
              <w:t>0.019</w:t>
            </w:r>
          </w:p>
        </w:tc>
        <w:tc>
          <w:tcPr>
            <w:tcW w:w="24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78AAAB9">
            <w:pPr>
              <w:pStyle w:val="10"/>
              <w:bidi w:val="0"/>
              <w:jc w:val="center"/>
              <w:rPr>
                <w:rFonts w:hint="default"/>
                <w:color w:val="000000"/>
              </w:rPr>
            </w:pPr>
            <w:r>
              <w:rPr>
                <w:rFonts w:hint="default"/>
                <w:color w:val="000000"/>
                <w:lang w:val="en-US" w:eastAsia="zh-CN"/>
              </w:rPr>
              <w:t>0.020</w:t>
            </w:r>
          </w:p>
        </w:tc>
        <w:tc>
          <w:tcPr>
            <w:tcW w:w="24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6AEA2C9">
            <w:pPr>
              <w:pStyle w:val="10"/>
              <w:bidi w:val="0"/>
              <w:jc w:val="center"/>
              <w:rPr>
                <w:rFonts w:hint="default"/>
                <w:color w:val="000000"/>
              </w:rPr>
            </w:pPr>
            <w:r>
              <w:rPr>
                <w:rFonts w:hint="default"/>
                <w:color w:val="000000"/>
                <w:lang w:val="en-US" w:eastAsia="zh-CN"/>
              </w:rPr>
              <w:t>0.014</w:t>
            </w:r>
          </w:p>
        </w:tc>
        <w:tc>
          <w:tcPr>
            <w:tcW w:w="25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07EDF93">
            <w:pPr>
              <w:pStyle w:val="10"/>
              <w:bidi w:val="0"/>
              <w:jc w:val="center"/>
              <w:rPr>
                <w:rFonts w:hint="default"/>
                <w:color w:val="000000"/>
              </w:rPr>
            </w:pPr>
            <w:r>
              <w:rPr>
                <w:rFonts w:hint="default"/>
                <w:color w:val="000000"/>
                <w:lang w:val="en-US" w:eastAsia="zh-CN"/>
              </w:rPr>
              <w:t>0.012</w:t>
            </w:r>
          </w:p>
        </w:tc>
        <w:tc>
          <w:tcPr>
            <w:tcW w:w="2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D022D42">
            <w:pPr>
              <w:pStyle w:val="10"/>
              <w:bidi w:val="0"/>
              <w:jc w:val="center"/>
              <w:rPr>
                <w:rFonts w:hint="default"/>
                <w:color w:val="000000"/>
              </w:rPr>
            </w:pPr>
            <w:r>
              <w:rPr>
                <w:rFonts w:hint="default"/>
                <w:color w:val="000000"/>
                <w:lang w:val="en-US" w:eastAsia="zh-CN"/>
              </w:rPr>
              <w:t>0.011</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47F0C27">
            <w:pPr>
              <w:pStyle w:val="10"/>
              <w:bidi w:val="0"/>
              <w:jc w:val="center"/>
              <w:rPr>
                <w:rFonts w:hint="default"/>
                <w:color w:val="000000"/>
              </w:rPr>
            </w:pPr>
            <w:r>
              <w:rPr>
                <w:rFonts w:hint="default"/>
                <w:color w:val="000000"/>
                <w:lang w:val="en-US" w:eastAsia="zh-CN"/>
              </w:rPr>
              <w:t>0.012</w:t>
            </w:r>
          </w:p>
        </w:tc>
        <w:tc>
          <w:tcPr>
            <w:tcW w:w="21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334289C">
            <w:pPr>
              <w:pStyle w:val="10"/>
              <w:bidi w:val="0"/>
              <w:jc w:val="center"/>
              <w:rPr>
                <w:rFonts w:hint="default"/>
                <w:color w:val="000000"/>
              </w:rPr>
            </w:pPr>
            <w:r>
              <w:rPr>
                <w:rFonts w:hint="default"/>
                <w:color w:val="000000"/>
                <w:lang w:val="en-US" w:eastAsia="zh-CN"/>
              </w:rPr>
              <w:t>0.017</w:t>
            </w:r>
          </w:p>
        </w:tc>
        <w:tc>
          <w:tcPr>
            <w:tcW w:w="25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BD02C1D">
            <w:pPr>
              <w:pStyle w:val="10"/>
              <w:bidi w:val="0"/>
              <w:jc w:val="center"/>
              <w:rPr>
                <w:rFonts w:hint="default"/>
                <w:color w:val="000000"/>
              </w:rPr>
            </w:pPr>
            <w:r>
              <w:rPr>
                <w:rFonts w:hint="default"/>
                <w:color w:val="000000"/>
                <w:lang w:val="en-US" w:eastAsia="zh-CN"/>
              </w:rPr>
              <w:t>0.018</w:t>
            </w:r>
          </w:p>
        </w:tc>
        <w:tc>
          <w:tcPr>
            <w:tcW w:w="24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2826757">
            <w:pPr>
              <w:pStyle w:val="10"/>
              <w:bidi w:val="0"/>
              <w:jc w:val="center"/>
              <w:rPr>
                <w:rFonts w:hint="default"/>
                <w:color w:val="000000"/>
              </w:rPr>
            </w:pPr>
            <w:r>
              <w:rPr>
                <w:rFonts w:hint="default"/>
                <w:color w:val="000000"/>
                <w:lang w:val="en-US" w:eastAsia="zh-CN"/>
              </w:rPr>
              <w:t>0.021</w:t>
            </w:r>
          </w:p>
        </w:tc>
        <w:tc>
          <w:tcPr>
            <w:tcW w:w="24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F59B0E9">
            <w:pPr>
              <w:pStyle w:val="10"/>
              <w:bidi w:val="0"/>
              <w:jc w:val="center"/>
              <w:rPr>
                <w:rFonts w:hint="default"/>
                <w:color w:val="000000"/>
              </w:rPr>
            </w:pPr>
            <w:r>
              <w:rPr>
                <w:rFonts w:hint="default"/>
                <w:color w:val="000000"/>
                <w:lang w:val="en-US" w:eastAsia="zh-CN"/>
              </w:rPr>
              <w:t>0.019</w:t>
            </w:r>
          </w:p>
        </w:tc>
        <w:tc>
          <w:tcPr>
            <w:tcW w:w="25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483FBBD">
            <w:pPr>
              <w:pStyle w:val="10"/>
              <w:bidi w:val="0"/>
              <w:jc w:val="center"/>
              <w:rPr>
                <w:rFonts w:hint="default"/>
                <w:color w:val="000000"/>
              </w:rPr>
            </w:pPr>
            <w:r>
              <w:rPr>
                <w:rFonts w:hint="default"/>
                <w:color w:val="000000"/>
                <w:lang w:val="en-US" w:eastAsia="zh-CN"/>
              </w:rPr>
              <w:t>0.035</w:t>
            </w:r>
          </w:p>
        </w:tc>
        <w:tc>
          <w:tcPr>
            <w:tcW w:w="25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D54B568">
            <w:pPr>
              <w:pStyle w:val="10"/>
              <w:bidi w:val="0"/>
              <w:jc w:val="center"/>
              <w:rPr>
                <w:rFonts w:hint="default"/>
                <w:color w:val="000000"/>
              </w:rPr>
            </w:pPr>
            <w:r>
              <w:rPr>
                <w:rFonts w:hint="default"/>
                <w:color w:val="000000"/>
                <w:lang w:val="en-US" w:eastAsia="zh-CN"/>
              </w:rPr>
              <w:t>0.036</w:t>
            </w:r>
          </w:p>
        </w:tc>
        <w:tc>
          <w:tcPr>
            <w:tcW w:w="25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B6B9B6C">
            <w:pPr>
              <w:pStyle w:val="10"/>
              <w:bidi w:val="0"/>
              <w:jc w:val="center"/>
              <w:rPr>
                <w:rFonts w:hint="default"/>
                <w:color w:val="000000"/>
              </w:rPr>
            </w:pPr>
            <w:r>
              <w:rPr>
                <w:rFonts w:hint="default"/>
                <w:color w:val="000000"/>
                <w:lang w:val="en-US" w:eastAsia="zh-CN"/>
              </w:rPr>
              <w:t>0.037</w:t>
            </w:r>
          </w:p>
        </w:tc>
        <w:tc>
          <w:tcPr>
            <w:tcW w:w="27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CA7811F">
            <w:pPr>
              <w:pStyle w:val="10"/>
              <w:bidi w:val="0"/>
              <w:jc w:val="center"/>
              <w:rPr>
                <w:rFonts w:hint="default"/>
                <w:color w:val="000000"/>
              </w:rPr>
            </w:pPr>
            <w:r>
              <w:rPr>
                <w:rFonts w:hint="default"/>
                <w:color w:val="000000"/>
                <w:lang w:val="en-US" w:eastAsia="zh-CN"/>
              </w:rPr>
              <w:t>0.036</w:t>
            </w:r>
          </w:p>
        </w:tc>
        <w:tc>
          <w:tcPr>
            <w:tcW w:w="28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14:paraId="20C1488C">
            <w:pPr>
              <w:pStyle w:val="10"/>
              <w:bidi w:val="0"/>
              <w:jc w:val="center"/>
              <w:rPr>
                <w:rFonts w:hint="default"/>
                <w:color w:val="000000"/>
              </w:rPr>
            </w:pPr>
            <w:r>
              <w:rPr>
                <w:rFonts w:hint="default"/>
                <w:color w:val="000000"/>
                <w:lang w:val="en-US" w:eastAsia="zh-CN"/>
              </w:rPr>
              <w:t>0.022</w:t>
            </w:r>
          </w:p>
        </w:tc>
      </w:tr>
      <w:tr w14:paraId="2FD4CB8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870" w:hRule="atLeast"/>
        </w:trPr>
        <w:tc>
          <w:tcPr>
            <w:tcW w:w="364" w:type="pct"/>
            <w:vMerge w:val="continue"/>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4B5E94D">
            <w:pPr>
              <w:pStyle w:val="10"/>
              <w:bidi w:val="0"/>
              <w:jc w:val="center"/>
              <w:rPr>
                <w:rFonts w:hint="eastAsia"/>
                <w:color w:val="000000"/>
              </w:rPr>
            </w:pPr>
          </w:p>
        </w:tc>
        <w:tc>
          <w:tcPr>
            <w:tcW w:w="3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F9B348E">
            <w:pPr>
              <w:pStyle w:val="10"/>
              <w:bidi w:val="0"/>
              <w:jc w:val="center"/>
              <w:rPr>
                <w:rFonts w:hint="eastAsia"/>
                <w:color w:val="000000"/>
              </w:rPr>
            </w:pPr>
            <w:r>
              <w:rPr>
                <w:rFonts w:hint="eastAsia"/>
                <w:color w:val="000000"/>
                <w:lang w:val="en-US" w:eastAsia="zh-CN"/>
              </w:rPr>
              <w:t>超标率</w:t>
            </w:r>
          </w:p>
        </w:tc>
        <w:tc>
          <w:tcPr>
            <w:tcW w:w="24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C023E32">
            <w:pPr>
              <w:pStyle w:val="10"/>
              <w:bidi w:val="0"/>
              <w:jc w:val="center"/>
              <w:rPr>
                <w:rFonts w:hint="eastAsia"/>
                <w:color w:val="000000"/>
              </w:rPr>
            </w:pPr>
            <w:r>
              <w:rPr>
                <w:rFonts w:hint="eastAsia"/>
                <w:color w:val="000000"/>
                <w:lang w:val="en-US" w:eastAsia="zh-CN"/>
              </w:rPr>
              <w:t>0</w:t>
            </w:r>
          </w:p>
        </w:tc>
        <w:tc>
          <w:tcPr>
            <w:tcW w:w="27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CF01274">
            <w:pPr>
              <w:pStyle w:val="10"/>
              <w:bidi w:val="0"/>
              <w:jc w:val="center"/>
              <w:rPr>
                <w:rFonts w:hint="eastAsia"/>
                <w:color w:val="000000"/>
              </w:rPr>
            </w:pPr>
            <w:r>
              <w:rPr>
                <w:rFonts w:hint="eastAsia"/>
                <w:color w:val="000000"/>
                <w:lang w:val="en-US" w:eastAsia="zh-CN"/>
              </w:rPr>
              <w:t>0</w:t>
            </w:r>
          </w:p>
        </w:tc>
        <w:tc>
          <w:tcPr>
            <w:tcW w:w="24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4625EC2">
            <w:pPr>
              <w:pStyle w:val="10"/>
              <w:bidi w:val="0"/>
              <w:jc w:val="center"/>
              <w:rPr>
                <w:rFonts w:hint="eastAsia"/>
                <w:color w:val="000000"/>
              </w:rPr>
            </w:pPr>
            <w:r>
              <w:rPr>
                <w:rFonts w:hint="eastAsia"/>
                <w:color w:val="000000"/>
                <w:lang w:val="en-US" w:eastAsia="zh-CN"/>
              </w:rPr>
              <w:t>0</w:t>
            </w:r>
          </w:p>
        </w:tc>
        <w:tc>
          <w:tcPr>
            <w:tcW w:w="24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646F397">
            <w:pPr>
              <w:pStyle w:val="10"/>
              <w:bidi w:val="0"/>
              <w:jc w:val="center"/>
              <w:rPr>
                <w:rFonts w:hint="eastAsia"/>
                <w:color w:val="000000"/>
              </w:rPr>
            </w:pPr>
            <w:r>
              <w:rPr>
                <w:rFonts w:hint="eastAsia"/>
                <w:color w:val="000000"/>
                <w:lang w:val="en-US" w:eastAsia="zh-CN"/>
              </w:rPr>
              <w:t>0</w:t>
            </w:r>
          </w:p>
        </w:tc>
        <w:tc>
          <w:tcPr>
            <w:tcW w:w="24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6EBBD42">
            <w:pPr>
              <w:pStyle w:val="10"/>
              <w:bidi w:val="0"/>
              <w:jc w:val="center"/>
              <w:rPr>
                <w:rFonts w:hint="eastAsia"/>
                <w:color w:val="000000"/>
              </w:rPr>
            </w:pPr>
            <w:r>
              <w:rPr>
                <w:rFonts w:hint="eastAsia"/>
                <w:color w:val="000000"/>
                <w:lang w:val="en-US" w:eastAsia="zh-CN"/>
              </w:rPr>
              <w:t>0</w:t>
            </w:r>
          </w:p>
        </w:tc>
        <w:tc>
          <w:tcPr>
            <w:tcW w:w="25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D90AEDC">
            <w:pPr>
              <w:pStyle w:val="10"/>
              <w:bidi w:val="0"/>
              <w:jc w:val="center"/>
              <w:rPr>
                <w:rFonts w:hint="eastAsia"/>
                <w:color w:val="000000"/>
              </w:rPr>
            </w:pPr>
            <w:r>
              <w:rPr>
                <w:rFonts w:hint="eastAsia"/>
                <w:color w:val="000000"/>
                <w:lang w:val="en-US" w:eastAsia="zh-CN"/>
              </w:rPr>
              <w:t>0</w:t>
            </w:r>
          </w:p>
        </w:tc>
        <w:tc>
          <w:tcPr>
            <w:tcW w:w="23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033712E">
            <w:pPr>
              <w:pStyle w:val="10"/>
              <w:bidi w:val="0"/>
              <w:jc w:val="center"/>
              <w:rPr>
                <w:rFonts w:hint="eastAsia"/>
                <w:color w:val="000000"/>
              </w:rPr>
            </w:pPr>
            <w:r>
              <w:rPr>
                <w:rFonts w:hint="eastAsia"/>
                <w:color w:val="000000"/>
                <w:lang w:val="en-US" w:eastAsia="zh-CN"/>
              </w:rPr>
              <w:t>0</w:t>
            </w:r>
          </w:p>
        </w:tc>
        <w:tc>
          <w:tcPr>
            <w:tcW w:w="2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C1706C5">
            <w:pPr>
              <w:pStyle w:val="10"/>
              <w:bidi w:val="0"/>
              <w:jc w:val="center"/>
              <w:rPr>
                <w:rFonts w:hint="eastAsia"/>
                <w:color w:val="000000"/>
              </w:rPr>
            </w:pPr>
            <w:r>
              <w:rPr>
                <w:rFonts w:hint="eastAsia"/>
                <w:color w:val="000000"/>
                <w:lang w:val="en-US" w:eastAsia="zh-CN"/>
              </w:rPr>
              <w:t>0</w:t>
            </w:r>
          </w:p>
        </w:tc>
        <w:tc>
          <w:tcPr>
            <w:tcW w:w="21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0A5CFCB">
            <w:pPr>
              <w:pStyle w:val="10"/>
              <w:bidi w:val="0"/>
              <w:jc w:val="center"/>
              <w:rPr>
                <w:rFonts w:hint="eastAsia"/>
                <w:color w:val="000000"/>
              </w:rPr>
            </w:pPr>
            <w:r>
              <w:rPr>
                <w:rFonts w:hint="eastAsia"/>
                <w:color w:val="000000"/>
                <w:lang w:val="en-US" w:eastAsia="zh-CN"/>
              </w:rPr>
              <w:t>0</w:t>
            </w:r>
          </w:p>
        </w:tc>
        <w:tc>
          <w:tcPr>
            <w:tcW w:w="25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DF8CBC0">
            <w:pPr>
              <w:pStyle w:val="10"/>
              <w:bidi w:val="0"/>
              <w:jc w:val="center"/>
              <w:rPr>
                <w:rFonts w:hint="eastAsia"/>
                <w:color w:val="000000"/>
              </w:rPr>
            </w:pPr>
            <w:r>
              <w:rPr>
                <w:rFonts w:hint="eastAsia"/>
                <w:color w:val="000000"/>
                <w:lang w:val="en-US" w:eastAsia="zh-CN"/>
              </w:rPr>
              <w:t>0</w:t>
            </w:r>
          </w:p>
        </w:tc>
        <w:tc>
          <w:tcPr>
            <w:tcW w:w="24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F70423D">
            <w:pPr>
              <w:pStyle w:val="10"/>
              <w:bidi w:val="0"/>
              <w:jc w:val="center"/>
              <w:rPr>
                <w:rFonts w:hint="eastAsia"/>
                <w:color w:val="000000"/>
              </w:rPr>
            </w:pPr>
            <w:r>
              <w:rPr>
                <w:rFonts w:hint="eastAsia"/>
                <w:color w:val="000000"/>
                <w:lang w:val="en-US" w:eastAsia="zh-CN"/>
              </w:rPr>
              <w:t>0</w:t>
            </w:r>
          </w:p>
        </w:tc>
        <w:tc>
          <w:tcPr>
            <w:tcW w:w="24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F91AECB">
            <w:pPr>
              <w:pStyle w:val="10"/>
              <w:bidi w:val="0"/>
              <w:jc w:val="center"/>
              <w:rPr>
                <w:rFonts w:hint="eastAsia"/>
                <w:color w:val="000000"/>
              </w:rPr>
            </w:pPr>
            <w:r>
              <w:rPr>
                <w:rFonts w:hint="eastAsia"/>
                <w:color w:val="000000"/>
                <w:lang w:val="en-US" w:eastAsia="zh-CN"/>
              </w:rPr>
              <w:t>0</w:t>
            </w:r>
          </w:p>
        </w:tc>
        <w:tc>
          <w:tcPr>
            <w:tcW w:w="25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EAA53FC">
            <w:pPr>
              <w:pStyle w:val="10"/>
              <w:bidi w:val="0"/>
              <w:jc w:val="center"/>
              <w:rPr>
                <w:rFonts w:hint="eastAsia"/>
                <w:color w:val="000000"/>
              </w:rPr>
            </w:pPr>
            <w:r>
              <w:rPr>
                <w:rFonts w:hint="eastAsia"/>
                <w:color w:val="000000"/>
                <w:lang w:val="en-US" w:eastAsia="zh-CN"/>
              </w:rPr>
              <w:t>0</w:t>
            </w:r>
          </w:p>
        </w:tc>
        <w:tc>
          <w:tcPr>
            <w:tcW w:w="25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321AB16">
            <w:pPr>
              <w:pStyle w:val="10"/>
              <w:bidi w:val="0"/>
              <w:jc w:val="center"/>
              <w:rPr>
                <w:rFonts w:hint="eastAsia"/>
                <w:color w:val="000000"/>
              </w:rPr>
            </w:pPr>
            <w:r>
              <w:rPr>
                <w:rFonts w:hint="eastAsia"/>
                <w:color w:val="000000"/>
                <w:lang w:val="en-US" w:eastAsia="zh-CN"/>
              </w:rPr>
              <w:t>0</w:t>
            </w:r>
          </w:p>
        </w:tc>
        <w:tc>
          <w:tcPr>
            <w:tcW w:w="25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B004A59">
            <w:pPr>
              <w:pStyle w:val="10"/>
              <w:bidi w:val="0"/>
              <w:jc w:val="center"/>
              <w:rPr>
                <w:rFonts w:hint="eastAsia"/>
                <w:color w:val="000000"/>
              </w:rPr>
            </w:pPr>
            <w:r>
              <w:rPr>
                <w:rFonts w:hint="eastAsia"/>
                <w:color w:val="000000"/>
                <w:lang w:val="en-US" w:eastAsia="zh-CN"/>
              </w:rPr>
              <w:t>0</w:t>
            </w:r>
          </w:p>
        </w:tc>
        <w:tc>
          <w:tcPr>
            <w:tcW w:w="27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DD88855">
            <w:pPr>
              <w:pStyle w:val="10"/>
              <w:bidi w:val="0"/>
              <w:jc w:val="center"/>
              <w:rPr>
                <w:rFonts w:hint="eastAsia"/>
                <w:color w:val="000000"/>
              </w:rPr>
            </w:pPr>
            <w:r>
              <w:rPr>
                <w:rFonts w:hint="eastAsia"/>
                <w:color w:val="000000"/>
                <w:lang w:val="en-US" w:eastAsia="zh-CN"/>
              </w:rPr>
              <w:t>0</w:t>
            </w:r>
          </w:p>
        </w:tc>
        <w:tc>
          <w:tcPr>
            <w:tcW w:w="28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14ACE626">
            <w:pPr>
              <w:pStyle w:val="10"/>
              <w:bidi w:val="0"/>
              <w:jc w:val="center"/>
              <w:rPr>
                <w:rFonts w:hint="eastAsia"/>
                <w:color w:val="000000"/>
              </w:rPr>
            </w:pPr>
            <w:r>
              <w:rPr>
                <w:rFonts w:hint="eastAsia"/>
                <w:color w:val="000000"/>
                <w:lang w:val="en-US" w:eastAsia="zh-CN"/>
              </w:rPr>
              <w:t>0</w:t>
            </w:r>
          </w:p>
        </w:tc>
      </w:tr>
    </w:tbl>
    <w:p w14:paraId="215B9FCE">
      <w:pPr>
        <w:pStyle w:val="10"/>
        <w:bidi w:val="0"/>
        <w:jc w:val="center"/>
        <w:rPr>
          <w:rFonts w:hint="eastAsia"/>
          <w:b/>
          <w:bCs/>
        </w:rPr>
      </w:pPr>
      <w:r>
        <w:rPr>
          <w:rFonts w:hint="eastAsia"/>
          <w:b/>
          <w:bCs/>
          <w:lang w:val="en-US" w:eastAsia="zh-CN"/>
        </w:rPr>
        <w:t>2013</w:t>
      </w:r>
      <w:r>
        <w:rPr>
          <w:rFonts w:hint="eastAsia"/>
          <w:b/>
          <w:bCs/>
        </w:rPr>
        <w:t>年南雄市环境空气中可吸入颗粒物监测情况</w:t>
      </w:r>
    </w:p>
    <w:p w14:paraId="5192EF63">
      <w:pPr>
        <w:bidi w:val="0"/>
        <w:rPr>
          <w:rFonts w:hint="default" w:eastAsia="宋体"/>
          <w:lang w:val="en-US" w:eastAsia="zh-CN"/>
        </w:rPr>
      </w:pPr>
      <w:r>
        <w:rPr>
          <w:rFonts w:hint="eastAsia"/>
          <w:lang w:val="en-US" w:eastAsia="zh-CN"/>
        </w:rPr>
        <w:t>表26</w:t>
      </w:r>
    </w:p>
    <w:p w14:paraId="28CD094B">
      <w:pPr>
        <w:bidi w:val="0"/>
        <w:jc w:val="right"/>
        <w:rPr>
          <w:rFonts w:hint="eastAsia"/>
        </w:rPr>
      </w:pPr>
      <w:r>
        <w:rPr>
          <w:rFonts w:hint="eastAsia"/>
        </w:rPr>
        <w:t>单位：mg/m3</w:t>
      </w:r>
    </w:p>
    <w:tbl>
      <w:tblPr>
        <w:tblStyle w:val="7"/>
        <w:tblW w:w="5000" w:type="pct"/>
        <w:tblInd w:w="0" w:type="dxa"/>
        <w:tblBorders>
          <w:top w:val="none" w:color="auto" w:sz="4" w:space="0"/>
          <w:left w:val="none" w:color="auto" w:sz="0" w:space="0"/>
          <w:bottom w:val="none" w:color="auto" w:sz="4" w:space="0"/>
          <w:right w:val="single" w:color="auto" w:sz="4" w:space="0"/>
          <w:insideH w:val="none" w:color="auto" w:sz="4" w:space="0"/>
          <w:insideV w:val="none" w:color="auto" w:sz="4" w:space="0"/>
        </w:tblBorders>
        <w:shd w:val="clear" w:color="auto" w:fill="auto"/>
        <w:tblLayout w:type="fixed"/>
        <w:tblCellMar>
          <w:top w:w="0" w:type="dxa"/>
          <w:left w:w="0" w:type="dxa"/>
          <w:bottom w:w="0" w:type="dxa"/>
          <w:right w:w="0" w:type="dxa"/>
        </w:tblCellMar>
      </w:tblPr>
      <w:tblGrid>
        <w:gridCol w:w="705"/>
        <w:gridCol w:w="750"/>
        <w:gridCol w:w="450"/>
        <w:gridCol w:w="547"/>
        <w:gridCol w:w="471"/>
        <w:gridCol w:w="472"/>
        <w:gridCol w:w="482"/>
        <w:gridCol w:w="503"/>
        <w:gridCol w:w="450"/>
        <w:gridCol w:w="493"/>
        <w:gridCol w:w="429"/>
        <w:gridCol w:w="493"/>
        <w:gridCol w:w="471"/>
        <w:gridCol w:w="482"/>
        <w:gridCol w:w="493"/>
        <w:gridCol w:w="504"/>
        <w:gridCol w:w="482"/>
        <w:gridCol w:w="514"/>
        <w:gridCol w:w="585"/>
      </w:tblGrid>
      <w:tr w14:paraId="4085C24E">
        <w:tblPrEx>
          <w:tblBorders>
            <w:top w:val="none" w:color="auto" w:sz="4" w:space="0"/>
            <w:left w:val="none" w:color="auto" w:sz="0" w:space="0"/>
            <w:bottom w:val="none" w:color="auto" w:sz="4" w:space="0"/>
            <w:right w:val="single" w:color="auto" w:sz="4" w:space="0"/>
            <w:insideH w:val="none" w:color="auto" w:sz="4" w:space="0"/>
            <w:insideV w:val="none" w:color="auto" w:sz="4" w:space="0"/>
          </w:tblBorders>
          <w:shd w:val="clear" w:color="auto" w:fill="auto"/>
          <w:tblCellMar>
            <w:top w:w="0" w:type="dxa"/>
            <w:left w:w="0" w:type="dxa"/>
            <w:bottom w:w="0" w:type="dxa"/>
            <w:right w:w="0" w:type="dxa"/>
          </w:tblCellMar>
        </w:tblPrEx>
        <w:trPr>
          <w:trHeight w:val="335" w:hRule="atLeast"/>
        </w:trPr>
        <w:tc>
          <w:tcPr>
            <w:tcW w:w="360" w:type="pct"/>
            <w:vMerge w:val="restar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34C6028">
            <w:pPr>
              <w:pStyle w:val="10"/>
              <w:bidi w:val="0"/>
              <w:jc w:val="center"/>
              <w:rPr>
                <w:rFonts w:hint="default"/>
                <w:b/>
                <w:bCs/>
              </w:rPr>
            </w:pPr>
            <w:r>
              <w:rPr>
                <w:b/>
                <w:bCs/>
                <w:lang w:val="en-US" w:eastAsia="zh-CN"/>
              </w:rPr>
              <w:t>监测</w:t>
            </w:r>
            <w:r>
              <w:rPr>
                <w:b/>
                <w:bCs/>
                <w:lang w:val="en-US" w:eastAsia="zh-CN"/>
              </w:rPr>
              <w:br w:type="textWrapping"/>
            </w:r>
            <w:r>
              <w:rPr>
                <w:b/>
                <w:bCs/>
                <w:lang w:val="en-US" w:eastAsia="zh-CN"/>
              </w:rPr>
              <w:t>点</w:t>
            </w:r>
          </w:p>
        </w:tc>
        <w:tc>
          <w:tcPr>
            <w:tcW w:w="383"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E179D76">
            <w:pPr>
              <w:pStyle w:val="10"/>
              <w:bidi w:val="0"/>
              <w:jc w:val="center"/>
              <w:rPr>
                <w:rFonts w:hint="eastAsia"/>
                <w:b/>
                <w:bCs/>
              </w:rPr>
            </w:pPr>
            <w:r>
              <w:rPr>
                <w:b/>
                <w:bCs/>
                <w:lang w:val="en-US" w:eastAsia="zh-CN"/>
              </w:rPr>
              <w:t>指标</w:t>
            </w:r>
          </w:p>
        </w:tc>
        <w:tc>
          <w:tcPr>
            <w:tcW w:w="992" w:type="pct"/>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13BBB45">
            <w:pPr>
              <w:pStyle w:val="10"/>
              <w:bidi w:val="0"/>
              <w:jc w:val="center"/>
              <w:rPr>
                <w:rFonts w:hint="eastAsia"/>
                <w:b/>
                <w:bCs/>
              </w:rPr>
            </w:pPr>
            <w:r>
              <w:rPr>
                <w:b/>
                <w:bCs/>
                <w:lang w:val="en-US" w:eastAsia="zh-CN"/>
              </w:rPr>
              <w:t>第一季度</w:t>
            </w:r>
          </w:p>
        </w:tc>
        <w:tc>
          <w:tcPr>
            <w:tcW w:w="986" w:type="pct"/>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D25A981">
            <w:pPr>
              <w:pStyle w:val="10"/>
              <w:bidi w:val="0"/>
              <w:jc w:val="center"/>
              <w:rPr>
                <w:rFonts w:hint="eastAsia"/>
                <w:b/>
                <w:bCs/>
              </w:rPr>
            </w:pPr>
            <w:r>
              <w:rPr>
                <w:b/>
                <w:bCs/>
                <w:lang w:val="en-US" w:eastAsia="zh-CN"/>
              </w:rPr>
              <w:t>第二季度</w:t>
            </w:r>
          </w:p>
        </w:tc>
        <w:tc>
          <w:tcPr>
            <w:tcW w:w="958" w:type="pct"/>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EF5A84">
            <w:pPr>
              <w:pStyle w:val="10"/>
              <w:bidi w:val="0"/>
              <w:jc w:val="center"/>
              <w:rPr>
                <w:rFonts w:hint="eastAsia"/>
                <w:b/>
                <w:bCs/>
              </w:rPr>
            </w:pPr>
            <w:r>
              <w:rPr>
                <w:b/>
                <w:bCs/>
                <w:lang w:val="en-US" w:eastAsia="zh-CN"/>
              </w:rPr>
              <w:t>第三季度</w:t>
            </w:r>
          </w:p>
        </w:tc>
        <w:tc>
          <w:tcPr>
            <w:tcW w:w="1019" w:type="pct"/>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81D2FE6">
            <w:pPr>
              <w:pStyle w:val="10"/>
              <w:bidi w:val="0"/>
              <w:jc w:val="center"/>
              <w:rPr>
                <w:rFonts w:hint="eastAsia"/>
                <w:b/>
                <w:bCs/>
              </w:rPr>
            </w:pPr>
            <w:r>
              <w:rPr>
                <w:b/>
                <w:bCs/>
                <w:lang w:val="en-US" w:eastAsia="zh-CN"/>
              </w:rPr>
              <w:t>第四季度</w:t>
            </w:r>
          </w:p>
        </w:tc>
        <w:tc>
          <w:tcPr>
            <w:tcW w:w="29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088E04A">
            <w:pPr>
              <w:pStyle w:val="10"/>
              <w:bidi w:val="0"/>
              <w:jc w:val="center"/>
              <w:rPr>
                <w:rFonts w:hint="eastAsia"/>
                <w:b/>
                <w:bCs/>
              </w:rPr>
            </w:pPr>
            <w:r>
              <w:rPr>
                <w:b/>
                <w:bCs/>
                <w:lang w:val="en-US" w:eastAsia="zh-CN"/>
              </w:rPr>
              <w:t>全年</w:t>
            </w:r>
          </w:p>
        </w:tc>
      </w:tr>
      <w:tr w14:paraId="06517042">
        <w:tblPrEx>
          <w:tblBorders>
            <w:top w:val="none" w:color="auto" w:sz="4" w:space="0"/>
            <w:left w:val="none" w:color="auto" w:sz="0" w:space="0"/>
            <w:bottom w:val="none" w:color="auto" w:sz="4" w:space="0"/>
            <w:right w:val="single" w:color="auto" w:sz="4" w:space="0"/>
            <w:insideH w:val="none" w:color="auto" w:sz="4" w:space="0"/>
            <w:insideV w:val="none" w:color="auto" w:sz="4" w:space="0"/>
          </w:tblBorders>
          <w:shd w:val="clear" w:color="auto" w:fill="auto"/>
          <w:tblCellMar>
            <w:top w:w="0" w:type="dxa"/>
            <w:left w:w="0" w:type="dxa"/>
            <w:bottom w:w="0" w:type="dxa"/>
            <w:right w:w="0" w:type="dxa"/>
          </w:tblCellMar>
        </w:tblPrEx>
        <w:trPr>
          <w:trHeight w:val="605" w:hRule="atLeast"/>
        </w:trPr>
        <w:tc>
          <w:tcPr>
            <w:tcW w:w="360"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D81BE14">
            <w:pPr>
              <w:pStyle w:val="10"/>
              <w:bidi w:val="0"/>
              <w:jc w:val="center"/>
              <w:rPr>
                <w:rFonts w:hint="default"/>
                <w:b/>
                <w:bCs/>
              </w:rPr>
            </w:pPr>
          </w:p>
        </w:tc>
        <w:tc>
          <w:tcPr>
            <w:tcW w:w="383"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7BB00FC">
            <w:pPr>
              <w:pStyle w:val="10"/>
              <w:bidi w:val="0"/>
              <w:jc w:val="center"/>
              <w:rPr>
                <w:rFonts w:hint="eastAsia"/>
                <w:b/>
                <w:bCs/>
              </w:rPr>
            </w:pPr>
          </w:p>
        </w:tc>
        <w:tc>
          <w:tcPr>
            <w:tcW w:w="23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6C254B1">
            <w:pPr>
              <w:pStyle w:val="10"/>
              <w:bidi w:val="0"/>
              <w:jc w:val="center"/>
              <w:rPr>
                <w:rFonts w:hint="default"/>
                <w:b/>
                <w:bCs/>
              </w:rPr>
            </w:pPr>
            <w:r>
              <w:rPr>
                <w:rFonts w:hint="default"/>
                <w:b/>
                <w:bCs/>
                <w:lang w:val="en-US" w:eastAsia="zh-CN"/>
              </w:rPr>
              <w:t>1</w:t>
            </w:r>
            <w:r>
              <w:rPr>
                <w:b/>
                <w:bCs/>
                <w:lang w:val="en-US" w:eastAsia="zh-CN"/>
              </w:rPr>
              <w:t>月</w:t>
            </w:r>
          </w:p>
        </w:tc>
        <w:tc>
          <w:tcPr>
            <w:tcW w:w="27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11D37D">
            <w:pPr>
              <w:pStyle w:val="10"/>
              <w:bidi w:val="0"/>
              <w:jc w:val="center"/>
              <w:rPr>
                <w:rFonts w:hint="default"/>
                <w:b/>
                <w:bCs/>
              </w:rPr>
            </w:pPr>
            <w:r>
              <w:rPr>
                <w:rFonts w:hint="default"/>
                <w:b/>
                <w:bCs/>
                <w:lang w:val="en-US" w:eastAsia="zh-CN"/>
              </w:rPr>
              <w:t>2</w:t>
            </w:r>
            <w:r>
              <w:rPr>
                <w:b/>
                <w:bCs/>
                <w:lang w:val="en-US" w:eastAsia="zh-CN"/>
              </w:rPr>
              <w:t>月</w:t>
            </w:r>
          </w:p>
        </w:tc>
        <w:tc>
          <w:tcPr>
            <w:tcW w:w="2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2BE450E">
            <w:pPr>
              <w:pStyle w:val="10"/>
              <w:bidi w:val="0"/>
              <w:jc w:val="center"/>
              <w:rPr>
                <w:rFonts w:hint="default"/>
                <w:b/>
                <w:bCs/>
              </w:rPr>
            </w:pPr>
            <w:r>
              <w:rPr>
                <w:rFonts w:hint="default"/>
                <w:b/>
                <w:bCs/>
                <w:lang w:val="en-US" w:eastAsia="zh-CN"/>
              </w:rPr>
              <w:t>3</w:t>
            </w:r>
            <w:r>
              <w:rPr>
                <w:rFonts w:hint="eastAsia"/>
                <w:b/>
                <w:bCs/>
                <w:lang w:val="en-US" w:eastAsia="zh-CN"/>
              </w:rPr>
              <w:t>月</w:t>
            </w:r>
          </w:p>
        </w:tc>
        <w:tc>
          <w:tcPr>
            <w:tcW w:w="24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D45DB92">
            <w:pPr>
              <w:pStyle w:val="10"/>
              <w:bidi w:val="0"/>
              <w:jc w:val="center"/>
              <w:rPr>
                <w:rFonts w:hint="eastAsia"/>
                <w:b/>
                <w:bCs/>
              </w:rPr>
            </w:pPr>
            <w:r>
              <w:rPr>
                <w:b/>
                <w:bCs/>
                <w:lang w:val="en-US" w:eastAsia="zh-CN"/>
              </w:rPr>
              <w:t>小计</w:t>
            </w:r>
          </w:p>
        </w:tc>
        <w:tc>
          <w:tcPr>
            <w:tcW w:w="24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AFFA386">
            <w:pPr>
              <w:pStyle w:val="10"/>
              <w:bidi w:val="0"/>
              <w:jc w:val="center"/>
              <w:rPr>
                <w:rFonts w:hint="default"/>
                <w:b/>
                <w:bCs/>
              </w:rPr>
            </w:pPr>
            <w:r>
              <w:rPr>
                <w:rFonts w:hint="default"/>
                <w:b/>
                <w:bCs/>
                <w:lang w:val="en-US" w:eastAsia="zh-CN"/>
              </w:rPr>
              <w:t>4</w:t>
            </w:r>
            <w:r>
              <w:rPr>
                <w:b/>
                <w:bCs/>
                <w:lang w:val="en-US" w:eastAsia="zh-CN"/>
              </w:rPr>
              <w:t>月</w:t>
            </w:r>
          </w:p>
        </w:tc>
        <w:tc>
          <w:tcPr>
            <w:tcW w:w="25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BD815CA">
            <w:pPr>
              <w:pStyle w:val="10"/>
              <w:bidi w:val="0"/>
              <w:jc w:val="center"/>
              <w:rPr>
                <w:rFonts w:hint="default"/>
                <w:b/>
                <w:bCs/>
              </w:rPr>
            </w:pPr>
            <w:r>
              <w:rPr>
                <w:rFonts w:hint="default"/>
                <w:b/>
                <w:bCs/>
                <w:lang w:val="en-US" w:eastAsia="zh-CN"/>
              </w:rPr>
              <w:t>5</w:t>
            </w:r>
            <w:r>
              <w:rPr>
                <w:b/>
                <w:bCs/>
                <w:lang w:val="en-US" w:eastAsia="zh-CN"/>
              </w:rPr>
              <w:t>月</w:t>
            </w:r>
          </w:p>
        </w:tc>
        <w:tc>
          <w:tcPr>
            <w:tcW w:w="23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51093BA">
            <w:pPr>
              <w:pStyle w:val="10"/>
              <w:bidi w:val="0"/>
              <w:jc w:val="center"/>
              <w:rPr>
                <w:rFonts w:hint="default"/>
                <w:b/>
                <w:bCs/>
              </w:rPr>
            </w:pPr>
            <w:r>
              <w:rPr>
                <w:rFonts w:hint="default"/>
                <w:b/>
                <w:bCs/>
                <w:lang w:val="en-US" w:eastAsia="zh-CN"/>
              </w:rPr>
              <w:t>6</w:t>
            </w:r>
            <w:r>
              <w:rPr>
                <w:b/>
                <w:bCs/>
                <w:lang w:val="en-US" w:eastAsia="zh-CN"/>
              </w:rPr>
              <w:t>月</w:t>
            </w:r>
          </w:p>
        </w:tc>
        <w:tc>
          <w:tcPr>
            <w:tcW w:w="25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579B545">
            <w:pPr>
              <w:pStyle w:val="10"/>
              <w:bidi w:val="0"/>
              <w:jc w:val="center"/>
              <w:rPr>
                <w:rFonts w:hint="default"/>
                <w:b/>
                <w:bCs/>
              </w:rPr>
            </w:pPr>
            <w:r>
              <w:rPr>
                <w:b/>
                <w:bCs/>
                <w:lang w:val="en-US" w:eastAsia="zh-CN"/>
              </w:rPr>
              <w:t>小计</w:t>
            </w:r>
          </w:p>
        </w:tc>
        <w:tc>
          <w:tcPr>
            <w:tcW w:w="2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CB0EB6">
            <w:pPr>
              <w:pStyle w:val="10"/>
              <w:bidi w:val="0"/>
              <w:jc w:val="center"/>
              <w:rPr>
                <w:rFonts w:hint="default"/>
                <w:b/>
                <w:bCs/>
              </w:rPr>
            </w:pPr>
            <w:r>
              <w:rPr>
                <w:rFonts w:hint="default"/>
                <w:b/>
                <w:bCs/>
                <w:lang w:val="en-US" w:eastAsia="zh-CN"/>
              </w:rPr>
              <w:t>7</w:t>
            </w:r>
            <w:r>
              <w:rPr>
                <w:b/>
                <w:bCs/>
                <w:lang w:val="en-US" w:eastAsia="zh-CN"/>
              </w:rPr>
              <w:t>月</w:t>
            </w:r>
          </w:p>
        </w:tc>
        <w:tc>
          <w:tcPr>
            <w:tcW w:w="25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947A0B5">
            <w:pPr>
              <w:pStyle w:val="10"/>
              <w:bidi w:val="0"/>
              <w:jc w:val="center"/>
              <w:rPr>
                <w:rFonts w:hint="default"/>
                <w:b/>
                <w:bCs/>
              </w:rPr>
            </w:pPr>
            <w:r>
              <w:rPr>
                <w:rFonts w:hint="default"/>
                <w:b/>
                <w:bCs/>
                <w:lang w:val="en-US" w:eastAsia="zh-CN"/>
              </w:rPr>
              <w:t>8</w:t>
            </w:r>
            <w:r>
              <w:rPr>
                <w:b/>
                <w:bCs/>
                <w:lang w:val="en-US" w:eastAsia="zh-CN"/>
              </w:rPr>
              <w:t>月</w:t>
            </w:r>
          </w:p>
        </w:tc>
        <w:tc>
          <w:tcPr>
            <w:tcW w:w="2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FEDD80B">
            <w:pPr>
              <w:pStyle w:val="10"/>
              <w:bidi w:val="0"/>
              <w:jc w:val="center"/>
              <w:rPr>
                <w:rFonts w:hint="default"/>
                <w:b/>
                <w:bCs/>
              </w:rPr>
            </w:pPr>
            <w:r>
              <w:rPr>
                <w:rFonts w:hint="default"/>
                <w:b/>
                <w:bCs/>
                <w:lang w:val="en-US" w:eastAsia="zh-CN"/>
              </w:rPr>
              <w:t>9</w:t>
            </w:r>
            <w:r>
              <w:rPr>
                <w:b/>
                <w:bCs/>
                <w:lang w:val="en-US" w:eastAsia="zh-CN"/>
              </w:rPr>
              <w:t>月</w:t>
            </w:r>
          </w:p>
        </w:tc>
        <w:tc>
          <w:tcPr>
            <w:tcW w:w="24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1F1F594">
            <w:pPr>
              <w:pStyle w:val="10"/>
              <w:bidi w:val="0"/>
              <w:jc w:val="center"/>
              <w:rPr>
                <w:rFonts w:hint="eastAsia"/>
                <w:b/>
                <w:bCs/>
              </w:rPr>
            </w:pPr>
            <w:r>
              <w:rPr>
                <w:b/>
                <w:bCs/>
                <w:lang w:val="en-US" w:eastAsia="zh-CN"/>
              </w:rPr>
              <w:t>小计</w:t>
            </w:r>
          </w:p>
        </w:tc>
        <w:tc>
          <w:tcPr>
            <w:tcW w:w="25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63DDD57">
            <w:pPr>
              <w:pStyle w:val="10"/>
              <w:bidi w:val="0"/>
              <w:jc w:val="center"/>
              <w:rPr>
                <w:rFonts w:hint="default"/>
                <w:b/>
                <w:bCs/>
              </w:rPr>
            </w:pPr>
            <w:r>
              <w:rPr>
                <w:rFonts w:hint="default"/>
                <w:b/>
                <w:bCs/>
                <w:lang w:val="en-US" w:eastAsia="zh-CN"/>
              </w:rPr>
              <w:t>10</w:t>
            </w:r>
            <w:r>
              <w:rPr>
                <w:b/>
                <w:bCs/>
                <w:lang w:val="en-US" w:eastAsia="zh-CN"/>
              </w:rPr>
              <w:t>月</w:t>
            </w:r>
          </w:p>
        </w:tc>
        <w:tc>
          <w:tcPr>
            <w:tcW w:w="25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DF4FB88">
            <w:pPr>
              <w:pStyle w:val="10"/>
              <w:bidi w:val="0"/>
              <w:jc w:val="center"/>
              <w:rPr>
                <w:rFonts w:hint="default"/>
                <w:b/>
                <w:bCs/>
              </w:rPr>
            </w:pPr>
            <w:r>
              <w:rPr>
                <w:rFonts w:hint="default"/>
                <w:b/>
                <w:bCs/>
                <w:lang w:val="en-US" w:eastAsia="zh-CN"/>
              </w:rPr>
              <w:t>11</w:t>
            </w:r>
            <w:r>
              <w:rPr>
                <w:b/>
                <w:bCs/>
                <w:lang w:val="en-US" w:eastAsia="zh-CN"/>
              </w:rPr>
              <w:t>月</w:t>
            </w:r>
          </w:p>
        </w:tc>
        <w:tc>
          <w:tcPr>
            <w:tcW w:w="24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0D9AB9E">
            <w:pPr>
              <w:pStyle w:val="10"/>
              <w:bidi w:val="0"/>
              <w:jc w:val="center"/>
              <w:rPr>
                <w:rFonts w:hint="default"/>
                <w:b/>
                <w:bCs/>
              </w:rPr>
            </w:pPr>
            <w:r>
              <w:rPr>
                <w:rFonts w:hint="default"/>
                <w:b/>
                <w:bCs/>
                <w:lang w:val="en-US" w:eastAsia="zh-CN"/>
              </w:rPr>
              <w:t>12</w:t>
            </w:r>
            <w:r>
              <w:rPr>
                <w:b/>
                <w:bCs/>
                <w:lang w:val="en-US" w:eastAsia="zh-CN"/>
              </w:rPr>
              <w:t>月</w:t>
            </w:r>
          </w:p>
        </w:tc>
        <w:tc>
          <w:tcPr>
            <w:tcW w:w="26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731CF17">
            <w:pPr>
              <w:pStyle w:val="10"/>
              <w:bidi w:val="0"/>
              <w:jc w:val="center"/>
              <w:rPr>
                <w:rFonts w:hint="eastAsia"/>
                <w:b/>
                <w:bCs/>
              </w:rPr>
            </w:pPr>
            <w:r>
              <w:rPr>
                <w:b/>
                <w:bCs/>
                <w:lang w:val="en-US" w:eastAsia="zh-CN"/>
              </w:rPr>
              <w:t>小计</w:t>
            </w:r>
          </w:p>
        </w:tc>
        <w:tc>
          <w:tcPr>
            <w:tcW w:w="29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9804055">
            <w:pPr>
              <w:pStyle w:val="10"/>
              <w:bidi w:val="0"/>
              <w:jc w:val="center"/>
              <w:rPr>
                <w:rFonts w:hint="eastAsia"/>
                <w:b/>
                <w:bCs/>
              </w:rPr>
            </w:pPr>
            <w:r>
              <w:rPr>
                <w:b/>
                <w:bCs/>
                <w:lang w:val="en-US" w:eastAsia="zh-CN"/>
              </w:rPr>
              <w:t>总计</w:t>
            </w:r>
          </w:p>
        </w:tc>
      </w:tr>
      <w:tr w14:paraId="0E498C7E">
        <w:tblPrEx>
          <w:tblBorders>
            <w:top w:val="none" w:color="auto" w:sz="4" w:space="0"/>
            <w:left w:val="none" w:color="auto" w:sz="0" w:space="0"/>
            <w:bottom w:val="non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665" w:hRule="atLeast"/>
        </w:trPr>
        <w:tc>
          <w:tcPr>
            <w:tcW w:w="360" w:type="pct"/>
            <w:vMerge w:val="restar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03A33ED">
            <w:pPr>
              <w:pStyle w:val="10"/>
              <w:bidi w:val="0"/>
              <w:jc w:val="center"/>
              <w:rPr>
                <w:rFonts w:hint="eastAsia"/>
              </w:rPr>
            </w:pPr>
            <w:r>
              <w:rPr>
                <w:rFonts w:hint="eastAsia"/>
                <w:lang w:val="en-US" w:eastAsia="zh-CN"/>
              </w:rPr>
              <w:t>监测站大楼</w:t>
            </w:r>
          </w:p>
        </w:tc>
        <w:tc>
          <w:tcPr>
            <w:tcW w:w="38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DF9DEC6">
            <w:pPr>
              <w:pStyle w:val="10"/>
              <w:bidi w:val="0"/>
              <w:jc w:val="center"/>
              <w:rPr>
                <w:rFonts w:hint="eastAsia"/>
              </w:rPr>
            </w:pPr>
            <w:r>
              <w:rPr>
                <w:rFonts w:hint="eastAsia"/>
                <w:lang w:val="en-US" w:eastAsia="zh-CN"/>
              </w:rPr>
              <w:t>日均值样品数</w:t>
            </w:r>
          </w:p>
        </w:tc>
        <w:tc>
          <w:tcPr>
            <w:tcW w:w="23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604B86">
            <w:pPr>
              <w:pStyle w:val="10"/>
              <w:bidi w:val="0"/>
              <w:jc w:val="center"/>
              <w:rPr>
                <w:rFonts w:hint="default"/>
              </w:rPr>
            </w:pPr>
            <w:r>
              <w:rPr>
                <w:rFonts w:hint="default"/>
                <w:lang w:val="en-US" w:eastAsia="zh-CN"/>
              </w:rPr>
              <w:t>31</w:t>
            </w:r>
          </w:p>
        </w:tc>
        <w:tc>
          <w:tcPr>
            <w:tcW w:w="2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40743F">
            <w:pPr>
              <w:pStyle w:val="10"/>
              <w:bidi w:val="0"/>
              <w:jc w:val="center"/>
              <w:rPr>
                <w:rFonts w:hint="default"/>
              </w:rPr>
            </w:pPr>
            <w:r>
              <w:rPr>
                <w:rFonts w:hint="default"/>
                <w:lang w:val="en-US" w:eastAsia="zh-CN"/>
              </w:rPr>
              <w:t>28</w:t>
            </w:r>
          </w:p>
        </w:tc>
        <w:tc>
          <w:tcPr>
            <w:tcW w:w="2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EA8A56">
            <w:pPr>
              <w:pStyle w:val="10"/>
              <w:bidi w:val="0"/>
              <w:jc w:val="center"/>
              <w:rPr>
                <w:rFonts w:hint="default"/>
              </w:rPr>
            </w:pPr>
            <w:r>
              <w:rPr>
                <w:rFonts w:hint="default"/>
                <w:lang w:val="en-US" w:eastAsia="zh-CN"/>
              </w:rPr>
              <w:t>30</w:t>
            </w:r>
          </w:p>
        </w:tc>
        <w:tc>
          <w:tcPr>
            <w:tcW w:w="24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798B7F">
            <w:pPr>
              <w:pStyle w:val="10"/>
              <w:bidi w:val="0"/>
              <w:jc w:val="center"/>
              <w:rPr>
                <w:rFonts w:hint="default"/>
              </w:rPr>
            </w:pPr>
            <w:r>
              <w:rPr>
                <w:rFonts w:hint="default"/>
                <w:lang w:val="en-US" w:eastAsia="zh-CN"/>
              </w:rPr>
              <w:t>89</w:t>
            </w:r>
          </w:p>
        </w:tc>
        <w:tc>
          <w:tcPr>
            <w:tcW w:w="24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2EDA81">
            <w:pPr>
              <w:pStyle w:val="10"/>
              <w:bidi w:val="0"/>
              <w:jc w:val="center"/>
              <w:rPr>
                <w:rFonts w:hint="default"/>
              </w:rPr>
            </w:pPr>
            <w:r>
              <w:rPr>
                <w:rFonts w:hint="default"/>
                <w:lang w:val="en-US" w:eastAsia="zh-CN"/>
              </w:rPr>
              <w:t>30</w:t>
            </w:r>
          </w:p>
        </w:tc>
        <w:tc>
          <w:tcPr>
            <w:tcW w:w="2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C2FBECF">
            <w:pPr>
              <w:pStyle w:val="10"/>
              <w:bidi w:val="0"/>
              <w:jc w:val="center"/>
              <w:rPr>
                <w:rFonts w:hint="default"/>
              </w:rPr>
            </w:pPr>
            <w:r>
              <w:rPr>
                <w:rFonts w:hint="default"/>
                <w:lang w:val="en-US" w:eastAsia="zh-CN"/>
              </w:rPr>
              <w:t>28</w:t>
            </w:r>
          </w:p>
        </w:tc>
        <w:tc>
          <w:tcPr>
            <w:tcW w:w="23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09CE1A">
            <w:pPr>
              <w:pStyle w:val="10"/>
              <w:bidi w:val="0"/>
              <w:jc w:val="center"/>
              <w:rPr>
                <w:rFonts w:hint="default"/>
              </w:rPr>
            </w:pPr>
            <w:r>
              <w:rPr>
                <w:rFonts w:hint="default"/>
                <w:lang w:val="en-US" w:eastAsia="zh-CN"/>
              </w:rPr>
              <w:t>28</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07FC95">
            <w:pPr>
              <w:pStyle w:val="10"/>
              <w:bidi w:val="0"/>
              <w:jc w:val="center"/>
              <w:rPr>
                <w:rFonts w:hint="default"/>
              </w:rPr>
            </w:pPr>
            <w:r>
              <w:rPr>
                <w:rFonts w:hint="default"/>
                <w:lang w:val="en-US" w:eastAsia="zh-CN"/>
              </w:rPr>
              <w:t>86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89712E">
            <w:pPr>
              <w:pStyle w:val="10"/>
              <w:bidi w:val="0"/>
              <w:jc w:val="center"/>
              <w:rPr>
                <w:rFonts w:hint="default"/>
              </w:rPr>
            </w:pPr>
            <w:r>
              <w:rPr>
                <w:rFonts w:hint="default"/>
                <w:lang w:val="en-US" w:eastAsia="zh-CN"/>
              </w:rPr>
              <w:t>30</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9AAB4F">
            <w:pPr>
              <w:pStyle w:val="10"/>
              <w:bidi w:val="0"/>
              <w:jc w:val="center"/>
              <w:rPr>
                <w:rFonts w:hint="default"/>
              </w:rPr>
            </w:pPr>
            <w:r>
              <w:rPr>
                <w:rFonts w:hint="default"/>
                <w:lang w:val="en-US" w:eastAsia="zh-CN"/>
              </w:rPr>
              <w:t>31</w:t>
            </w:r>
          </w:p>
        </w:tc>
        <w:tc>
          <w:tcPr>
            <w:tcW w:w="2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DFCA10">
            <w:pPr>
              <w:pStyle w:val="10"/>
              <w:bidi w:val="0"/>
              <w:jc w:val="center"/>
              <w:rPr>
                <w:rFonts w:hint="default"/>
              </w:rPr>
            </w:pPr>
            <w:r>
              <w:rPr>
                <w:rFonts w:hint="default"/>
                <w:lang w:val="en-US" w:eastAsia="zh-CN"/>
              </w:rPr>
              <w:t>30</w:t>
            </w:r>
          </w:p>
        </w:tc>
        <w:tc>
          <w:tcPr>
            <w:tcW w:w="24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AE5513">
            <w:pPr>
              <w:pStyle w:val="10"/>
              <w:bidi w:val="0"/>
              <w:jc w:val="center"/>
              <w:rPr>
                <w:rFonts w:hint="default"/>
              </w:rPr>
            </w:pPr>
            <w:r>
              <w:rPr>
                <w:rFonts w:hint="default"/>
                <w:lang w:val="en-US" w:eastAsia="zh-CN"/>
              </w:rPr>
              <w:t>91</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3C2CBE">
            <w:pPr>
              <w:pStyle w:val="10"/>
              <w:bidi w:val="0"/>
              <w:jc w:val="center"/>
              <w:rPr>
                <w:rFonts w:hint="default"/>
              </w:rPr>
            </w:pPr>
            <w:r>
              <w:rPr>
                <w:rFonts w:hint="default"/>
                <w:lang w:val="en-US" w:eastAsia="zh-CN"/>
              </w:rPr>
              <w:t>31</w:t>
            </w:r>
          </w:p>
        </w:tc>
        <w:tc>
          <w:tcPr>
            <w:tcW w:w="2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B1BF11">
            <w:pPr>
              <w:pStyle w:val="10"/>
              <w:bidi w:val="0"/>
              <w:jc w:val="center"/>
              <w:rPr>
                <w:rFonts w:hint="default"/>
              </w:rPr>
            </w:pPr>
            <w:r>
              <w:rPr>
                <w:rFonts w:hint="default"/>
                <w:lang w:val="en-US" w:eastAsia="zh-CN"/>
              </w:rPr>
              <w:t>30</w:t>
            </w:r>
          </w:p>
        </w:tc>
        <w:tc>
          <w:tcPr>
            <w:tcW w:w="24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E57189">
            <w:pPr>
              <w:pStyle w:val="10"/>
              <w:bidi w:val="0"/>
              <w:jc w:val="center"/>
              <w:rPr>
                <w:rFonts w:hint="default"/>
              </w:rPr>
            </w:pPr>
            <w:r>
              <w:rPr>
                <w:rFonts w:hint="default"/>
                <w:lang w:val="en-US" w:eastAsia="zh-CN"/>
              </w:rPr>
              <w:t>31</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10A09A">
            <w:pPr>
              <w:pStyle w:val="10"/>
              <w:bidi w:val="0"/>
              <w:jc w:val="center"/>
              <w:rPr>
                <w:rFonts w:hint="default"/>
              </w:rPr>
            </w:pPr>
            <w:r>
              <w:rPr>
                <w:rFonts w:hint="default"/>
                <w:lang w:val="en-US" w:eastAsia="zh-CN"/>
              </w:rPr>
              <w:t>92</w:t>
            </w:r>
          </w:p>
        </w:tc>
        <w:tc>
          <w:tcPr>
            <w:tcW w:w="299"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3A09AD8">
            <w:pPr>
              <w:pStyle w:val="10"/>
              <w:bidi w:val="0"/>
              <w:jc w:val="center"/>
              <w:rPr>
                <w:rFonts w:hint="default"/>
              </w:rPr>
            </w:pPr>
            <w:r>
              <w:rPr>
                <w:rFonts w:hint="default"/>
                <w:lang w:val="en-US" w:eastAsia="zh-CN"/>
              </w:rPr>
              <w:t>358</w:t>
            </w:r>
          </w:p>
        </w:tc>
      </w:tr>
      <w:tr w14:paraId="5D7E8DA8">
        <w:tblPrEx>
          <w:tblBorders>
            <w:top w:val="none" w:color="auto" w:sz="4" w:space="0"/>
            <w:left w:val="none" w:color="auto" w:sz="0" w:space="0"/>
            <w:bottom w:val="none" w:color="auto" w:sz="4" w:space="0"/>
            <w:right w:val="single" w:color="auto" w:sz="4" w:space="0"/>
            <w:insideH w:val="none" w:color="auto" w:sz="4" w:space="0"/>
            <w:insideV w:val="none" w:color="auto" w:sz="4" w:space="0"/>
          </w:tblBorders>
          <w:shd w:val="clear" w:color="auto" w:fill="auto"/>
          <w:tblCellMar>
            <w:top w:w="0" w:type="dxa"/>
            <w:left w:w="0" w:type="dxa"/>
            <w:bottom w:w="0" w:type="dxa"/>
            <w:right w:w="0" w:type="dxa"/>
          </w:tblCellMar>
        </w:tblPrEx>
        <w:trPr>
          <w:trHeight w:val="495" w:hRule="atLeast"/>
        </w:trPr>
        <w:tc>
          <w:tcPr>
            <w:tcW w:w="360"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8593ECA">
            <w:pPr>
              <w:pStyle w:val="10"/>
              <w:bidi w:val="0"/>
              <w:jc w:val="center"/>
              <w:rPr>
                <w:rFonts w:hint="eastAsia"/>
              </w:rPr>
            </w:pPr>
          </w:p>
        </w:tc>
        <w:tc>
          <w:tcPr>
            <w:tcW w:w="38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5355494">
            <w:pPr>
              <w:pStyle w:val="10"/>
              <w:bidi w:val="0"/>
              <w:jc w:val="center"/>
              <w:rPr>
                <w:rFonts w:hint="eastAsia"/>
              </w:rPr>
            </w:pPr>
            <w:r>
              <w:rPr>
                <w:rFonts w:hint="eastAsia"/>
                <w:lang w:val="en-US" w:eastAsia="zh-CN"/>
              </w:rPr>
              <w:t>最高浓度</w:t>
            </w:r>
          </w:p>
        </w:tc>
        <w:tc>
          <w:tcPr>
            <w:tcW w:w="23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22DE8E">
            <w:pPr>
              <w:pStyle w:val="10"/>
              <w:bidi w:val="0"/>
              <w:jc w:val="center"/>
              <w:rPr>
                <w:rFonts w:hint="default"/>
              </w:rPr>
            </w:pPr>
            <w:r>
              <w:rPr>
                <w:rFonts w:hint="default"/>
                <w:lang w:val="en-US" w:eastAsia="zh-CN"/>
              </w:rPr>
              <w:t>0.145</w:t>
            </w:r>
          </w:p>
        </w:tc>
        <w:tc>
          <w:tcPr>
            <w:tcW w:w="27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D5BC67">
            <w:pPr>
              <w:pStyle w:val="10"/>
              <w:bidi w:val="0"/>
              <w:jc w:val="center"/>
              <w:rPr>
                <w:rFonts w:hint="default"/>
              </w:rPr>
            </w:pPr>
            <w:r>
              <w:rPr>
                <w:rFonts w:hint="default"/>
                <w:lang w:val="en-US" w:eastAsia="zh-CN"/>
              </w:rPr>
              <w:t>0.078</w:t>
            </w:r>
          </w:p>
        </w:tc>
        <w:tc>
          <w:tcPr>
            <w:tcW w:w="2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F78ECF">
            <w:pPr>
              <w:pStyle w:val="10"/>
              <w:bidi w:val="0"/>
              <w:jc w:val="center"/>
              <w:rPr>
                <w:rFonts w:hint="default"/>
              </w:rPr>
            </w:pPr>
            <w:r>
              <w:rPr>
                <w:rFonts w:hint="default"/>
                <w:lang w:val="en-US" w:eastAsia="zh-CN"/>
              </w:rPr>
              <w:t>0.074</w:t>
            </w:r>
          </w:p>
        </w:tc>
        <w:tc>
          <w:tcPr>
            <w:tcW w:w="24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7AB1E5">
            <w:pPr>
              <w:pStyle w:val="10"/>
              <w:bidi w:val="0"/>
              <w:jc w:val="center"/>
              <w:rPr>
                <w:rFonts w:hint="default"/>
              </w:rPr>
            </w:pPr>
            <w:r>
              <w:rPr>
                <w:rFonts w:hint="default"/>
                <w:lang w:val="en-US" w:eastAsia="zh-CN"/>
              </w:rPr>
              <w:t>0.145</w:t>
            </w:r>
          </w:p>
        </w:tc>
        <w:tc>
          <w:tcPr>
            <w:tcW w:w="24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15627F">
            <w:pPr>
              <w:pStyle w:val="10"/>
              <w:bidi w:val="0"/>
              <w:jc w:val="center"/>
              <w:rPr>
                <w:rFonts w:hint="default"/>
              </w:rPr>
            </w:pPr>
            <w:r>
              <w:rPr>
                <w:rFonts w:hint="default"/>
                <w:lang w:val="en-US" w:eastAsia="zh-CN"/>
              </w:rPr>
              <w:t>0.051</w:t>
            </w:r>
          </w:p>
        </w:tc>
        <w:tc>
          <w:tcPr>
            <w:tcW w:w="2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9A7578">
            <w:pPr>
              <w:pStyle w:val="10"/>
              <w:bidi w:val="0"/>
              <w:jc w:val="center"/>
              <w:rPr>
                <w:rFonts w:hint="default"/>
              </w:rPr>
            </w:pPr>
            <w:r>
              <w:rPr>
                <w:rFonts w:hint="default"/>
                <w:lang w:val="en-US" w:eastAsia="zh-CN"/>
              </w:rPr>
              <w:t>0.049</w:t>
            </w:r>
          </w:p>
        </w:tc>
        <w:tc>
          <w:tcPr>
            <w:tcW w:w="23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6EB1B2">
            <w:pPr>
              <w:pStyle w:val="10"/>
              <w:bidi w:val="0"/>
              <w:jc w:val="center"/>
              <w:rPr>
                <w:rFonts w:hint="default"/>
              </w:rPr>
            </w:pPr>
            <w:r>
              <w:rPr>
                <w:rFonts w:hint="default"/>
                <w:lang w:val="en-US" w:eastAsia="zh-CN"/>
              </w:rPr>
              <w:t>0.056</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B942BB">
            <w:pPr>
              <w:pStyle w:val="10"/>
              <w:bidi w:val="0"/>
              <w:jc w:val="center"/>
              <w:rPr>
                <w:rFonts w:hint="default"/>
              </w:rPr>
            </w:pPr>
            <w:r>
              <w:rPr>
                <w:rFonts w:hint="default"/>
                <w:lang w:val="en-US" w:eastAsia="zh-CN"/>
              </w:rPr>
              <w:t>0.056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BF9B61">
            <w:pPr>
              <w:pStyle w:val="10"/>
              <w:bidi w:val="0"/>
              <w:jc w:val="center"/>
              <w:rPr>
                <w:rFonts w:hint="default"/>
              </w:rPr>
            </w:pPr>
            <w:r>
              <w:rPr>
                <w:rFonts w:hint="default"/>
                <w:lang w:val="en-US" w:eastAsia="zh-CN"/>
              </w:rPr>
              <w:t>0.048</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19120A">
            <w:pPr>
              <w:pStyle w:val="10"/>
              <w:bidi w:val="0"/>
              <w:jc w:val="center"/>
              <w:rPr>
                <w:rFonts w:hint="default"/>
              </w:rPr>
            </w:pPr>
            <w:r>
              <w:rPr>
                <w:rFonts w:hint="default"/>
                <w:lang w:val="en-US" w:eastAsia="zh-CN"/>
              </w:rPr>
              <w:t>0.059</w:t>
            </w:r>
          </w:p>
        </w:tc>
        <w:tc>
          <w:tcPr>
            <w:tcW w:w="2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5B5372">
            <w:pPr>
              <w:pStyle w:val="10"/>
              <w:bidi w:val="0"/>
              <w:jc w:val="center"/>
              <w:rPr>
                <w:rFonts w:hint="default"/>
              </w:rPr>
            </w:pPr>
            <w:r>
              <w:rPr>
                <w:rFonts w:hint="default"/>
                <w:lang w:val="en-US" w:eastAsia="zh-CN"/>
              </w:rPr>
              <w:t>0.084</w:t>
            </w:r>
          </w:p>
        </w:tc>
        <w:tc>
          <w:tcPr>
            <w:tcW w:w="24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C968499">
            <w:pPr>
              <w:pStyle w:val="10"/>
              <w:bidi w:val="0"/>
              <w:jc w:val="center"/>
              <w:rPr>
                <w:rFonts w:hint="default"/>
              </w:rPr>
            </w:pPr>
            <w:r>
              <w:rPr>
                <w:rFonts w:hint="default"/>
                <w:lang w:val="en-US" w:eastAsia="zh-CN"/>
              </w:rPr>
              <w:t>0.084</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404A91B">
            <w:pPr>
              <w:pStyle w:val="10"/>
              <w:bidi w:val="0"/>
              <w:jc w:val="center"/>
              <w:rPr>
                <w:rFonts w:hint="default"/>
              </w:rPr>
            </w:pPr>
            <w:r>
              <w:rPr>
                <w:rFonts w:hint="default"/>
                <w:lang w:val="en-US" w:eastAsia="zh-CN"/>
              </w:rPr>
              <w:t>0.157</w:t>
            </w:r>
          </w:p>
        </w:tc>
        <w:tc>
          <w:tcPr>
            <w:tcW w:w="2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246ABB">
            <w:pPr>
              <w:pStyle w:val="10"/>
              <w:bidi w:val="0"/>
              <w:jc w:val="center"/>
              <w:rPr>
                <w:rFonts w:hint="default"/>
              </w:rPr>
            </w:pPr>
            <w:r>
              <w:rPr>
                <w:rFonts w:hint="default"/>
                <w:lang w:val="en-US" w:eastAsia="zh-CN"/>
              </w:rPr>
              <w:t>0.126</w:t>
            </w:r>
          </w:p>
        </w:tc>
        <w:tc>
          <w:tcPr>
            <w:tcW w:w="24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6E6716">
            <w:pPr>
              <w:pStyle w:val="10"/>
              <w:bidi w:val="0"/>
              <w:jc w:val="center"/>
              <w:rPr>
                <w:rFonts w:hint="default"/>
              </w:rPr>
            </w:pPr>
            <w:r>
              <w:rPr>
                <w:rFonts w:hint="default"/>
                <w:lang w:val="en-US" w:eastAsia="zh-CN"/>
              </w:rPr>
              <w:t>0.187</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AB4D80">
            <w:pPr>
              <w:pStyle w:val="10"/>
              <w:bidi w:val="0"/>
              <w:jc w:val="center"/>
              <w:rPr>
                <w:rFonts w:hint="default"/>
              </w:rPr>
            </w:pPr>
            <w:r>
              <w:rPr>
                <w:rFonts w:hint="default"/>
                <w:lang w:val="en-US" w:eastAsia="zh-CN"/>
              </w:rPr>
              <w:t>0.187</w:t>
            </w:r>
          </w:p>
        </w:tc>
        <w:tc>
          <w:tcPr>
            <w:tcW w:w="299"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59205CBB">
            <w:pPr>
              <w:pStyle w:val="10"/>
              <w:bidi w:val="0"/>
              <w:jc w:val="center"/>
              <w:rPr>
                <w:rFonts w:hint="default"/>
              </w:rPr>
            </w:pPr>
            <w:r>
              <w:rPr>
                <w:rFonts w:hint="default"/>
                <w:lang w:val="en-US" w:eastAsia="zh-CN"/>
              </w:rPr>
              <w:t>0.187</w:t>
            </w:r>
          </w:p>
        </w:tc>
      </w:tr>
      <w:tr w14:paraId="695A3D1C">
        <w:tblPrEx>
          <w:tblBorders>
            <w:top w:val="none" w:color="auto" w:sz="4" w:space="0"/>
            <w:left w:val="none" w:color="auto" w:sz="0" w:space="0"/>
            <w:bottom w:val="non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270" w:hRule="atLeast"/>
        </w:trPr>
        <w:tc>
          <w:tcPr>
            <w:tcW w:w="360"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049493C">
            <w:pPr>
              <w:pStyle w:val="10"/>
              <w:bidi w:val="0"/>
              <w:jc w:val="center"/>
              <w:rPr>
                <w:rFonts w:hint="eastAsia"/>
              </w:rPr>
            </w:pPr>
          </w:p>
        </w:tc>
        <w:tc>
          <w:tcPr>
            <w:tcW w:w="38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1A564E1">
            <w:pPr>
              <w:pStyle w:val="10"/>
              <w:bidi w:val="0"/>
              <w:jc w:val="center"/>
              <w:rPr>
                <w:rFonts w:hint="eastAsia"/>
              </w:rPr>
            </w:pPr>
            <w:r>
              <w:rPr>
                <w:rFonts w:hint="eastAsia"/>
                <w:lang w:val="en-US" w:eastAsia="zh-CN"/>
              </w:rPr>
              <w:t>平均值</w:t>
            </w:r>
          </w:p>
        </w:tc>
        <w:tc>
          <w:tcPr>
            <w:tcW w:w="23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483636">
            <w:pPr>
              <w:pStyle w:val="10"/>
              <w:bidi w:val="0"/>
              <w:jc w:val="center"/>
              <w:rPr>
                <w:rFonts w:hint="default"/>
              </w:rPr>
            </w:pPr>
            <w:r>
              <w:rPr>
                <w:rFonts w:hint="default"/>
                <w:lang w:val="en-US" w:eastAsia="zh-CN"/>
              </w:rPr>
              <w:t>0.072</w:t>
            </w:r>
          </w:p>
        </w:tc>
        <w:tc>
          <w:tcPr>
            <w:tcW w:w="2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94448D">
            <w:pPr>
              <w:pStyle w:val="10"/>
              <w:bidi w:val="0"/>
              <w:jc w:val="center"/>
              <w:rPr>
                <w:rFonts w:hint="default"/>
              </w:rPr>
            </w:pPr>
            <w:r>
              <w:rPr>
                <w:rFonts w:hint="default"/>
                <w:lang w:val="en-US" w:eastAsia="zh-CN"/>
              </w:rPr>
              <w:t>0.039</w:t>
            </w:r>
          </w:p>
        </w:tc>
        <w:tc>
          <w:tcPr>
            <w:tcW w:w="2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E7DB67">
            <w:pPr>
              <w:pStyle w:val="10"/>
              <w:bidi w:val="0"/>
              <w:jc w:val="center"/>
              <w:rPr>
                <w:rFonts w:hint="default"/>
              </w:rPr>
            </w:pPr>
            <w:r>
              <w:rPr>
                <w:rFonts w:hint="default"/>
                <w:lang w:val="en-US" w:eastAsia="zh-CN"/>
              </w:rPr>
              <w:t>0.040</w:t>
            </w:r>
          </w:p>
        </w:tc>
        <w:tc>
          <w:tcPr>
            <w:tcW w:w="24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2219E2">
            <w:pPr>
              <w:pStyle w:val="10"/>
              <w:bidi w:val="0"/>
              <w:jc w:val="center"/>
              <w:rPr>
                <w:rFonts w:hint="default"/>
              </w:rPr>
            </w:pPr>
            <w:r>
              <w:rPr>
                <w:rFonts w:hint="default"/>
                <w:lang w:val="en-US" w:eastAsia="zh-CN"/>
              </w:rPr>
              <w:t>0.050</w:t>
            </w:r>
          </w:p>
        </w:tc>
        <w:tc>
          <w:tcPr>
            <w:tcW w:w="24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E51AAB">
            <w:pPr>
              <w:pStyle w:val="10"/>
              <w:bidi w:val="0"/>
              <w:jc w:val="center"/>
              <w:rPr>
                <w:rFonts w:hint="default"/>
              </w:rPr>
            </w:pPr>
            <w:r>
              <w:rPr>
                <w:rFonts w:hint="default"/>
                <w:lang w:val="en-US" w:eastAsia="zh-CN"/>
              </w:rPr>
              <w:t>0.031</w:t>
            </w:r>
          </w:p>
        </w:tc>
        <w:tc>
          <w:tcPr>
            <w:tcW w:w="2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192159">
            <w:pPr>
              <w:pStyle w:val="10"/>
              <w:bidi w:val="0"/>
              <w:jc w:val="center"/>
              <w:rPr>
                <w:rFonts w:hint="default"/>
              </w:rPr>
            </w:pPr>
            <w:r>
              <w:rPr>
                <w:rFonts w:hint="default"/>
                <w:lang w:val="en-US" w:eastAsia="zh-CN"/>
              </w:rPr>
              <w:t>0.026</w:t>
            </w:r>
          </w:p>
        </w:tc>
        <w:tc>
          <w:tcPr>
            <w:tcW w:w="23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3A8219">
            <w:pPr>
              <w:pStyle w:val="10"/>
              <w:bidi w:val="0"/>
              <w:jc w:val="center"/>
              <w:rPr>
                <w:rFonts w:hint="default"/>
              </w:rPr>
            </w:pPr>
            <w:r>
              <w:rPr>
                <w:rFonts w:hint="default"/>
                <w:lang w:val="en-US" w:eastAsia="zh-CN"/>
              </w:rPr>
              <w:t>0.031</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8EFD5E">
            <w:pPr>
              <w:pStyle w:val="10"/>
              <w:bidi w:val="0"/>
              <w:jc w:val="center"/>
              <w:rPr>
                <w:rFonts w:hint="default"/>
              </w:rPr>
            </w:pPr>
            <w:r>
              <w:rPr>
                <w:rFonts w:hint="default"/>
                <w:lang w:val="en-US" w:eastAsia="zh-CN"/>
              </w:rPr>
              <w:t>0.029</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3BF08B">
            <w:pPr>
              <w:pStyle w:val="10"/>
              <w:bidi w:val="0"/>
              <w:jc w:val="center"/>
              <w:rPr>
                <w:rFonts w:hint="default"/>
              </w:rPr>
            </w:pPr>
            <w:r>
              <w:rPr>
                <w:rFonts w:hint="default"/>
                <w:lang w:val="en-US" w:eastAsia="zh-CN"/>
              </w:rPr>
              <w:t>0.030</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3D4220">
            <w:pPr>
              <w:pStyle w:val="10"/>
              <w:bidi w:val="0"/>
              <w:jc w:val="center"/>
              <w:rPr>
                <w:rFonts w:hint="default"/>
              </w:rPr>
            </w:pPr>
            <w:r>
              <w:rPr>
                <w:rFonts w:hint="default"/>
                <w:lang w:val="en-US" w:eastAsia="zh-CN"/>
              </w:rPr>
              <w:t>0.034</w:t>
            </w:r>
          </w:p>
        </w:tc>
        <w:tc>
          <w:tcPr>
            <w:tcW w:w="2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93138E">
            <w:pPr>
              <w:pStyle w:val="10"/>
              <w:bidi w:val="0"/>
              <w:jc w:val="center"/>
              <w:rPr>
                <w:rFonts w:hint="default"/>
              </w:rPr>
            </w:pPr>
            <w:r>
              <w:rPr>
                <w:rFonts w:hint="default"/>
                <w:lang w:val="en-US" w:eastAsia="zh-CN"/>
              </w:rPr>
              <w:t>0.055</w:t>
            </w:r>
          </w:p>
        </w:tc>
        <w:tc>
          <w:tcPr>
            <w:tcW w:w="24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45F7E3">
            <w:pPr>
              <w:pStyle w:val="10"/>
              <w:bidi w:val="0"/>
              <w:jc w:val="center"/>
              <w:rPr>
                <w:rFonts w:hint="default"/>
              </w:rPr>
            </w:pPr>
            <w:r>
              <w:rPr>
                <w:rFonts w:hint="default"/>
                <w:lang w:val="en-US" w:eastAsia="zh-CN"/>
              </w:rPr>
              <w:t>0.040</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D48657">
            <w:pPr>
              <w:pStyle w:val="10"/>
              <w:bidi w:val="0"/>
              <w:jc w:val="center"/>
              <w:rPr>
                <w:rFonts w:hint="default"/>
              </w:rPr>
            </w:pPr>
            <w:r>
              <w:rPr>
                <w:rFonts w:hint="default"/>
                <w:lang w:val="en-US" w:eastAsia="zh-CN"/>
              </w:rPr>
              <w:t>0.085</w:t>
            </w:r>
          </w:p>
        </w:tc>
        <w:tc>
          <w:tcPr>
            <w:tcW w:w="2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AB85E8">
            <w:pPr>
              <w:pStyle w:val="10"/>
              <w:bidi w:val="0"/>
              <w:jc w:val="center"/>
              <w:rPr>
                <w:rFonts w:hint="default"/>
              </w:rPr>
            </w:pPr>
            <w:r>
              <w:rPr>
                <w:rFonts w:hint="default"/>
                <w:lang w:val="en-US" w:eastAsia="zh-CN"/>
              </w:rPr>
              <w:t>0.083</w:t>
            </w:r>
          </w:p>
        </w:tc>
        <w:tc>
          <w:tcPr>
            <w:tcW w:w="24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4070EC">
            <w:pPr>
              <w:pStyle w:val="10"/>
              <w:bidi w:val="0"/>
              <w:jc w:val="center"/>
              <w:rPr>
                <w:rFonts w:hint="default"/>
              </w:rPr>
            </w:pPr>
            <w:r>
              <w:rPr>
                <w:rFonts w:hint="default"/>
                <w:lang w:val="en-US" w:eastAsia="zh-CN"/>
              </w:rPr>
              <w:t>0.106</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09FAFB">
            <w:pPr>
              <w:pStyle w:val="10"/>
              <w:bidi w:val="0"/>
              <w:jc w:val="center"/>
              <w:rPr>
                <w:rFonts w:hint="default"/>
              </w:rPr>
            </w:pPr>
            <w:r>
              <w:rPr>
                <w:rFonts w:hint="default"/>
                <w:lang w:val="en-US" w:eastAsia="zh-CN"/>
              </w:rPr>
              <w:t>0.091</w:t>
            </w:r>
          </w:p>
        </w:tc>
        <w:tc>
          <w:tcPr>
            <w:tcW w:w="299"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AE0C555">
            <w:pPr>
              <w:pStyle w:val="10"/>
              <w:bidi w:val="0"/>
              <w:jc w:val="center"/>
              <w:rPr>
                <w:rFonts w:hint="default"/>
              </w:rPr>
            </w:pPr>
            <w:r>
              <w:rPr>
                <w:rFonts w:hint="default"/>
                <w:lang w:val="en-US" w:eastAsia="zh-CN"/>
              </w:rPr>
              <w:t>0.052</w:t>
            </w:r>
          </w:p>
        </w:tc>
      </w:tr>
      <w:tr w14:paraId="0232F5C9">
        <w:tblPrEx>
          <w:tblBorders>
            <w:top w:val="none" w:color="auto" w:sz="4" w:space="0"/>
            <w:left w:val="none" w:color="auto" w:sz="0" w:space="0"/>
            <w:bottom w:val="non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900" w:hRule="atLeast"/>
        </w:trPr>
        <w:tc>
          <w:tcPr>
            <w:tcW w:w="360"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1BCCF99">
            <w:pPr>
              <w:pStyle w:val="10"/>
              <w:bidi w:val="0"/>
              <w:jc w:val="center"/>
              <w:rPr>
                <w:rFonts w:hint="eastAsia"/>
              </w:rPr>
            </w:pPr>
          </w:p>
        </w:tc>
        <w:tc>
          <w:tcPr>
            <w:tcW w:w="38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218602C">
            <w:pPr>
              <w:pStyle w:val="10"/>
              <w:bidi w:val="0"/>
              <w:jc w:val="center"/>
              <w:rPr>
                <w:rFonts w:hint="eastAsia"/>
              </w:rPr>
            </w:pPr>
            <w:r>
              <w:rPr>
                <w:rFonts w:hint="eastAsia"/>
                <w:lang w:val="en-US" w:eastAsia="zh-CN"/>
              </w:rPr>
              <w:t>超标率</w:t>
            </w:r>
          </w:p>
        </w:tc>
        <w:tc>
          <w:tcPr>
            <w:tcW w:w="23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D9AA43E">
            <w:pPr>
              <w:pStyle w:val="10"/>
              <w:bidi w:val="0"/>
              <w:jc w:val="center"/>
              <w:rPr>
                <w:rFonts w:hint="eastAsia"/>
              </w:rPr>
            </w:pPr>
            <w:r>
              <w:rPr>
                <w:rFonts w:hint="eastAsia"/>
                <w:lang w:val="en-US" w:eastAsia="zh-CN"/>
              </w:rPr>
              <w:t>0</w:t>
            </w:r>
          </w:p>
        </w:tc>
        <w:tc>
          <w:tcPr>
            <w:tcW w:w="27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6365784">
            <w:pPr>
              <w:pStyle w:val="10"/>
              <w:bidi w:val="0"/>
              <w:jc w:val="center"/>
              <w:rPr>
                <w:rFonts w:hint="eastAsia"/>
              </w:rPr>
            </w:pPr>
            <w:r>
              <w:rPr>
                <w:rFonts w:hint="eastAsia"/>
                <w:lang w:val="en-US" w:eastAsia="zh-CN"/>
              </w:rPr>
              <w:t>0</w:t>
            </w:r>
          </w:p>
        </w:tc>
        <w:tc>
          <w:tcPr>
            <w:tcW w:w="2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0EF4401">
            <w:pPr>
              <w:pStyle w:val="10"/>
              <w:bidi w:val="0"/>
              <w:jc w:val="center"/>
              <w:rPr>
                <w:rFonts w:hint="eastAsia"/>
              </w:rPr>
            </w:pPr>
            <w:r>
              <w:rPr>
                <w:rFonts w:hint="eastAsia"/>
                <w:lang w:val="en-US" w:eastAsia="zh-CN"/>
              </w:rPr>
              <w:t>0</w:t>
            </w:r>
          </w:p>
        </w:tc>
        <w:tc>
          <w:tcPr>
            <w:tcW w:w="24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6FC4B3F">
            <w:pPr>
              <w:pStyle w:val="10"/>
              <w:bidi w:val="0"/>
              <w:jc w:val="center"/>
              <w:rPr>
                <w:rFonts w:hint="eastAsia"/>
              </w:rPr>
            </w:pPr>
            <w:r>
              <w:rPr>
                <w:rFonts w:hint="eastAsia"/>
                <w:lang w:val="en-US" w:eastAsia="zh-CN"/>
              </w:rPr>
              <w:t>0</w:t>
            </w:r>
          </w:p>
        </w:tc>
        <w:tc>
          <w:tcPr>
            <w:tcW w:w="24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B57FA6F">
            <w:pPr>
              <w:pStyle w:val="10"/>
              <w:bidi w:val="0"/>
              <w:jc w:val="center"/>
              <w:rPr>
                <w:rFonts w:hint="eastAsia"/>
              </w:rPr>
            </w:pPr>
            <w:r>
              <w:rPr>
                <w:rFonts w:hint="eastAsia"/>
                <w:lang w:val="en-US" w:eastAsia="zh-CN"/>
              </w:rPr>
              <w:t>0</w:t>
            </w:r>
          </w:p>
        </w:tc>
        <w:tc>
          <w:tcPr>
            <w:tcW w:w="25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F4AE072">
            <w:pPr>
              <w:pStyle w:val="10"/>
              <w:bidi w:val="0"/>
              <w:jc w:val="center"/>
              <w:rPr>
                <w:rFonts w:hint="eastAsia"/>
              </w:rPr>
            </w:pPr>
            <w:r>
              <w:rPr>
                <w:rFonts w:hint="eastAsia"/>
                <w:lang w:val="en-US" w:eastAsia="zh-CN"/>
              </w:rPr>
              <w:t>0</w:t>
            </w:r>
          </w:p>
        </w:tc>
        <w:tc>
          <w:tcPr>
            <w:tcW w:w="23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71E7D6">
            <w:pPr>
              <w:pStyle w:val="10"/>
              <w:bidi w:val="0"/>
              <w:jc w:val="center"/>
              <w:rPr>
                <w:rFonts w:hint="eastAsia"/>
              </w:rPr>
            </w:pPr>
            <w:r>
              <w:rPr>
                <w:rFonts w:hint="eastAsia"/>
                <w:lang w:val="en-US" w:eastAsia="zh-CN"/>
              </w:rPr>
              <w:t>0</w:t>
            </w:r>
          </w:p>
        </w:tc>
        <w:tc>
          <w:tcPr>
            <w:tcW w:w="25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FACC734">
            <w:pPr>
              <w:pStyle w:val="10"/>
              <w:bidi w:val="0"/>
              <w:jc w:val="center"/>
              <w:rPr>
                <w:rFonts w:hint="eastAsia"/>
              </w:rPr>
            </w:pPr>
            <w:r>
              <w:rPr>
                <w:rFonts w:hint="eastAsia"/>
                <w:lang w:val="en-US" w:eastAsia="zh-CN"/>
              </w:rPr>
              <w:t>0</w:t>
            </w:r>
          </w:p>
        </w:tc>
        <w:tc>
          <w:tcPr>
            <w:tcW w:w="2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A615DAE">
            <w:pPr>
              <w:pStyle w:val="10"/>
              <w:bidi w:val="0"/>
              <w:jc w:val="center"/>
              <w:rPr>
                <w:rFonts w:hint="eastAsia"/>
              </w:rPr>
            </w:pPr>
            <w:r>
              <w:rPr>
                <w:rFonts w:hint="eastAsia"/>
                <w:lang w:val="en-US" w:eastAsia="zh-CN"/>
              </w:rPr>
              <w:t>0</w:t>
            </w:r>
          </w:p>
        </w:tc>
        <w:tc>
          <w:tcPr>
            <w:tcW w:w="25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C522AF">
            <w:pPr>
              <w:pStyle w:val="10"/>
              <w:bidi w:val="0"/>
              <w:jc w:val="center"/>
              <w:rPr>
                <w:rFonts w:hint="eastAsia"/>
              </w:rPr>
            </w:pPr>
            <w:r>
              <w:rPr>
                <w:rFonts w:hint="eastAsia"/>
                <w:lang w:val="en-US" w:eastAsia="zh-CN"/>
              </w:rPr>
              <w:t>0</w:t>
            </w:r>
          </w:p>
        </w:tc>
        <w:tc>
          <w:tcPr>
            <w:tcW w:w="2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981C59D">
            <w:pPr>
              <w:pStyle w:val="10"/>
              <w:bidi w:val="0"/>
              <w:jc w:val="center"/>
              <w:rPr>
                <w:rFonts w:hint="eastAsia"/>
              </w:rPr>
            </w:pPr>
            <w:r>
              <w:rPr>
                <w:rFonts w:hint="eastAsia"/>
                <w:lang w:val="en-US" w:eastAsia="zh-CN"/>
              </w:rPr>
              <w:t>0</w:t>
            </w:r>
          </w:p>
        </w:tc>
        <w:tc>
          <w:tcPr>
            <w:tcW w:w="24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4A76350">
            <w:pPr>
              <w:pStyle w:val="10"/>
              <w:bidi w:val="0"/>
              <w:jc w:val="center"/>
              <w:rPr>
                <w:rFonts w:hint="eastAsia"/>
              </w:rPr>
            </w:pPr>
            <w:r>
              <w:rPr>
                <w:rFonts w:hint="eastAsia"/>
                <w:lang w:val="en-US" w:eastAsia="zh-CN"/>
              </w:rPr>
              <w:t>0</w:t>
            </w:r>
          </w:p>
        </w:tc>
        <w:tc>
          <w:tcPr>
            <w:tcW w:w="25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3D4B280">
            <w:pPr>
              <w:pStyle w:val="10"/>
              <w:bidi w:val="0"/>
              <w:jc w:val="center"/>
              <w:rPr>
                <w:rFonts w:hint="default"/>
              </w:rPr>
            </w:pPr>
          </w:p>
        </w:tc>
        <w:tc>
          <w:tcPr>
            <w:tcW w:w="25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2DF094D">
            <w:pPr>
              <w:pStyle w:val="10"/>
              <w:bidi w:val="0"/>
              <w:jc w:val="center"/>
              <w:rPr>
                <w:rFonts w:hint="eastAsia"/>
              </w:rPr>
            </w:pPr>
            <w:r>
              <w:rPr>
                <w:rFonts w:hint="eastAsia"/>
                <w:lang w:val="en-US" w:eastAsia="zh-CN"/>
              </w:rPr>
              <w:t>0</w:t>
            </w:r>
          </w:p>
        </w:tc>
        <w:tc>
          <w:tcPr>
            <w:tcW w:w="24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02BD2D">
            <w:pPr>
              <w:pStyle w:val="10"/>
              <w:bidi w:val="0"/>
              <w:jc w:val="center"/>
              <w:rPr>
                <w:rFonts w:hint="default"/>
              </w:rPr>
            </w:pPr>
          </w:p>
        </w:tc>
        <w:tc>
          <w:tcPr>
            <w:tcW w:w="26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AE3C2FA">
            <w:pPr>
              <w:pStyle w:val="10"/>
              <w:bidi w:val="0"/>
              <w:jc w:val="center"/>
              <w:rPr>
                <w:rFonts w:hint="default"/>
              </w:rPr>
            </w:pPr>
          </w:p>
        </w:tc>
        <w:tc>
          <w:tcPr>
            <w:tcW w:w="29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780423F">
            <w:pPr>
              <w:pStyle w:val="10"/>
              <w:bidi w:val="0"/>
              <w:jc w:val="center"/>
              <w:rPr>
                <w:rFonts w:hint="default"/>
              </w:rPr>
            </w:pPr>
          </w:p>
        </w:tc>
      </w:tr>
    </w:tbl>
    <w:p w14:paraId="3B6DED26">
      <w:pPr>
        <w:pStyle w:val="10"/>
        <w:bidi w:val="0"/>
        <w:jc w:val="center"/>
        <w:rPr>
          <w:rFonts w:hint="eastAsia"/>
          <w:b/>
          <w:bCs/>
        </w:rPr>
      </w:pPr>
      <w:r>
        <w:rPr>
          <w:rFonts w:hint="eastAsia"/>
          <w:b/>
          <w:bCs/>
        </w:rPr>
        <w:t>2013年环境空气中二氧化硫监测情况</w:t>
      </w:r>
    </w:p>
    <w:p w14:paraId="0EBD78E8">
      <w:pPr>
        <w:bidi w:val="0"/>
        <w:rPr>
          <w:rFonts w:hint="default" w:eastAsia="宋体"/>
          <w:lang w:val="en-US" w:eastAsia="zh-CN"/>
        </w:rPr>
      </w:pPr>
      <w:r>
        <w:rPr>
          <w:rFonts w:hint="eastAsia"/>
          <w:lang w:val="en-US" w:eastAsia="zh-CN"/>
        </w:rPr>
        <w:t>表27</w:t>
      </w:r>
    </w:p>
    <w:p w14:paraId="673239BB">
      <w:pPr>
        <w:bidi w:val="0"/>
        <w:jc w:val="right"/>
        <w:rPr>
          <w:rFonts w:hint="eastAsia"/>
        </w:rPr>
      </w:pPr>
      <w:r>
        <w:rPr>
          <w:rFonts w:hint="eastAsia"/>
        </w:rPr>
        <w:t>单位：mg/m3</w:t>
      </w:r>
    </w:p>
    <w:tbl>
      <w:tblPr>
        <w:tblStyle w:val="7"/>
        <w:tblW w:w="5000"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Layout w:type="fixed"/>
        <w:tblCellMar>
          <w:top w:w="0" w:type="dxa"/>
          <w:left w:w="0" w:type="dxa"/>
          <w:bottom w:w="0" w:type="dxa"/>
          <w:right w:w="0" w:type="dxa"/>
        </w:tblCellMar>
      </w:tblPr>
      <w:tblGrid>
        <w:gridCol w:w="705"/>
        <w:gridCol w:w="739"/>
        <w:gridCol w:w="440"/>
        <w:gridCol w:w="557"/>
        <w:gridCol w:w="471"/>
        <w:gridCol w:w="472"/>
        <w:gridCol w:w="503"/>
        <w:gridCol w:w="493"/>
        <w:gridCol w:w="439"/>
        <w:gridCol w:w="504"/>
        <w:gridCol w:w="428"/>
        <w:gridCol w:w="493"/>
        <w:gridCol w:w="472"/>
        <w:gridCol w:w="482"/>
        <w:gridCol w:w="493"/>
        <w:gridCol w:w="514"/>
        <w:gridCol w:w="546"/>
        <w:gridCol w:w="568"/>
        <w:gridCol w:w="457"/>
      </w:tblGrid>
      <w:tr w14:paraId="2868C167">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615" w:hRule="atLeast"/>
        </w:trPr>
        <w:tc>
          <w:tcPr>
            <w:tcW w:w="360" w:type="pct"/>
            <w:vMerge w:val="restar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334399A">
            <w:pPr>
              <w:pStyle w:val="10"/>
              <w:bidi w:val="0"/>
              <w:jc w:val="center"/>
              <w:rPr>
                <w:rFonts w:hint="default"/>
                <w:b/>
                <w:bCs/>
              </w:rPr>
            </w:pPr>
            <w:r>
              <w:rPr>
                <w:b/>
                <w:bCs/>
                <w:lang w:val="en-US" w:eastAsia="zh-CN"/>
              </w:rPr>
              <w:t>监测</w:t>
            </w:r>
            <w:r>
              <w:rPr>
                <w:rFonts w:hint="eastAsia"/>
                <w:b/>
                <w:bCs/>
                <w:lang w:val="en-US" w:eastAsia="zh-CN"/>
              </w:rPr>
              <w:t>点</w:t>
            </w:r>
          </w:p>
        </w:tc>
        <w:tc>
          <w:tcPr>
            <w:tcW w:w="377"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DE3F1CF">
            <w:pPr>
              <w:pStyle w:val="10"/>
              <w:bidi w:val="0"/>
              <w:jc w:val="center"/>
              <w:rPr>
                <w:rFonts w:hint="default"/>
                <w:b/>
                <w:bCs/>
              </w:rPr>
            </w:pPr>
            <w:r>
              <w:rPr>
                <w:b/>
                <w:bCs/>
                <w:lang w:val="en-US" w:eastAsia="zh-CN"/>
              </w:rPr>
              <w:t>指</w:t>
            </w:r>
            <w:r>
              <w:rPr>
                <w:rFonts w:hint="eastAsia"/>
                <w:b/>
                <w:bCs/>
                <w:lang w:val="en-US" w:eastAsia="zh-CN"/>
              </w:rPr>
              <w:t>标</w:t>
            </w:r>
          </w:p>
        </w:tc>
        <w:tc>
          <w:tcPr>
            <w:tcW w:w="992" w:type="pct"/>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679D925">
            <w:pPr>
              <w:pStyle w:val="10"/>
              <w:bidi w:val="0"/>
              <w:jc w:val="center"/>
              <w:rPr>
                <w:rFonts w:hint="eastAsia"/>
                <w:b/>
                <w:bCs/>
              </w:rPr>
            </w:pPr>
            <w:r>
              <w:rPr>
                <w:rFonts w:hint="eastAsia"/>
                <w:b/>
                <w:bCs/>
                <w:lang w:val="en-US" w:eastAsia="zh-CN"/>
              </w:rPr>
              <w:t>第一季度</w:t>
            </w:r>
          </w:p>
        </w:tc>
        <w:tc>
          <w:tcPr>
            <w:tcW w:w="991" w:type="pct"/>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8F505BD">
            <w:pPr>
              <w:pStyle w:val="10"/>
              <w:bidi w:val="0"/>
              <w:jc w:val="center"/>
              <w:rPr>
                <w:rFonts w:hint="eastAsia"/>
                <w:b/>
                <w:bCs/>
              </w:rPr>
            </w:pPr>
            <w:r>
              <w:rPr>
                <w:rFonts w:hint="eastAsia"/>
                <w:b/>
                <w:bCs/>
                <w:lang w:val="en-US" w:eastAsia="zh-CN"/>
              </w:rPr>
              <w:t>第二季度</w:t>
            </w:r>
          </w:p>
        </w:tc>
        <w:tc>
          <w:tcPr>
            <w:tcW w:w="958" w:type="pct"/>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AA0F0F2">
            <w:pPr>
              <w:pStyle w:val="10"/>
              <w:bidi w:val="0"/>
              <w:jc w:val="center"/>
              <w:rPr>
                <w:rFonts w:hint="eastAsia"/>
                <w:b/>
                <w:bCs/>
              </w:rPr>
            </w:pPr>
            <w:r>
              <w:rPr>
                <w:rFonts w:hint="eastAsia"/>
                <w:b/>
                <w:bCs/>
                <w:lang w:val="en-US" w:eastAsia="zh-CN"/>
              </w:rPr>
              <w:t>第三季度</w:t>
            </w:r>
          </w:p>
        </w:tc>
        <w:tc>
          <w:tcPr>
            <w:tcW w:w="1084" w:type="pct"/>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8C3DC2">
            <w:pPr>
              <w:pStyle w:val="10"/>
              <w:bidi w:val="0"/>
              <w:jc w:val="center"/>
              <w:rPr>
                <w:rFonts w:hint="eastAsia"/>
                <w:b/>
                <w:bCs/>
              </w:rPr>
            </w:pPr>
            <w:r>
              <w:rPr>
                <w:rFonts w:hint="eastAsia"/>
                <w:b/>
                <w:bCs/>
                <w:lang w:val="en-US" w:eastAsia="zh-CN"/>
              </w:rPr>
              <w:t>第四季度</w:t>
            </w:r>
          </w:p>
        </w:tc>
        <w:tc>
          <w:tcPr>
            <w:tcW w:w="233"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AD6281D">
            <w:pPr>
              <w:pStyle w:val="10"/>
              <w:bidi w:val="0"/>
              <w:jc w:val="center"/>
              <w:rPr>
                <w:rFonts w:hint="eastAsia"/>
                <w:b/>
                <w:bCs/>
              </w:rPr>
            </w:pPr>
            <w:r>
              <w:rPr>
                <w:rFonts w:hint="eastAsia"/>
                <w:b/>
                <w:bCs/>
                <w:lang w:val="en-US" w:eastAsia="zh-CN"/>
              </w:rPr>
              <w:t>全年</w:t>
            </w:r>
          </w:p>
        </w:tc>
      </w:tr>
      <w:tr w14:paraId="7159980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25" w:hRule="atLeast"/>
        </w:trPr>
        <w:tc>
          <w:tcPr>
            <w:tcW w:w="360"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F3F8676">
            <w:pPr>
              <w:pStyle w:val="10"/>
              <w:bidi w:val="0"/>
              <w:jc w:val="center"/>
              <w:rPr>
                <w:rFonts w:hint="default"/>
                <w:b/>
                <w:bCs/>
              </w:rPr>
            </w:pPr>
          </w:p>
        </w:tc>
        <w:tc>
          <w:tcPr>
            <w:tcW w:w="377"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E96C5A1">
            <w:pPr>
              <w:pStyle w:val="10"/>
              <w:bidi w:val="0"/>
              <w:jc w:val="center"/>
              <w:rPr>
                <w:rFonts w:hint="default"/>
                <w:b/>
                <w:bCs/>
              </w:rPr>
            </w:pPr>
          </w:p>
        </w:tc>
        <w:tc>
          <w:tcPr>
            <w:tcW w:w="22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D4B7024">
            <w:pPr>
              <w:pStyle w:val="10"/>
              <w:bidi w:val="0"/>
              <w:jc w:val="center"/>
              <w:rPr>
                <w:rFonts w:hint="default"/>
                <w:b/>
                <w:bCs/>
              </w:rPr>
            </w:pPr>
            <w:r>
              <w:rPr>
                <w:rFonts w:hint="default"/>
                <w:b/>
                <w:bCs/>
                <w:lang w:val="en-US" w:eastAsia="zh-CN"/>
              </w:rPr>
              <w:t>1</w:t>
            </w:r>
            <w:r>
              <w:rPr>
                <w:rFonts w:hint="eastAsia"/>
                <w:b/>
                <w:bCs/>
                <w:lang w:val="en-US" w:eastAsia="zh-CN"/>
              </w:rPr>
              <w:t>月</w:t>
            </w:r>
          </w:p>
        </w:tc>
        <w:tc>
          <w:tcPr>
            <w:tcW w:w="28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B46EB95">
            <w:pPr>
              <w:pStyle w:val="10"/>
              <w:bidi w:val="0"/>
              <w:jc w:val="center"/>
              <w:rPr>
                <w:rFonts w:hint="default"/>
                <w:b/>
                <w:bCs/>
              </w:rPr>
            </w:pPr>
            <w:r>
              <w:rPr>
                <w:rFonts w:hint="default"/>
                <w:b/>
                <w:bCs/>
                <w:lang w:val="en-US" w:eastAsia="zh-CN"/>
              </w:rPr>
              <w:t>2</w:t>
            </w:r>
            <w:r>
              <w:rPr>
                <w:rFonts w:hint="eastAsia"/>
                <w:b/>
                <w:bCs/>
                <w:lang w:val="en-US" w:eastAsia="zh-CN"/>
              </w:rPr>
              <w:t>月</w:t>
            </w:r>
          </w:p>
        </w:tc>
        <w:tc>
          <w:tcPr>
            <w:tcW w:w="2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2BFCCDF">
            <w:pPr>
              <w:pStyle w:val="10"/>
              <w:bidi w:val="0"/>
              <w:jc w:val="center"/>
              <w:rPr>
                <w:rFonts w:hint="default"/>
                <w:b/>
                <w:bCs/>
              </w:rPr>
            </w:pPr>
            <w:r>
              <w:rPr>
                <w:rFonts w:hint="default"/>
                <w:b/>
                <w:bCs/>
                <w:lang w:val="en-US" w:eastAsia="zh-CN"/>
              </w:rPr>
              <w:t>3</w:t>
            </w:r>
            <w:r>
              <w:rPr>
                <w:rFonts w:hint="eastAsia"/>
                <w:b/>
                <w:bCs/>
                <w:lang w:val="en-US" w:eastAsia="zh-CN"/>
              </w:rPr>
              <w:t>月</w:t>
            </w:r>
          </w:p>
        </w:tc>
        <w:tc>
          <w:tcPr>
            <w:tcW w:w="24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D6F602F">
            <w:pPr>
              <w:pStyle w:val="10"/>
              <w:bidi w:val="0"/>
              <w:jc w:val="center"/>
              <w:rPr>
                <w:rFonts w:hint="eastAsia"/>
                <w:b/>
                <w:bCs/>
              </w:rPr>
            </w:pPr>
            <w:r>
              <w:rPr>
                <w:b/>
                <w:bCs/>
                <w:lang w:val="en-US" w:eastAsia="zh-CN"/>
              </w:rPr>
              <w:t>小计</w:t>
            </w:r>
          </w:p>
        </w:tc>
        <w:tc>
          <w:tcPr>
            <w:tcW w:w="25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8A1AEC2">
            <w:pPr>
              <w:pStyle w:val="10"/>
              <w:bidi w:val="0"/>
              <w:jc w:val="center"/>
              <w:rPr>
                <w:rFonts w:hint="default"/>
                <w:b/>
                <w:bCs/>
              </w:rPr>
            </w:pPr>
            <w:r>
              <w:rPr>
                <w:rFonts w:hint="default"/>
                <w:b/>
                <w:bCs/>
                <w:lang w:val="en-US" w:eastAsia="zh-CN"/>
              </w:rPr>
              <w:t>4</w:t>
            </w:r>
            <w:r>
              <w:rPr>
                <w:rFonts w:hint="eastAsia"/>
                <w:b/>
                <w:bCs/>
                <w:lang w:val="en-US" w:eastAsia="zh-CN"/>
              </w:rPr>
              <w:t>月</w:t>
            </w:r>
          </w:p>
        </w:tc>
        <w:tc>
          <w:tcPr>
            <w:tcW w:w="25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045E41E">
            <w:pPr>
              <w:pStyle w:val="10"/>
              <w:bidi w:val="0"/>
              <w:jc w:val="center"/>
              <w:rPr>
                <w:rFonts w:hint="default"/>
                <w:b/>
                <w:bCs/>
              </w:rPr>
            </w:pPr>
            <w:r>
              <w:rPr>
                <w:rFonts w:hint="default"/>
                <w:b/>
                <w:bCs/>
                <w:lang w:val="en-US" w:eastAsia="zh-CN"/>
              </w:rPr>
              <w:t>5</w:t>
            </w:r>
            <w:r>
              <w:rPr>
                <w:rFonts w:hint="eastAsia"/>
                <w:b/>
                <w:bCs/>
                <w:lang w:val="en-US" w:eastAsia="zh-CN"/>
              </w:rPr>
              <w:t>月</w:t>
            </w:r>
          </w:p>
        </w:tc>
        <w:tc>
          <w:tcPr>
            <w:tcW w:w="22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1F10833">
            <w:pPr>
              <w:pStyle w:val="10"/>
              <w:bidi w:val="0"/>
              <w:jc w:val="center"/>
              <w:rPr>
                <w:rFonts w:hint="default"/>
                <w:b/>
                <w:bCs/>
              </w:rPr>
            </w:pPr>
            <w:r>
              <w:rPr>
                <w:rFonts w:hint="default"/>
                <w:b/>
                <w:bCs/>
                <w:lang w:val="en-US" w:eastAsia="zh-CN"/>
              </w:rPr>
              <w:t>6</w:t>
            </w:r>
            <w:r>
              <w:rPr>
                <w:rFonts w:hint="eastAsia"/>
                <w:b/>
                <w:bCs/>
                <w:lang w:val="en-US" w:eastAsia="zh-CN"/>
              </w:rPr>
              <w:t>月</w:t>
            </w:r>
          </w:p>
        </w:tc>
        <w:tc>
          <w:tcPr>
            <w:tcW w:w="25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07441F1">
            <w:pPr>
              <w:pStyle w:val="10"/>
              <w:bidi w:val="0"/>
              <w:jc w:val="center"/>
              <w:rPr>
                <w:rFonts w:hint="eastAsia"/>
                <w:b/>
                <w:bCs/>
              </w:rPr>
            </w:pPr>
            <w:r>
              <w:rPr>
                <w:b/>
                <w:bCs/>
                <w:lang w:val="en-US" w:eastAsia="zh-CN"/>
              </w:rPr>
              <w:t>小计</w:t>
            </w:r>
          </w:p>
        </w:tc>
        <w:tc>
          <w:tcPr>
            <w:tcW w:w="21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0A3AAE9">
            <w:pPr>
              <w:pStyle w:val="10"/>
              <w:bidi w:val="0"/>
              <w:jc w:val="center"/>
              <w:rPr>
                <w:rFonts w:hint="default"/>
                <w:b/>
                <w:bCs/>
              </w:rPr>
            </w:pPr>
            <w:r>
              <w:rPr>
                <w:rFonts w:hint="default"/>
                <w:b/>
                <w:bCs/>
                <w:lang w:val="en-US" w:eastAsia="zh-CN"/>
              </w:rPr>
              <w:t>7</w:t>
            </w:r>
            <w:r>
              <w:rPr>
                <w:rFonts w:hint="eastAsia"/>
                <w:b/>
                <w:bCs/>
                <w:lang w:val="en-US" w:eastAsia="zh-CN"/>
              </w:rPr>
              <w:t>月</w:t>
            </w:r>
          </w:p>
        </w:tc>
        <w:tc>
          <w:tcPr>
            <w:tcW w:w="25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F8977BD">
            <w:pPr>
              <w:pStyle w:val="10"/>
              <w:bidi w:val="0"/>
              <w:jc w:val="center"/>
              <w:rPr>
                <w:rFonts w:hint="default"/>
                <w:b/>
                <w:bCs/>
              </w:rPr>
            </w:pPr>
            <w:r>
              <w:rPr>
                <w:rFonts w:hint="default"/>
                <w:b/>
                <w:bCs/>
                <w:lang w:val="en-US" w:eastAsia="zh-CN"/>
              </w:rPr>
              <w:t>8</w:t>
            </w:r>
            <w:r>
              <w:rPr>
                <w:rFonts w:hint="eastAsia"/>
                <w:b/>
                <w:bCs/>
                <w:lang w:val="en-US" w:eastAsia="zh-CN"/>
              </w:rPr>
              <w:t>月</w:t>
            </w:r>
          </w:p>
        </w:tc>
        <w:tc>
          <w:tcPr>
            <w:tcW w:w="24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EE46212">
            <w:pPr>
              <w:pStyle w:val="10"/>
              <w:bidi w:val="0"/>
              <w:jc w:val="center"/>
              <w:rPr>
                <w:rFonts w:hint="default"/>
                <w:b/>
                <w:bCs/>
              </w:rPr>
            </w:pPr>
            <w:r>
              <w:rPr>
                <w:rFonts w:hint="default"/>
                <w:b/>
                <w:bCs/>
                <w:lang w:val="en-US" w:eastAsia="zh-CN"/>
              </w:rPr>
              <w:t>9</w:t>
            </w:r>
            <w:r>
              <w:rPr>
                <w:rFonts w:hint="eastAsia"/>
                <w:b/>
                <w:bCs/>
                <w:lang w:val="en-US" w:eastAsia="zh-CN"/>
              </w:rPr>
              <w:t>月</w:t>
            </w:r>
          </w:p>
        </w:tc>
        <w:tc>
          <w:tcPr>
            <w:tcW w:w="24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6A001CB">
            <w:pPr>
              <w:pStyle w:val="10"/>
              <w:bidi w:val="0"/>
              <w:jc w:val="center"/>
              <w:rPr>
                <w:rFonts w:hint="eastAsia"/>
                <w:b/>
                <w:bCs/>
              </w:rPr>
            </w:pPr>
            <w:r>
              <w:rPr>
                <w:b/>
                <w:bCs/>
                <w:lang w:val="en-US" w:eastAsia="zh-CN"/>
              </w:rPr>
              <w:t>小计</w:t>
            </w:r>
          </w:p>
        </w:tc>
        <w:tc>
          <w:tcPr>
            <w:tcW w:w="25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AE3E945">
            <w:pPr>
              <w:pStyle w:val="10"/>
              <w:bidi w:val="0"/>
              <w:jc w:val="center"/>
              <w:rPr>
                <w:rFonts w:hint="default"/>
                <w:b/>
                <w:bCs/>
              </w:rPr>
            </w:pPr>
            <w:r>
              <w:rPr>
                <w:rFonts w:hint="default"/>
                <w:b/>
                <w:bCs/>
                <w:lang w:val="en-US" w:eastAsia="zh-CN"/>
              </w:rPr>
              <w:t>10</w:t>
            </w:r>
            <w:r>
              <w:rPr>
                <w:rFonts w:hint="eastAsia"/>
                <w:b/>
                <w:bCs/>
                <w:lang w:val="en-US" w:eastAsia="zh-CN"/>
              </w:rPr>
              <w:t>月</w:t>
            </w:r>
          </w:p>
        </w:tc>
        <w:tc>
          <w:tcPr>
            <w:tcW w:w="26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BD69A0D">
            <w:pPr>
              <w:pStyle w:val="10"/>
              <w:bidi w:val="0"/>
              <w:jc w:val="center"/>
              <w:rPr>
                <w:rFonts w:hint="default"/>
                <w:b/>
                <w:bCs/>
              </w:rPr>
            </w:pPr>
            <w:r>
              <w:rPr>
                <w:rFonts w:hint="default"/>
                <w:b/>
                <w:bCs/>
                <w:lang w:val="en-US" w:eastAsia="zh-CN"/>
              </w:rPr>
              <w:t>11</w:t>
            </w:r>
            <w:r>
              <w:rPr>
                <w:rFonts w:hint="eastAsia"/>
                <w:b/>
                <w:bCs/>
                <w:lang w:val="en-US" w:eastAsia="zh-CN"/>
              </w:rPr>
              <w:t>月</w:t>
            </w:r>
          </w:p>
        </w:tc>
        <w:tc>
          <w:tcPr>
            <w:tcW w:w="27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686E5C3">
            <w:pPr>
              <w:pStyle w:val="10"/>
              <w:bidi w:val="0"/>
              <w:jc w:val="center"/>
              <w:rPr>
                <w:rFonts w:hint="default"/>
                <w:b/>
                <w:bCs/>
              </w:rPr>
            </w:pPr>
            <w:r>
              <w:rPr>
                <w:rFonts w:hint="default"/>
                <w:b/>
                <w:bCs/>
                <w:lang w:val="en-US" w:eastAsia="zh-CN"/>
              </w:rPr>
              <w:t>12</w:t>
            </w:r>
            <w:r>
              <w:rPr>
                <w:rFonts w:hint="eastAsia"/>
                <w:b/>
                <w:bCs/>
                <w:lang w:val="en-US" w:eastAsia="zh-CN"/>
              </w:rPr>
              <w:t>月</w:t>
            </w:r>
          </w:p>
        </w:tc>
        <w:tc>
          <w:tcPr>
            <w:tcW w:w="29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67630C7">
            <w:pPr>
              <w:pStyle w:val="10"/>
              <w:bidi w:val="0"/>
              <w:jc w:val="center"/>
              <w:rPr>
                <w:rFonts w:hint="eastAsia"/>
                <w:b/>
                <w:bCs/>
              </w:rPr>
            </w:pPr>
            <w:r>
              <w:rPr>
                <w:b/>
                <w:bCs/>
                <w:lang w:val="en-US" w:eastAsia="zh-CN"/>
              </w:rPr>
              <w:t>小计</w:t>
            </w:r>
          </w:p>
        </w:tc>
        <w:tc>
          <w:tcPr>
            <w:tcW w:w="233"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C5926A4">
            <w:pPr>
              <w:pStyle w:val="10"/>
              <w:bidi w:val="0"/>
              <w:jc w:val="center"/>
              <w:rPr>
                <w:rFonts w:hint="eastAsia"/>
                <w:b/>
                <w:bCs/>
              </w:rPr>
            </w:pPr>
            <w:r>
              <w:rPr>
                <w:b/>
                <w:bCs/>
                <w:lang w:val="en-US" w:eastAsia="zh-CN"/>
              </w:rPr>
              <w:t>总计</w:t>
            </w:r>
          </w:p>
        </w:tc>
      </w:tr>
      <w:tr w14:paraId="07ECBB8C">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700" w:hRule="atLeast"/>
        </w:trPr>
        <w:tc>
          <w:tcPr>
            <w:tcW w:w="360" w:type="pct"/>
            <w:vMerge w:val="restar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57412DA">
            <w:pPr>
              <w:pStyle w:val="10"/>
              <w:bidi w:val="0"/>
              <w:jc w:val="center"/>
              <w:rPr>
                <w:rFonts w:hint="eastAsia"/>
              </w:rPr>
            </w:pPr>
            <w:r>
              <w:rPr>
                <w:rFonts w:hint="eastAsia"/>
                <w:lang w:val="en-US" w:eastAsia="zh-CN"/>
              </w:rPr>
              <w:t>监测站大楼</w:t>
            </w:r>
          </w:p>
        </w:tc>
        <w:tc>
          <w:tcPr>
            <w:tcW w:w="37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628A06">
            <w:pPr>
              <w:pStyle w:val="10"/>
              <w:bidi w:val="0"/>
              <w:jc w:val="center"/>
              <w:rPr>
                <w:rFonts w:hint="eastAsia"/>
              </w:rPr>
            </w:pPr>
            <w:r>
              <w:rPr>
                <w:rFonts w:hint="eastAsia"/>
                <w:lang w:val="en-US" w:eastAsia="zh-CN"/>
              </w:rPr>
              <w:t>日均值样品数</w:t>
            </w:r>
          </w:p>
        </w:tc>
        <w:tc>
          <w:tcPr>
            <w:tcW w:w="2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429B7B">
            <w:pPr>
              <w:pStyle w:val="10"/>
              <w:bidi w:val="0"/>
              <w:jc w:val="center"/>
              <w:rPr>
                <w:rFonts w:hint="default"/>
              </w:rPr>
            </w:pPr>
            <w:r>
              <w:rPr>
                <w:rFonts w:hint="default"/>
                <w:lang w:val="en-US" w:eastAsia="zh-CN"/>
              </w:rPr>
              <w:t>31</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95FD31">
            <w:pPr>
              <w:pStyle w:val="10"/>
              <w:bidi w:val="0"/>
              <w:jc w:val="center"/>
              <w:rPr>
                <w:rFonts w:hint="default"/>
              </w:rPr>
            </w:pPr>
            <w:r>
              <w:rPr>
                <w:rFonts w:hint="default"/>
                <w:lang w:val="en-US" w:eastAsia="zh-CN"/>
              </w:rPr>
              <w:t>28</w:t>
            </w:r>
          </w:p>
        </w:tc>
        <w:tc>
          <w:tcPr>
            <w:tcW w:w="2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5B1F13">
            <w:pPr>
              <w:pStyle w:val="10"/>
              <w:bidi w:val="0"/>
              <w:jc w:val="center"/>
              <w:rPr>
                <w:rFonts w:hint="default"/>
              </w:rPr>
            </w:pPr>
            <w:r>
              <w:rPr>
                <w:rFonts w:hint="default"/>
                <w:lang w:val="en-US" w:eastAsia="zh-CN"/>
              </w:rPr>
              <w:t>30</w:t>
            </w:r>
          </w:p>
        </w:tc>
        <w:tc>
          <w:tcPr>
            <w:tcW w:w="24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0EA77F">
            <w:pPr>
              <w:pStyle w:val="10"/>
              <w:bidi w:val="0"/>
              <w:jc w:val="center"/>
              <w:rPr>
                <w:rFonts w:hint="default"/>
              </w:rPr>
            </w:pPr>
            <w:r>
              <w:rPr>
                <w:rFonts w:hint="default"/>
                <w:lang w:val="en-US" w:eastAsia="zh-CN"/>
              </w:rPr>
              <w:t>89</w:t>
            </w:r>
          </w:p>
        </w:tc>
        <w:tc>
          <w:tcPr>
            <w:tcW w:w="2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604446">
            <w:pPr>
              <w:pStyle w:val="10"/>
              <w:bidi w:val="0"/>
              <w:jc w:val="center"/>
              <w:rPr>
                <w:rFonts w:hint="default"/>
              </w:rPr>
            </w:pPr>
            <w:r>
              <w:rPr>
                <w:rFonts w:hint="default"/>
                <w:lang w:val="en-US" w:eastAsia="zh-CN"/>
              </w:rPr>
              <w:t>30</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1B335C">
            <w:pPr>
              <w:pStyle w:val="10"/>
              <w:bidi w:val="0"/>
              <w:jc w:val="center"/>
              <w:rPr>
                <w:rFonts w:hint="default"/>
              </w:rPr>
            </w:pPr>
            <w:r>
              <w:rPr>
                <w:rFonts w:hint="default"/>
                <w:lang w:val="en-US" w:eastAsia="zh-CN"/>
              </w:rPr>
              <w:t>28</w:t>
            </w:r>
          </w:p>
        </w:tc>
        <w:tc>
          <w:tcPr>
            <w:tcW w:w="22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AC2169">
            <w:pPr>
              <w:pStyle w:val="10"/>
              <w:bidi w:val="0"/>
              <w:jc w:val="center"/>
              <w:rPr>
                <w:rFonts w:hint="default"/>
              </w:rPr>
            </w:pPr>
            <w:r>
              <w:rPr>
                <w:rFonts w:hint="default"/>
                <w:lang w:val="en-US" w:eastAsia="zh-CN"/>
              </w:rPr>
              <w:t>28</w:t>
            </w:r>
          </w:p>
        </w:tc>
        <w:tc>
          <w:tcPr>
            <w:tcW w:w="2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D31144">
            <w:pPr>
              <w:pStyle w:val="10"/>
              <w:bidi w:val="0"/>
              <w:jc w:val="center"/>
              <w:rPr>
                <w:rFonts w:hint="default"/>
              </w:rPr>
            </w:pPr>
            <w:r>
              <w:rPr>
                <w:rFonts w:hint="default"/>
                <w:lang w:val="en-US" w:eastAsia="zh-CN"/>
              </w:rPr>
              <w:t>86</w:t>
            </w:r>
          </w:p>
        </w:tc>
        <w:tc>
          <w:tcPr>
            <w:tcW w:w="2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DFE07B">
            <w:pPr>
              <w:pStyle w:val="10"/>
              <w:bidi w:val="0"/>
              <w:jc w:val="center"/>
              <w:rPr>
                <w:rFonts w:hint="default"/>
              </w:rPr>
            </w:pPr>
            <w:r>
              <w:rPr>
                <w:rFonts w:hint="default"/>
                <w:lang w:val="en-US" w:eastAsia="zh-CN"/>
              </w:rPr>
              <w:t>30</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A4C5E4">
            <w:pPr>
              <w:pStyle w:val="10"/>
              <w:bidi w:val="0"/>
              <w:jc w:val="center"/>
              <w:rPr>
                <w:rFonts w:hint="default"/>
              </w:rPr>
            </w:pPr>
            <w:r>
              <w:rPr>
                <w:rFonts w:hint="default"/>
                <w:lang w:val="en-US" w:eastAsia="zh-CN"/>
              </w:rPr>
              <w:t>31</w:t>
            </w:r>
          </w:p>
        </w:tc>
        <w:tc>
          <w:tcPr>
            <w:tcW w:w="24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26BBB2">
            <w:pPr>
              <w:pStyle w:val="10"/>
              <w:bidi w:val="0"/>
              <w:jc w:val="center"/>
              <w:rPr>
                <w:rFonts w:hint="default"/>
              </w:rPr>
            </w:pPr>
            <w:r>
              <w:rPr>
                <w:rFonts w:hint="default"/>
                <w:lang w:val="en-US" w:eastAsia="zh-CN"/>
              </w:rPr>
              <w:t>30</w:t>
            </w:r>
          </w:p>
        </w:tc>
        <w:tc>
          <w:tcPr>
            <w:tcW w:w="24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9B1F07">
            <w:pPr>
              <w:pStyle w:val="10"/>
              <w:bidi w:val="0"/>
              <w:jc w:val="center"/>
              <w:rPr>
                <w:rFonts w:hint="default"/>
              </w:rPr>
            </w:pPr>
            <w:r>
              <w:rPr>
                <w:rFonts w:hint="default"/>
                <w:lang w:val="en-US" w:eastAsia="zh-CN"/>
              </w:rPr>
              <w:t>91</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CD7B44">
            <w:pPr>
              <w:pStyle w:val="10"/>
              <w:bidi w:val="0"/>
              <w:jc w:val="center"/>
              <w:rPr>
                <w:rFonts w:hint="default"/>
              </w:rPr>
            </w:pPr>
            <w:r>
              <w:rPr>
                <w:rFonts w:hint="default"/>
                <w:lang w:val="en-US" w:eastAsia="zh-CN"/>
              </w:rPr>
              <w:t>31</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080E22">
            <w:pPr>
              <w:pStyle w:val="10"/>
              <w:bidi w:val="0"/>
              <w:jc w:val="center"/>
              <w:rPr>
                <w:rFonts w:hint="default"/>
              </w:rPr>
            </w:pPr>
            <w:r>
              <w:rPr>
                <w:rFonts w:hint="default"/>
                <w:lang w:val="en-US" w:eastAsia="zh-CN"/>
              </w:rPr>
              <w:t>30</w:t>
            </w:r>
          </w:p>
        </w:tc>
        <w:tc>
          <w:tcPr>
            <w:tcW w:w="2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8F22BB">
            <w:pPr>
              <w:pStyle w:val="10"/>
              <w:bidi w:val="0"/>
              <w:jc w:val="center"/>
              <w:rPr>
                <w:rFonts w:hint="default"/>
              </w:rPr>
            </w:pPr>
            <w:r>
              <w:rPr>
                <w:rFonts w:hint="default"/>
                <w:lang w:val="en-US" w:eastAsia="zh-CN"/>
              </w:rPr>
              <w:t>31</w:t>
            </w:r>
          </w:p>
        </w:tc>
        <w:tc>
          <w:tcPr>
            <w:tcW w:w="29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5B791A">
            <w:pPr>
              <w:pStyle w:val="10"/>
              <w:bidi w:val="0"/>
              <w:jc w:val="center"/>
              <w:rPr>
                <w:rFonts w:hint="default"/>
              </w:rPr>
            </w:pPr>
            <w:r>
              <w:rPr>
                <w:rFonts w:hint="default"/>
                <w:lang w:val="en-US" w:eastAsia="zh-CN"/>
              </w:rPr>
              <w:t>92</w:t>
            </w:r>
          </w:p>
        </w:tc>
        <w:tc>
          <w:tcPr>
            <w:tcW w:w="233"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AF5CBA3">
            <w:pPr>
              <w:pStyle w:val="10"/>
              <w:bidi w:val="0"/>
              <w:jc w:val="center"/>
              <w:rPr>
                <w:rFonts w:hint="default"/>
              </w:rPr>
            </w:pPr>
            <w:r>
              <w:rPr>
                <w:rFonts w:hint="default"/>
                <w:lang w:val="en-US" w:eastAsia="zh-CN"/>
              </w:rPr>
              <w:t>358</w:t>
            </w:r>
          </w:p>
        </w:tc>
      </w:tr>
      <w:tr w14:paraId="3802256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35" w:hRule="atLeast"/>
        </w:trPr>
        <w:tc>
          <w:tcPr>
            <w:tcW w:w="360"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E4D1488">
            <w:pPr>
              <w:pStyle w:val="10"/>
              <w:bidi w:val="0"/>
              <w:jc w:val="center"/>
              <w:rPr>
                <w:rFonts w:hint="eastAsia"/>
              </w:rPr>
            </w:pPr>
          </w:p>
        </w:tc>
        <w:tc>
          <w:tcPr>
            <w:tcW w:w="37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645F611">
            <w:pPr>
              <w:pStyle w:val="10"/>
              <w:bidi w:val="0"/>
              <w:jc w:val="center"/>
              <w:rPr>
                <w:rFonts w:hint="default"/>
              </w:rPr>
            </w:pPr>
            <w:r>
              <w:rPr>
                <w:rFonts w:hint="eastAsia"/>
                <w:lang w:val="en-US" w:eastAsia="zh-CN"/>
              </w:rPr>
              <w:t>最高浓度</w:t>
            </w:r>
          </w:p>
        </w:tc>
        <w:tc>
          <w:tcPr>
            <w:tcW w:w="2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B03D5E">
            <w:pPr>
              <w:pStyle w:val="10"/>
              <w:bidi w:val="0"/>
              <w:jc w:val="center"/>
              <w:rPr>
                <w:rFonts w:hint="default"/>
              </w:rPr>
            </w:pPr>
            <w:r>
              <w:rPr>
                <w:rFonts w:hint="default"/>
                <w:lang w:val="en-US" w:eastAsia="zh-CN"/>
              </w:rPr>
              <w:t>0.087</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B43348">
            <w:pPr>
              <w:pStyle w:val="10"/>
              <w:bidi w:val="0"/>
              <w:jc w:val="center"/>
              <w:rPr>
                <w:rFonts w:hint="default"/>
              </w:rPr>
            </w:pPr>
            <w:r>
              <w:rPr>
                <w:rFonts w:hint="default"/>
                <w:lang w:val="en-US" w:eastAsia="zh-CN"/>
              </w:rPr>
              <w:t>0.029</w:t>
            </w:r>
          </w:p>
        </w:tc>
        <w:tc>
          <w:tcPr>
            <w:tcW w:w="2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3E9EE84">
            <w:pPr>
              <w:pStyle w:val="10"/>
              <w:bidi w:val="0"/>
              <w:jc w:val="center"/>
              <w:rPr>
                <w:rFonts w:hint="default"/>
              </w:rPr>
            </w:pPr>
            <w:r>
              <w:rPr>
                <w:rFonts w:hint="default"/>
                <w:lang w:val="en-US" w:eastAsia="zh-CN"/>
              </w:rPr>
              <w:t>0.051</w:t>
            </w:r>
          </w:p>
        </w:tc>
        <w:tc>
          <w:tcPr>
            <w:tcW w:w="24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20B0E8">
            <w:pPr>
              <w:pStyle w:val="10"/>
              <w:bidi w:val="0"/>
              <w:jc w:val="center"/>
              <w:rPr>
                <w:rFonts w:hint="default"/>
              </w:rPr>
            </w:pPr>
            <w:r>
              <w:rPr>
                <w:rFonts w:hint="default"/>
                <w:lang w:val="en-US" w:eastAsia="zh-CN"/>
              </w:rPr>
              <w:t>0.087</w:t>
            </w:r>
          </w:p>
        </w:tc>
        <w:tc>
          <w:tcPr>
            <w:tcW w:w="2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7BA883">
            <w:pPr>
              <w:pStyle w:val="10"/>
              <w:bidi w:val="0"/>
              <w:jc w:val="center"/>
              <w:rPr>
                <w:rFonts w:hint="default"/>
              </w:rPr>
            </w:pPr>
            <w:r>
              <w:rPr>
                <w:rFonts w:hint="default"/>
                <w:lang w:val="en-US" w:eastAsia="zh-CN"/>
              </w:rPr>
              <w:t>0.045</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2803FA">
            <w:pPr>
              <w:pStyle w:val="10"/>
              <w:bidi w:val="0"/>
              <w:jc w:val="center"/>
              <w:rPr>
                <w:rFonts w:hint="default"/>
              </w:rPr>
            </w:pPr>
            <w:r>
              <w:rPr>
                <w:rFonts w:hint="default"/>
                <w:lang w:val="en-US" w:eastAsia="zh-CN"/>
              </w:rPr>
              <w:t>0.056</w:t>
            </w:r>
          </w:p>
        </w:tc>
        <w:tc>
          <w:tcPr>
            <w:tcW w:w="22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4485097">
            <w:pPr>
              <w:pStyle w:val="10"/>
              <w:bidi w:val="0"/>
              <w:jc w:val="center"/>
              <w:rPr>
                <w:rFonts w:hint="default"/>
              </w:rPr>
            </w:pPr>
            <w:r>
              <w:rPr>
                <w:rFonts w:hint="default"/>
                <w:lang w:val="en-US" w:eastAsia="zh-CN"/>
              </w:rPr>
              <w:t>0.057</w:t>
            </w:r>
          </w:p>
        </w:tc>
        <w:tc>
          <w:tcPr>
            <w:tcW w:w="2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C70CA7">
            <w:pPr>
              <w:pStyle w:val="10"/>
              <w:bidi w:val="0"/>
              <w:jc w:val="center"/>
              <w:rPr>
                <w:rFonts w:hint="default"/>
              </w:rPr>
            </w:pPr>
            <w:r>
              <w:rPr>
                <w:rFonts w:hint="default"/>
                <w:lang w:val="en-US" w:eastAsia="zh-CN"/>
              </w:rPr>
              <w:t>0.057</w:t>
            </w:r>
          </w:p>
        </w:tc>
        <w:tc>
          <w:tcPr>
            <w:tcW w:w="2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1413B8">
            <w:pPr>
              <w:pStyle w:val="10"/>
              <w:bidi w:val="0"/>
              <w:jc w:val="center"/>
              <w:rPr>
                <w:rFonts w:hint="default"/>
              </w:rPr>
            </w:pPr>
            <w:r>
              <w:rPr>
                <w:rFonts w:hint="default"/>
                <w:lang w:val="en-US" w:eastAsia="zh-CN"/>
              </w:rPr>
              <w:t>0.043</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51C3560">
            <w:pPr>
              <w:pStyle w:val="10"/>
              <w:bidi w:val="0"/>
              <w:jc w:val="center"/>
              <w:rPr>
                <w:rFonts w:hint="default"/>
              </w:rPr>
            </w:pPr>
            <w:r>
              <w:rPr>
                <w:rFonts w:hint="default"/>
                <w:lang w:val="en-US" w:eastAsia="zh-CN"/>
              </w:rPr>
              <w:t>0.044</w:t>
            </w:r>
          </w:p>
        </w:tc>
        <w:tc>
          <w:tcPr>
            <w:tcW w:w="24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C2C3C7">
            <w:pPr>
              <w:pStyle w:val="10"/>
              <w:bidi w:val="0"/>
              <w:jc w:val="center"/>
              <w:rPr>
                <w:rFonts w:hint="default"/>
              </w:rPr>
            </w:pPr>
            <w:r>
              <w:rPr>
                <w:rFonts w:hint="default"/>
                <w:lang w:val="en-US" w:eastAsia="zh-CN"/>
              </w:rPr>
              <w:t>0.046</w:t>
            </w:r>
          </w:p>
        </w:tc>
        <w:tc>
          <w:tcPr>
            <w:tcW w:w="24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E8ABBA">
            <w:pPr>
              <w:pStyle w:val="10"/>
              <w:bidi w:val="0"/>
              <w:jc w:val="center"/>
              <w:rPr>
                <w:rFonts w:hint="default"/>
              </w:rPr>
            </w:pPr>
            <w:r>
              <w:rPr>
                <w:rFonts w:hint="default"/>
                <w:lang w:val="en-US" w:eastAsia="zh-CN"/>
              </w:rPr>
              <w:t>0.046</w:t>
            </w:r>
          </w:p>
        </w:tc>
        <w:tc>
          <w:tcPr>
            <w:tcW w:w="25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BC1785D">
            <w:pPr>
              <w:pStyle w:val="10"/>
              <w:bidi w:val="0"/>
              <w:jc w:val="center"/>
              <w:rPr>
                <w:rFonts w:hint="default"/>
              </w:rPr>
            </w:pPr>
            <w:r>
              <w:rPr>
                <w:rFonts w:hint="default"/>
                <w:lang w:val="en-US" w:eastAsia="zh-CN"/>
              </w:rPr>
              <w:t>0.076</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F8A657">
            <w:pPr>
              <w:pStyle w:val="10"/>
              <w:bidi w:val="0"/>
              <w:jc w:val="center"/>
              <w:rPr>
                <w:rFonts w:hint="default"/>
              </w:rPr>
            </w:pPr>
            <w:r>
              <w:rPr>
                <w:rFonts w:hint="default"/>
                <w:lang w:val="en-US" w:eastAsia="zh-CN"/>
              </w:rPr>
              <w:t>0.084</w:t>
            </w:r>
          </w:p>
        </w:tc>
        <w:tc>
          <w:tcPr>
            <w:tcW w:w="27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03EC41E">
            <w:pPr>
              <w:pStyle w:val="10"/>
              <w:bidi w:val="0"/>
              <w:jc w:val="center"/>
              <w:rPr>
                <w:rFonts w:hint="default"/>
              </w:rPr>
            </w:pPr>
            <w:r>
              <w:rPr>
                <w:rFonts w:hint="default"/>
                <w:lang w:val="en-US" w:eastAsia="zh-CN"/>
              </w:rPr>
              <w:t>0.112</w:t>
            </w:r>
          </w:p>
        </w:tc>
        <w:tc>
          <w:tcPr>
            <w:tcW w:w="29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B0F1343">
            <w:pPr>
              <w:pStyle w:val="10"/>
              <w:bidi w:val="0"/>
              <w:jc w:val="center"/>
              <w:rPr>
                <w:rFonts w:hint="default"/>
              </w:rPr>
            </w:pPr>
            <w:r>
              <w:rPr>
                <w:rFonts w:hint="default"/>
                <w:lang w:val="en-US" w:eastAsia="zh-CN"/>
              </w:rPr>
              <w:t>0.112</w:t>
            </w:r>
          </w:p>
        </w:tc>
        <w:tc>
          <w:tcPr>
            <w:tcW w:w="233"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E142B3D">
            <w:pPr>
              <w:pStyle w:val="10"/>
              <w:bidi w:val="0"/>
              <w:jc w:val="center"/>
              <w:rPr>
                <w:rFonts w:hint="default"/>
              </w:rPr>
            </w:pPr>
            <w:r>
              <w:rPr>
                <w:rFonts w:hint="default"/>
                <w:lang w:val="en-US" w:eastAsia="zh-CN"/>
              </w:rPr>
              <w:t>0.112</w:t>
            </w:r>
          </w:p>
        </w:tc>
      </w:tr>
      <w:tr w14:paraId="14BBF82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40" w:hRule="atLeast"/>
        </w:trPr>
        <w:tc>
          <w:tcPr>
            <w:tcW w:w="360"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6588CB7">
            <w:pPr>
              <w:pStyle w:val="10"/>
              <w:bidi w:val="0"/>
              <w:jc w:val="center"/>
              <w:rPr>
                <w:rFonts w:hint="eastAsia"/>
              </w:rPr>
            </w:pPr>
          </w:p>
        </w:tc>
        <w:tc>
          <w:tcPr>
            <w:tcW w:w="37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B04D952">
            <w:pPr>
              <w:pStyle w:val="10"/>
              <w:bidi w:val="0"/>
              <w:jc w:val="center"/>
              <w:rPr>
                <w:rFonts w:hint="eastAsia"/>
              </w:rPr>
            </w:pPr>
            <w:r>
              <w:rPr>
                <w:rFonts w:hint="eastAsia"/>
                <w:lang w:val="en-US" w:eastAsia="zh-CN"/>
              </w:rPr>
              <w:t>平均值</w:t>
            </w:r>
          </w:p>
        </w:tc>
        <w:tc>
          <w:tcPr>
            <w:tcW w:w="2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993A40">
            <w:pPr>
              <w:pStyle w:val="10"/>
              <w:bidi w:val="0"/>
              <w:jc w:val="center"/>
              <w:rPr>
                <w:rFonts w:hint="default"/>
              </w:rPr>
            </w:pPr>
            <w:r>
              <w:rPr>
                <w:rFonts w:hint="default"/>
                <w:lang w:val="en-US" w:eastAsia="zh-CN"/>
              </w:rPr>
              <w:t>0.034</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FECF99">
            <w:pPr>
              <w:pStyle w:val="10"/>
              <w:bidi w:val="0"/>
              <w:jc w:val="center"/>
              <w:rPr>
                <w:rFonts w:hint="default"/>
              </w:rPr>
            </w:pPr>
            <w:r>
              <w:rPr>
                <w:rFonts w:hint="default"/>
                <w:lang w:val="en-US" w:eastAsia="zh-CN"/>
              </w:rPr>
              <w:t>0.014</w:t>
            </w:r>
          </w:p>
        </w:tc>
        <w:tc>
          <w:tcPr>
            <w:tcW w:w="2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3F48C4">
            <w:pPr>
              <w:pStyle w:val="10"/>
              <w:bidi w:val="0"/>
              <w:jc w:val="center"/>
              <w:rPr>
                <w:rFonts w:hint="default"/>
              </w:rPr>
            </w:pPr>
            <w:r>
              <w:rPr>
                <w:rFonts w:hint="default"/>
                <w:lang w:val="en-US" w:eastAsia="zh-CN"/>
              </w:rPr>
              <w:t>0.031</w:t>
            </w:r>
          </w:p>
        </w:tc>
        <w:tc>
          <w:tcPr>
            <w:tcW w:w="24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CF64B8">
            <w:pPr>
              <w:pStyle w:val="10"/>
              <w:bidi w:val="0"/>
              <w:jc w:val="center"/>
              <w:rPr>
                <w:rFonts w:hint="default"/>
              </w:rPr>
            </w:pPr>
            <w:r>
              <w:rPr>
                <w:rFonts w:hint="default"/>
                <w:lang w:val="en-US" w:eastAsia="zh-CN"/>
              </w:rPr>
              <w:t>0.026</w:t>
            </w:r>
          </w:p>
        </w:tc>
        <w:tc>
          <w:tcPr>
            <w:tcW w:w="2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CE5741">
            <w:pPr>
              <w:pStyle w:val="10"/>
              <w:bidi w:val="0"/>
              <w:jc w:val="center"/>
              <w:rPr>
                <w:rFonts w:hint="default"/>
              </w:rPr>
            </w:pPr>
            <w:r>
              <w:rPr>
                <w:rFonts w:hint="default"/>
                <w:lang w:val="en-US" w:eastAsia="zh-CN"/>
              </w:rPr>
              <w:t>0.029</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60714C">
            <w:pPr>
              <w:pStyle w:val="10"/>
              <w:bidi w:val="0"/>
              <w:jc w:val="center"/>
              <w:rPr>
                <w:rFonts w:hint="default"/>
              </w:rPr>
            </w:pPr>
            <w:r>
              <w:rPr>
                <w:rFonts w:hint="default"/>
                <w:lang w:val="en-US" w:eastAsia="zh-CN"/>
              </w:rPr>
              <w:t>0.029</w:t>
            </w:r>
          </w:p>
        </w:tc>
        <w:tc>
          <w:tcPr>
            <w:tcW w:w="22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165A9C">
            <w:pPr>
              <w:pStyle w:val="10"/>
              <w:bidi w:val="0"/>
              <w:jc w:val="center"/>
              <w:rPr>
                <w:rFonts w:hint="default"/>
              </w:rPr>
            </w:pPr>
            <w:r>
              <w:rPr>
                <w:rFonts w:hint="default"/>
                <w:lang w:val="en-US" w:eastAsia="zh-CN"/>
              </w:rPr>
              <w:t>0.024</w:t>
            </w:r>
          </w:p>
        </w:tc>
        <w:tc>
          <w:tcPr>
            <w:tcW w:w="2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570E1E">
            <w:pPr>
              <w:pStyle w:val="10"/>
              <w:bidi w:val="0"/>
              <w:jc w:val="center"/>
              <w:rPr>
                <w:rFonts w:hint="default"/>
              </w:rPr>
            </w:pPr>
            <w:r>
              <w:rPr>
                <w:rFonts w:hint="default"/>
                <w:lang w:val="en-US" w:eastAsia="zh-CN"/>
              </w:rPr>
              <w:t>0.027</w:t>
            </w:r>
          </w:p>
        </w:tc>
        <w:tc>
          <w:tcPr>
            <w:tcW w:w="2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8DB93E">
            <w:pPr>
              <w:pStyle w:val="10"/>
              <w:bidi w:val="0"/>
              <w:jc w:val="center"/>
              <w:rPr>
                <w:rFonts w:hint="default"/>
              </w:rPr>
            </w:pPr>
            <w:r>
              <w:rPr>
                <w:rFonts w:hint="default"/>
                <w:lang w:val="en-US" w:eastAsia="zh-CN"/>
              </w:rPr>
              <w:t>0.021</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21F4BC">
            <w:pPr>
              <w:pStyle w:val="10"/>
              <w:bidi w:val="0"/>
              <w:jc w:val="center"/>
              <w:rPr>
                <w:rFonts w:hint="default"/>
              </w:rPr>
            </w:pPr>
            <w:r>
              <w:rPr>
                <w:rFonts w:hint="default"/>
                <w:lang w:val="en-US" w:eastAsia="zh-CN"/>
              </w:rPr>
              <w:t>0.022</w:t>
            </w:r>
          </w:p>
        </w:tc>
        <w:tc>
          <w:tcPr>
            <w:tcW w:w="24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EFBE73">
            <w:pPr>
              <w:pStyle w:val="10"/>
              <w:bidi w:val="0"/>
              <w:jc w:val="center"/>
              <w:rPr>
                <w:rFonts w:hint="default"/>
              </w:rPr>
            </w:pPr>
            <w:r>
              <w:rPr>
                <w:rFonts w:hint="default"/>
                <w:lang w:val="en-US" w:eastAsia="zh-CN"/>
              </w:rPr>
              <w:t>0.028</w:t>
            </w:r>
          </w:p>
        </w:tc>
        <w:tc>
          <w:tcPr>
            <w:tcW w:w="24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19E7D1">
            <w:pPr>
              <w:pStyle w:val="10"/>
              <w:bidi w:val="0"/>
              <w:jc w:val="center"/>
              <w:rPr>
                <w:rFonts w:hint="default"/>
              </w:rPr>
            </w:pPr>
            <w:r>
              <w:rPr>
                <w:rFonts w:hint="default"/>
                <w:lang w:val="en-US" w:eastAsia="zh-CN"/>
              </w:rPr>
              <w:t>0.024</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C1F48C">
            <w:pPr>
              <w:pStyle w:val="10"/>
              <w:bidi w:val="0"/>
              <w:jc w:val="center"/>
              <w:rPr>
                <w:rFonts w:hint="default"/>
              </w:rPr>
            </w:pPr>
            <w:r>
              <w:rPr>
                <w:rFonts w:hint="default"/>
                <w:lang w:val="en-US" w:eastAsia="zh-CN"/>
              </w:rPr>
              <w:t>0.048</w:t>
            </w: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63226D">
            <w:pPr>
              <w:pStyle w:val="10"/>
              <w:bidi w:val="0"/>
              <w:jc w:val="center"/>
              <w:rPr>
                <w:rFonts w:hint="default"/>
              </w:rPr>
            </w:pPr>
            <w:r>
              <w:rPr>
                <w:rFonts w:hint="default"/>
                <w:lang w:val="en-US" w:eastAsia="zh-CN"/>
              </w:rPr>
              <w:t>0.047</w:t>
            </w:r>
          </w:p>
        </w:tc>
        <w:tc>
          <w:tcPr>
            <w:tcW w:w="2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C2EE8E">
            <w:pPr>
              <w:pStyle w:val="10"/>
              <w:bidi w:val="0"/>
              <w:jc w:val="center"/>
              <w:rPr>
                <w:rFonts w:hint="default"/>
              </w:rPr>
            </w:pPr>
            <w:r>
              <w:rPr>
                <w:rFonts w:hint="default"/>
                <w:lang w:val="en-US" w:eastAsia="zh-CN"/>
              </w:rPr>
              <w:t>0.060</w:t>
            </w:r>
          </w:p>
        </w:tc>
        <w:tc>
          <w:tcPr>
            <w:tcW w:w="29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A04710">
            <w:pPr>
              <w:pStyle w:val="10"/>
              <w:bidi w:val="0"/>
              <w:jc w:val="center"/>
              <w:rPr>
                <w:rFonts w:hint="default"/>
              </w:rPr>
            </w:pPr>
            <w:r>
              <w:rPr>
                <w:rFonts w:hint="default"/>
                <w:lang w:val="en-US" w:eastAsia="zh-CN"/>
              </w:rPr>
              <w:t>0.052</w:t>
            </w:r>
          </w:p>
        </w:tc>
        <w:tc>
          <w:tcPr>
            <w:tcW w:w="233"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AEBAB35">
            <w:pPr>
              <w:pStyle w:val="10"/>
              <w:bidi w:val="0"/>
              <w:jc w:val="center"/>
              <w:rPr>
                <w:rFonts w:hint="default"/>
              </w:rPr>
            </w:pPr>
            <w:r>
              <w:rPr>
                <w:rFonts w:hint="default"/>
                <w:lang w:val="en-US" w:eastAsia="zh-CN"/>
              </w:rPr>
              <w:t>0.032</w:t>
            </w:r>
          </w:p>
        </w:tc>
      </w:tr>
      <w:tr w14:paraId="3084A8BC">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900" w:hRule="atLeast"/>
        </w:trPr>
        <w:tc>
          <w:tcPr>
            <w:tcW w:w="360"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D8B61B0">
            <w:pPr>
              <w:pStyle w:val="10"/>
              <w:bidi w:val="0"/>
              <w:jc w:val="center"/>
              <w:rPr>
                <w:rFonts w:hint="eastAsia"/>
              </w:rPr>
            </w:pPr>
          </w:p>
        </w:tc>
        <w:tc>
          <w:tcPr>
            <w:tcW w:w="37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5F3A81">
            <w:pPr>
              <w:pStyle w:val="10"/>
              <w:bidi w:val="0"/>
              <w:jc w:val="center"/>
              <w:rPr>
                <w:rFonts w:hint="eastAsia"/>
              </w:rPr>
            </w:pPr>
            <w:r>
              <w:rPr>
                <w:rFonts w:hint="eastAsia"/>
                <w:lang w:val="en-US" w:eastAsia="zh-CN"/>
              </w:rPr>
              <w:t>超标率</w:t>
            </w:r>
          </w:p>
        </w:tc>
        <w:tc>
          <w:tcPr>
            <w:tcW w:w="22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9E86F53">
            <w:pPr>
              <w:pStyle w:val="10"/>
              <w:bidi w:val="0"/>
              <w:jc w:val="center"/>
              <w:rPr>
                <w:rFonts w:hint="eastAsia"/>
              </w:rPr>
            </w:pPr>
            <w:r>
              <w:rPr>
                <w:rFonts w:hint="eastAsia"/>
                <w:lang w:val="en-US" w:eastAsia="zh-CN"/>
              </w:rPr>
              <w:t>0</w:t>
            </w:r>
          </w:p>
        </w:tc>
        <w:tc>
          <w:tcPr>
            <w:tcW w:w="28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A1385E8">
            <w:pPr>
              <w:pStyle w:val="10"/>
              <w:bidi w:val="0"/>
              <w:jc w:val="center"/>
              <w:rPr>
                <w:rFonts w:hint="default"/>
              </w:rPr>
            </w:pPr>
            <w:r>
              <w:rPr>
                <w:rFonts w:hint="default"/>
                <w:lang w:val="en-US" w:eastAsia="zh-CN"/>
              </w:rPr>
              <w:t>0</w:t>
            </w:r>
          </w:p>
        </w:tc>
        <w:tc>
          <w:tcPr>
            <w:tcW w:w="2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9859E51">
            <w:pPr>
              <w:pStyle w:val="10"/>
              <w:bidi w:val="0"/>
              <w:jc w:val="center"/>
              <w:rPr>
                <w:rFonts w:hint="default"/>
              </w:rPr>
            </w:pPr>
            <w:r>
              <w:rPr>
                <w:rFonts w:hint="default"/>
                <w:lang w:val="en-US" w:eastAsia="zh-CN"/>
              </w:rPr>
              <w:t>0</w:t>
            </w:r>
          </w:p>
        </w:tc>
        <w:tc>
          <w:tcPr>
            <w:tcW w:w="24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5BA2B47">
            <w:pPr>
              <w:pStyle w:val="10"/>
              <w:bidi w:val="0"/>
              <w:jc w:val="center"/>
              <w:rPr>
                <w:rFonts w:hint="default"/>
              </w:rPr>
            </w:pPr>
            <w:r>
              <w:rPr>
                <w:rFonts w:hint="default"/>
                <w:lang w:val="en-US" w:eastAsia="zh-CN"/>
              </w:rPr>
              <w:t>0</w:t>
            </w:r>
          </w:p>
        </w:tc>
        <w:tc>
          <w:tcPr>
            <w:tcW w:w="25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AC865E9">
            <w:pPr>
              <w:pStyle w:val="10"/>
              <w:bidi w:val="0"/>
              <w:jc w:val="center"/>
              <w:rPr>
                <w:rFonts w:hint="default"/>
              </w:rPr>
            </w:pPr>
            <w:r>
              <w:rPr>
                <w:rFonts w:hint="default"/>
                <w:lang w:val="en-US" w:eastAsia="zh-CN"/>
              </w:rPr>
              <w:t>0</w:t>
            </w:r>
          </w:p>
        </w:tc>
        <w:tc>
          <w:tcPr>
            <w:tcW w:w="25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6025127">
            <w:pPr>
              <w:pStyle w:val="10"/>
              <w:bidi w:val="0"/>
              <w:jc w:val="center"/>
              <w:rPr>
                <w:rFonts w:hint="default"/>
              </w:rPr>
            </w:pPr>
            <w:r>
              <w:rPr>
                <w:rFonts w:hint="default"/>
                <w:lang w:val="en-US" w:eastAsia="zh-CN"/>
              </w:rPr>
              <w:t>0</w:t>
            </w:r>
          </w:p>
        </w:tc>
        <w:tc>
          <w:tcPr>
            <w:tcW w:w="22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D9751C1">
            <w:pPr>
              <w:pStyle w:val="10"/>
              <w:bidi w:val="0"/>
              <w:jc w:val="center"/>
              <w:rPr>
                <w:rFonts w:hint="default"/>
              </w:rPr>
            </w:pPr>
            <w:r>
              <w:rPr>
                <w:rFonts w:hint="default"/>
                <w:lang w:val="en-US" w:eastAsia="zh-CN"/>
              </w:rPr>
              <w:t>0</w:t>
            </w:r>
          </w:p>
        </w:tc>
        <w:tc>
          <w:tcPr>
            <w:tcW w:w="25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77E278C">
            <w:pPr>
              <w:pStyle w:val="10"/>
              <w:bidi w:val="0"/>
              <w:jc w:val="center"/>
              <w:rPr>
                <w:rFonts w:hint="default"/>
              </w:rPr>
            </w:pPr>
            <w:r>
              <w:rPr>
                <w:rFonts w:hint="default"/>
                <w:lang w:val="en-US" w:eastAsia="zh-CN"/>
              </w:rPr>
              <w:t>0</w:t>
            </w:r>
          </w:p>
        </w:tc>
        <w:tc>
          <w:tcPr>
            <w:tcW w:w="21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0BC26B">
            <w:pPr>
              <w:pStyle w:val="10"/>
              <w:bidi w:val="0"/>
              <w:jc w:val="center"/>
              <w:rPr>
                <w:rFonts w:hint="default"/>
              </w:rPr>
            </w:pPr>
            <w:r>
              <w:rPr>
                <w:rFonts w:hint="default"/>
                <w:lang w:val="en-US" w:eastAsia="zh-CN"/>
              </w:rPr>
              <w:t>0</w:t>
            </w:r>
          </w:p>
        </w:tc>
        <w:tc>
          <w:tcPr>
            <w:tcW w:w="25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B13525A">
            <w:pPr>
              <w:pStyle w:val="10"/>
              <w:bidi w:val="0"/>
              <w:jc w:val="center"/>
              <w:rPr>
                <w:rFonts w:hint="default"/>
              </w:rPr>
            </w:pPr>
            <w:r>
              <w:rPr>
                <w:rFonts w:hint="default"/>
                <w:lang w:val="en-US" w:eastAsia="zh-CN"/>
              </w:rPr>
              <w:t>0</w:t>
            </w:r>
          </w:p>
        </w:tc>
        <w:tc>
          <w:tcPr>
            <w:tcW w:w="24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F7A8600">
            <w:pPr>
              <w:pStyle w:val="10"/>
              <w:bidi w:val="0"/>
              <w:jc w:val="center"/>
              <w:rPr>
                <w:rFonts w:hint="default"/>
              </w:rPr>
            </w:pPr>
            <w:r>
              <w:rPr>
                <w:rFonts w:hint="default"/>
                <w:lang w:val="en-US" w:eastAsia="zh-CN"/>
              </w:rPr>
              <w:t>0</w:t>
            </w:r>
          </w:p>
        </w:tc>
        <w:tc>
          <w:tcPr>
            <w:tcW w:w="24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1BFF225">
            <w:pPr>
              <w:pStyle w:val="10"/>
              <w:bidi w:val="0"/>
              <w:jc w:val="center"/>
              <w:rPr>
                <w:rFonts w:hint="default"/>
              </w:rPr>
            </w:pPr>
            <w:r>
              <w:rPr>
                <w:rFonts w:hint="default"/>
                <w:lang w:val="en-US" w:eastAsia="zh-CN"/>
              </w:rPr>
              <w:t>0</w:t>
            </w:r>
          </w:p>
        </w:tc>
        <w:tc>
          <w:tcPr>
            <w:tcW w:w="25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C541D31">
            <w:pPr>
              <w:pStyle w:val="10"/>
              <w:bidi w:val="0"/>
              <w:jc w:val="center"/>
              <w:rPr>
                <w:rFonts w:hint="default"/>
              </w:rPr>
            </w:pPr>
            <w:r>
              <w:rPr>
                <w:rFonts w:hint="default"/>
                <w:lang w:val="en-US" w:eastAsia="zh-CN"/>
              </w:rPr>
              <w:t>0</w:t>
            </w:r>
          </w:p>
        </w:tc>
        <w:tc>
          <w:tcPr>
            <w:tcW w:w="26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190817F">
            <w:pPr>
              <w:pStyle w:val="10"/>
              <w:bidi w:val="0"/>
              <w:jc w:val="center"/>
              <w:rPr>
                <w:rFonts w:hint="default"/>
              </w:rPr>
            </w:pPr>
            <w:r>
              <w:rPr>
                <w:rFonts w:hint="default"/>
                <w:lang w:val="en-US" w:eastAsia="zh-CN"/>
              </w:rPr>
              <w:t>0</w:t>
            </w:r>
          </w:p>
        </w:tc>
        <w:tc>
          <w:tcPr>
            <w:tcW w:w="27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2F0D6AF">
            <w:pPr>
              <w:pStyle w:val="10"/>
              <w:bidi w:val="0"/>
              <w:jc w:val="center"/>
              <w:rPr>
                <w:rFonts w:hint="default"/>
              </w:rPr>
            </w:pPr>
            <w:r>
              <w:rPr>
                <w:rFonts w:hint="default"/>
                <w:lang w:val="en-US" w:eastAsia="zh-CN"/>
              </w:rPr>
              <w:t>0</w:t>
            </w:r>
          </w:p>
        </w:tc>
        <w:tc>
          <w:tcPr>
            <w:tcW w:w="29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4F9FFA2">
            <w:pPr>
              <w:pStyle w:val="10"/>
              <w:bidi w:val="0"/>
              <w:jc w:val="center"/>
              <w:rPr>
                <w:rFonts w:hint="default"/>
              </w:rPr>
            </w:pPr>
            <w:r>
              <w:rPr>
                <w:rFonts w:hint="default"/>
                <w:lang w:val="en-US" w:eastAsia="zh-CN"/>
              </w:rPr>
              <w:t>0</w:t>
            </w:r>
          </w:p>
        </w:tc>
        <w:tc>
          <w:tcPr>
            <w:tcW w:w="233"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0737993">
            <w:pPr>
              <w:pStyle w:val="10"/>
              <w:bidi w:val="0"/>
              <w:jc w:val="center"/>
              <w:rPr>
                <w:rFonts w:hint="default"/>
              </w:rPr>
            </w:pPr>
            <w:r>
              <w:rPr>
                <w:rFonts w:hint="default"/>
                <w:lang w:val="en-US" w:eastAsia="zh-CN"/>
              </w:rPr>
              <w:t>0</w:t>
            </w:r>
          </w:p>
        </w:tc>
      </w:tr>
    </w:tbl>
    <w:p w14:paraId="237B9ED3">
      <w:pPr>
        <w:pStyle w:val="10"/>
        <w:bidi w:val="0"/>
        <w:jc w:val="center"/>
        <w:rPr>
          <w:rFonts w:hint="eastAsia"/>
          <w:b/>
          <w:bCs/>
        </w:rPr>
      </w:pPr>
      <w:r>
        <w:rPr>
          <w:rFonts w:hint="eastAsia"/>
          <w:b/>
          <w:bCs/>
        </w:rPr>
        <w:t>2013年南雄市空气降水监测情况</w:t>
      </w:r>
    </w:p>
    <w:p w14:paraId="21A8BD0E">
      <w:pPr>
        <w:bidi w:val="0"/>
        <w:rPr>
          <w:rFonts w:hint="eastAsia"/>
          <w:lang w:val="en-US" w:eastAsia="zh-CN"/>
        </w:rPr>
      </w:pPr>
      <w:r>
        <w:rPr>
          <w:rFonts w:hint="eastAsia"/>
          <w:lang w:val="en-US" w:eastAsia="zh-CN"/>
        </w:rPr>
        <w:t>表28</w:t>
      </w:r>
    </w:p>
    <w:tbl>
      <w:tblPr>
        <w:tblStyle w:val="7"/>
        <w:tblW w:w="4995"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Layout w:type="fixed"/>
        <w:tblCellMar>
          <w:top w:w="0" w:type="dxa"/>
          <w:left w:w="0" w:type="dxa"/>
          <w:bottom w:w="0" w:type="dxa"/>
          <w:right w:w="0" w:type="dxa"/>
        </w:tblCellMar>
      </w:tblPr>
      <w:tblGrid>
        <w:gridCol w:w="559"/>
        <w:gridCol w:w="803"/>
        <w:gridCol w:w="515"/>
        <w:gridCol w:w="460"/>
        <w:gridCol w:w="482"/>
        <w:gridCol w:w="515"/>
        <w:gridCol w:w="482"/>
        <w:gridCol w:w="450"/>
        <w:gridCol w:w="482"/>
        <w:gridCol w:w="504"/>
        <w:gridCol w:w="503"/>
        <w:gridCol w:w="493"/>
        <w:gridCol w:w="471"/>
        <w:gridCol w:w="493"/>
        <w:gridCol w:w="507"/>
        <w:gridCol w:w="554"/>
        <w:gridCol w:w="493"/>
        <w:gridCol w:w="535"/>
        <w:gridCol w:w="467"/>
      </w:tblGrid>
      <w:tr w14:paraId="4D3C6F05">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615" w:hRule="atLeast"/>
        </w:trPr>
        <w:tc>
          <w:tcPr>
            <w:tcW w:w="286" w:type="pct"/>
            <w:vMerge w:val="restar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0F05DDE">
            <w:pPr>
              <w:pStyle w:val="10"/>
              <w:bidi w:val="0"/>
              <w:jc w:val="center"/>
              <w:rPr>
                <w:rFonts w:hint="eastAsia"/>
                <w:b/>
                <w:bCs/>
              </w:rPr>
            </w:pPr>
            <w:r>
              <w:rPr>
                <w:rFonts w:hint="eastAsia"/>
                <w:b/>
                <w:bCs/>
                <w:lang w:val="en-US" w:eastAsia="zh-CN"/>
              </w:rPr>
              <w:t>监测点</w:t>
            </w:r>
          </w:p>
        </w:tc>
        <w:tc>
          <w:tcPr>
            <w:tcW w:w="411"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34CDE39">
            <w:pPr>
              <w:pStyle w:val="10"/>
              <w:bidi w:val="0"/>
              <w:jc w:val="center"/>
              <w:rPr>
                <w:rFonts w:hint="default"/>
                <w:b/>
                <w:bCs/>
              </w:rPr>
            </w:pPr>
            <w:r>
              <w:rPr>
                <w:rFonts w:hint="eastAsia"/>
                <w:b/>
                <w:bCs/>
                <w:lang w:val="en-US" w:eastAsia="zh-CN"/>
              </w:rPr>
              <w:t>指标</w:t>
            </w:r>
          </w:p>
        </w:tc>
        <w:tc>
          <w:tcPr>
            <w:tcW w:w="1009" w:type="pct"/>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481EA42">
            <w:pPr>
              <w:pStyle w:val="10"/>
              <w:bidi w:val="0"/>
              <w:jc w:val="center"/>
              <w:rPr>
                <w:rFonts w:hint="eastAsia"/>
                <w:b/>
                <w:bCs/>
              </w:rPr>
            </w:pPr>
            <w:r>
              <w:rPr>
                <w:rFonts w:hint="eastAsia"/>
                <w:b/>
                <w:bCs/>
                <w:lang w:val="en-US" w:eastAsia="zh-CN"/>
              </w:rPr>
              <w:t>第一季度</w:t>
            </w:r>
          </w:p>
        </w:tc>
        <w:tc>
          <w:tcPr>
            <w:tcW w:w="981" w:type="pct"/>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53C9F5A">
            <w:pPr>
              <w:pStyle w:val="10"/>
              <w:bidi w:val="0"/>
              <w:jc w:val="center"/>
              <w:rPr>
                <w:rFonts w:hint="eastAsia"/>
                <w:b/>
                <w:bCs/>
              </w:rPr>
            </w:pPr>
            <w:r>
              <w:rPr>
                <w:rFonts w:hint="eastAsia"/>
                <w:b/>
                <w:bCs/>
                <w:lang w:val="en-US" w:eastAsia="zh-CN"/>
              </w:rPr>
              <w:t>第二季度</w:t>
            </w:r>
          </w:p>
        </w:tc>
        <w:tc>
          <w:tcPr>
            <w:tcW w:w="1003" w:type="pct"/>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A9BA3AB">
            <w:pPr>
              <w:pStyle w:val="10"/>
              <w:bidi w:val="0"/>
              <w:jc w:val="center"/>
              <w:rPr>
                <w:rFonts w:hint="eastAsia"/>
                <w:b/>
                <w:bCs/>
              </w:rPr>
            </w:pPr>
            <w:r>
              <w:rPr>
                <w:rFonts w:hint="eastAsia"/>
                <w:b/>
                <w:bCs/>
                <w:lang w:val="en-US" w:eastAsia="zh-CN"/>
              </w:rPr>
              <w:t>第三季度</w:t>
            </w:r>
          </w:p>
        </w:tc>
        <w:tc>
          <w:tcPr>
            <w:tcW w:w="1069" w:type="pct"/>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32ADB7B">
            <w:pPr>
              <w:pStyle w:val="10"/>
              <w:bidi w:val="0"/>
              <w:jc w:val="center"/>
              <w:rPr>
                <w:rFonts w:hint="eastAsia"/>
                <w:b/>
                <w:bCs/>
              </w:rPr>
            </w:pPr>
            <w:r>
              <w:rPr>
                <w:rFonts w:hint="eastAsia"/>
                <w:b/>
                <w:bCs/>
                <w:lang w:val="en-US" w:eastAsia="zh-CN"/>
              </w:rPr>
              <w:t>第四季度</w:t>
            </w:r>
          </w:p>
        </w:tc>
        <w:tc>
          <w:tcPr>
            <w:tcW w:w="23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7FB5C6F5">
            <w:pPr>
              <w:pStyle w:val="10"/>
              <w:bidi w:val="0"/>
              <w:jc w:val="center"/>
              <w:rPr>
                <w:rFonts w:hint="eastAsia"/>
                <w:b/>
                <w:bCs/>
              </w:rPr>
            </w:pPr>
            <w:r>
              <w:rPr>
                <w:rFonts w:hint="eastAsia"/>
                <w:b/>
                <w:bCs/>
                <w:lang w:val="en-US" w:eastAsia="zh-CN"/>
              </w:rPr>
              <w:t>全年</w:t>
            </w:r>
          </w:p>
        </w:tc>
      </w:tr>
      <w:tr w14:paraId="3CCE2BB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25" w:hRule="atLeast"/>
        </w:trPr>
        <w:tc>
          <w:tcPr>
            <w:tcW w:w="286"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1EF866">
            <w:pPr>
              <w:pStyle w:val="10"/>
              <w:bidi w:val="0"/>
              <w:jc w:val="center"/>
              <w:rPr>
                <w:rFonts w:hint="eastAsia"/>
                <w:b/>
                <w:bCs/>
              </w:rPr>
            </w:pPr>
          </w:p>
        </w:tc>
        <w:tc>
          <w:tcPr>
            <w:tcW w:w="411"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21FBFA0">
            <w:pPr>
              <w:pStyle w:val="10"/>
              <w:bidi w:val="0"/>
              <w:jc w:val="center"/>
              <w:rPr>
                <w:rFonts w:hint="default"/>
                <w:b/>
                <w:bCs/>
              </w:rPr>
            </w:pPr>
          </w:p>
        </w:tc>
        <w:tc>
          <w:tcPr>
            <w:tcW w:w="26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E90A581">
            <w:pPr>
              <w:pStyle w:val="10"/>
              <w:bidi w:val="0"/>
              <w:jc w:val="center"/>
              <w:rPr>
                <w:rFonts w:hint="default"/>
                <w:b/>
                <w:bCs/>
              </w:rPr>
            </w:pPr>
            <w:r>
              <w:rPr>
                <w:rFonts w:hint="default"/>
                <w:b/>
                <w:bCs/>
                <w:lang w:val="en-US" w:eastAsia="zh-CN"/>
              </w:rPr>
              <w:t>1</w:t>
            </w:r>
            <w:r>
              <w:rPr>
                <w:rFonts w:hint="eastAsia"/>
                <w:b/>
                <w:bCs/>
                <w:lang w:val="en-US" w:eastAsia="zh-CN"/>
              </w:rPr>
              <w:t>月</w:t>
            </w:r>
          </w:p>
        </w:tc>
        <w:tc>
          <w:tcPr>
            <w:tcW w:w="23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D0EFC33">
            <w:pPr>
              <w:pStyle w:val="10"/>
              <w:bidi w:val="0"/>
              <w:jc w:val="center"/>
              <w:rPr>
                <w:rFonts w:hint="default"/>
                <w:b/>
                <w:bCs/>
              </w:rPr>
            </w:pPr>
            <w:r>
              <w:rPr>
                <w:rFonts w:hint="default"/>
                <w:b/>
                <w:bCs/>
                <w:lang w:val="en-US" w:eastAsia="zh-CN"/>
              </w:rPr>
              <w:t>2</w:t>
            </w:r>
            <w:r>
              <w:rPr>
                <w:rFonts w:hint="eastAsia"/>
                <w:b/>
                <w:bCs/>
                <w:lang w:val="en-US" w:eastAsia="zh-CN"/>
              </w:rPr>
              <w:t>月</w:t>
            </w:r>
          </w:p>
        </w:tc>
        <w:tc>
          <w:tcPr>
            <w:tcW w:w="24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4D24E4A">
            <w:pPr>
              <w:pStyle w:val="10"/>
              <w:bidi w:val="0"/>
              <w:jc w:val="center"/>
              <w:rPr>
                <w:rFonts w:hint="default"/>
                <w:b/>
                <w:bCs/>
              </w:rPr>
            </w:pPr>
            <w:r>
              <w:rPr>
                <w:rFonts w:hint="default"/>
                <w:b/>
                <w:bCs/>
                <w:lang w:val="en-US" w:eastAsia="zh-CN"/>
              </w:rPr>
              <w:t>3</w:t>
            </w:r>
            <w:r>
              <w:rPr>
                <w:rFonts w:hint="eastAsia"/>
                <w:b/>
                <w:bCs/>
                <w:lang w:val="en-US" w:eastAsia="zh-CN"/>
              </w:rPr>
              <w:t>月</w:t>
            </w:r>
          </w:p>
        </w:tc>
        <w:tc>
          <w:tcPr>
            <w:tcW w:w="26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4E1D804">
            <w:pPr>
              <w:pStyle w:val="10"/>
              <w:bidi w:val="0"/>
              <w:jc w:val="center"/>
              <w:rPr>
                <w:rFonts w:hint="eastAsia"/>
                <w:b/>
                <w:bCs/>
              </w:rPr>
            </w:pPr>
            <w:r>
              <w:rPr>
                <w:rFonts w:hint="eastAsia"/>
                <w:b/>
                <w:bCs/>
                <w:lang w:val="en-US" w:eastAsia="zh-CN"/>
              </w:rPr>
              <w:t>小计</w:t>
            </w:r>
          </w:p>
        </w:tc>
        <w:tc>
          <w:tcPr>
            <w:tcW w:w="24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687B2F5">
            <w:pPr>
              <w:pStyle w:val="10"/>
              <w:bidi w:val="0"/>
              <w:jc w:val="center"/>
              <w:rPr>
                <w:rFonts w:hint="default"/>
                <w:b/>
                <w:bCs/>
              </w:rPr>
            </w:pPr>
            <w:r>
              <w:rPr>
                <w:rFonts w:hint="default"/>
                <w:b/>
                <w:bCs/>
                <w:lang w:val="en-US" w:eastAsia="zh-CN"/>
              </w:rPr>
              <w:t>4</w:t>
            </w:r>
            <w:r>
              <w:rPr>
                <w:rFonts w:hint="eastAsia"/>
                <w:b/>
                <w:bCs/>
                <w:lang w:val="en-US" w:eastAsia="zh-CN"/>
              </w:rPr>
              <w:t>月</w:t>
            </w:r>
          </w:p>
        </w:tc>
        <w:tc>
          <w:tcPr>
            <w:tcW w:w="23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9E4DAE8">
            <w:pPr>
              <w:pStyle w:val="10"/>
              <w:bidi w:val="0"/>
              <w:jc w:val="center"/>
              <w:rPr>
                <w:rFonts w:hint="default"/>
                <w:b/>
                <w:bCs/>
              </w:rPr>
            </w:pPr>
            <w:r>
              <w:rPr>
                <w:rFonts w:hint="default"/>
                <w:b/>
                <w:bCs/>
                <w:lang w:val="en-US" w:eastAsia="zh-CN"/>
              </w:rPr>
              <w:t>5</w:t>
            </w:r>
            <w:r>
              <w:rPr>
                <w:rFonts w:hint="eastAsia"/>
                <w:b/>
                <w:bCs/>
                <w:lang w:val="en-US" w:eastAsia="zh-CN"/>
              </w:rPr>
              <w:t>月</w:t>
            </w:r>
          </w:p>
        </w:tc>
        <w:tc>
          <w:tcPr>
            <w:tcW w:w="24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6563538">
            <w:pPr>
              <w:pStyle w:val="10"/>
              <w:bidi w:val="0"/>
              <w:jc w:val="center"/>
              <w:rPr>
                <w:rFonts w:hint="default"/>
                <w:b/>
                <w:bCs/>
              </w:rPr>
            </w:pPr>
            <w:r>
              <w:rPr>
                <w:rFonts w:hint="default"/>
                <w:b/>
                <w:bCs/>
                <w:lang w:val="en-US" w:eastAsia="zh-CN"/>
              </w:rPr>
              <w:t>6</w:t>
            </w:r>
            <w:r>
              <w:rPr>
                <w:rFonts w:hint="eastAsia"/>
                <w:b/>
                <w:bCs/>
                <w:lang w:val="en-US" w:eastAsia="zh-CN"/>
              </w:rPr>
              <w:t>月</w:t>
            </w:r>
          </w:p>
        </w:tc>
        <w:tc>
          <w:tcPr>
            <w:tcW w:w="25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B32381E">
            <w:pPr>
              <w:pStyle w:val="10"/>
              <w:bidi w:val="0"/>
              <w:jc w:val="center"/>
              <w:rPr>
                <w:rFonts w:hint="eastAsia"/>
                <w:b/>
                <w:bCs/>
              </w:rPr>
            </w:pPr>
            <w:r>
              <w:rPr>
                <w:rFonts w:hint="eastAsia"/>
                <w:b/>
                <w:bCs/>
                <w:lang w:val="en-US" w:eastAsia="zh-CN"/>
              </w:rPr>
              <w:t>小计</w:t>
            </w:r>
          </w:p>
        </w:tc>
        <w:tc>
          <w:tcPr>
            <w:tcW w:w="25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DC469EE">
            <w:pPr>
              <w:pStyle w:val="10"/>
              <w:bidi w:val="0"/>
              <w:jc w:val="center"/>
              <w:rPr>
                <w:rFonts w:hint="default"/>
                <w:b/>
                <w:bCs/>
              </w:rPr>
            </w:pPr>
            <w:r>
              <w:rPr>
                <w:rFonts w:hint="default"/>
                <w:b/>
                <w:bCs/>
                <w:lang w:val="en-US" w:eastAsia="zh-CN"/>
              </w:rPr>
              <w:t>7</w:t>
            </w:r>
            <w:r>
              <w:rPr>
                <w:rFonts w:hint="eastAsia"/>
                <w:b/>
                <w:bCs/>
                <w:lang w:val="en-US" w:eastAsia="zh-CN"/>
              </w:rPr>
              <w:t>月</w:t>
            </w:r>
          </w:p>
        </w:tc>
        <w:tc>
          <w:tcPr>
            <w:tcW w:w="25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99F6F64">
            <w:pPr>
              <w:pStyle w:val="10"/>
              <w:bidi w:val="0"/>
              <w:jc w:val="center"/>
              <w:rPr>
                <w:rFonts w:hint="default"/>
                <w:b/>
                <w:bCs/>
              </w:rPr>
            </w:pPr>
            <w:r>
              <w:rPr>
                <w:rFonts w:hint="default"/>
                <w:b/>
                <w:bCs/>
                <w:lang w:val="en-US" w:eastAsia="zh-CN"/>
              </w:rPr>
              <w:t>8</w:t>
            </w:r>
            <w:r>
              <w:rPr>
                <w:rFonts w:hint="eastAsia"/>
                <w:b/>
                <w:bCs/>
                <w:lang w:val="en-US" w:eastAsia="zh-CN"/>
              </w:rPr>
              <w:t>月</w:t>
            </w:r>
          </w:p>
        </w:tc>
        <w:tc>
          <w:tcPr>
            <w:tcW w:w="24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2670B2E">
            <w:pPr>
              <w:pStyle w:val="10"/>
              <w:bidi w:val="0"/>
              <w:jc w:val="center"/>
              <w:rPr>
                <w:rFonts w:hint="default"/>
                <w:b/>
                <w:bCs/>
              </w:rPr>
            </w:pPr>
            <w:r>
              <w:rPr>
                <w:rFonts w:hint="default"/>
                <w:b/>
                <w:bCs/>
                <w:lang w:val="en-US" w:eastAsia="zh-CN"/>
              </w:rPr>
              <w:t>9</w:t>
            </w:r>
            <w:r>
              <w:rPr>
                <w:rFonts w:hint="eastAsia"/>
                <w:b/>
                <w:bCs/>
                <w:lang w:val="en-US" w:eastAsia="zh-CN"/>
              </w:rPr>
              <w:t>月</w:t>
            </w:r>
          </w:p>
        </w:tc>
        <w:tc>
          <w:tcPr>
            <w:tcW w:w="25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6AB8804">
            <w:pPr>
              <w:pStyle w:val="10"/>
              <w:bidi w:val="0"/>
              <w:jc w:val="center"/>
              <w:rPr>
                <w:rFonts w:hint="eastAsia"/>
                <w:b/>
                <w:bCs/>
              </w:rPr>
            </w:pPr>
            <w:r>
              <w:rPr>
                <w:rFonts w:hint="eastAsia"/>
                <w:b/>
                <w:bCs/>
                <w:lang w:val="en-US" w:eastAsia="zh-CN"/>
              </w:rPr>
              <w:t>小计</w:t>
            </w:r>
          </w:p>
        </w:tc>
        <w:tc>
          <w:tcPr>
            <w:tcW w:w="25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7BA6FCA">
            <w:pPr>
              <w:pStyle w:val="10"/>
              <w:bidi w:val="0"/>
              <w:jc w:val="center"/>
              <w:rPr>
                <w:rFonts w:hint="default"/>
                <w:b/>
                <w:bCs/>
              </w:rPr>
            </w:pPr>
            <w:r>
              <w:rPr>
                <w:rFonts w:hint="default"/>
                <w:b/>
                <w:bCs/>
                <w:lang w:val="en-US" w:eastAsia="zh-CN"/>
              </w:rPr>
              <w:t>10</w:t>
            </w:r>
            <w:r>
              <w:rPr>
                <w:rFonts w:hint="eastAsia"/>
                <w:b/>
                <w:bCs/>
                <w:lang w:val="en-US" w:eastAsia="zh-CN"/>
              </w:rPr>
              <w:t>月</w:t>
            </w:r>
          </w:p>
        </w:tc>
        <w:tc>
          <w:tcPr>
            <w:tcW w:w="28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CDBAC6F">
            <w:pPr>
              <w:pStyle w:val="10"/>
              <w:bidi w:val="0"/>
              <w:jc w:val="center"/>
              <w:rPr>
                <w:rFonts w:hint="default"/>
                <w:b/>
                <w:bCs/>
              </w:rPr>
            </w:pPr>
            <w:r>
              <w:rPr>
                <w:rFonts w:hint="default"/>
                <w:b/>
                <w:bCs/>
                <w:lang w:val="en-US" w:eastAsia="zh-CN"/>
              </w:rPr>
              <w:t>11</w:t>
            </w:r>
            <w:r>
              <w:rPr>
                <w:rFonts w:hint="eastAsia"/>
                <w:b/>
                <w:bCs/>
                <w:lang w:val="en-US" w:eastAsia="zh-CN"/>
              </w:rPr>
              <w:t>月</w:t>
            </w:r>
          </w:p>
        </w:tc>
        <w:tc>
          <w:tcPr>
            <w:tcW w:w="25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E715F8F">
            <w:pPr>
              <w:pStyle w:val="10"/>
              <w:bidi w:val="0"/>
              <w:jc w:val="center"/>
              <w:rPr>
                <w:rFonts w:hint="default"/>
                <w:b/>
                <w:bCs/>
              </w:rPr>
            </w:pPr>
            <w:r>
              <w:rPr>
                <w:rFonts w:hint="default"/>
                <w:b/>
                <w:bCs/>
                <w:lang w:val="en-US" w:eastAsia="zh-CN"/>
              </w:rPr>
              <w:t>12</w:t>
            </w:r>
            <w:r>
              <w:rPr>
                <w:rFonts w:hint="eastAsia"/>
                <w:b/>
                <w:bCs/>
                <w:lang w:val="en-US" w:eastAsia="zh-CN"/>
              </w:rPr>
              <w:t>月</w:t>
            </w:r>
          </w:p>
        </w:tc>
        <w:tc>
          <w:tcPr>
            <w:tcW w:w="2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DC3A6C7">
            <w:pPr>
              <w:pStyle w:val="10"/>
              <w:bidi w:val="0"/>
              <w:jc w:val="center"/>
              <w:rPr>
                <w:rFonts w:hint="eastAsia"/>
                <w:b/>
                <w:bCs/>
              </w:rPr>
            </w:pPr>
            <w:r>
              <w:rPr>
                <w:rFonts w:hint="eastAsia"/>
                <w:b/>
                <w:bCs/>
                <w:lang w:val="en-US" w:eastAsia="zh-CN"/>
              </w:rPr>
              <w:t>小计</w:t>
            </w:r>
          </w:p>
        </w:tc>
        <w:tc>
          <w:tcPr>
            <w:tcW w:w="23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5A30FC8D">
            <w:pPr>
              <w:pStyle w:val="10"/>
              <w:bidi w:val="0"/>
              <w:jc w:val="center"/>
              <w:rPr>
                <w:rFonts w:hint="eastAsia"/>
                <w:b/>
                <w:bCs/>
              </w:rPr>
            </w:pPr>
            <w:r>
              <w:rPr>
                <w:rFonts w:hint="eastAsia"/>
                <w:b/>
                <w:bCs/>
                <w:lang w:val="en-US" w:eastAsia="zh-CN"/>
              </w:rPr>
              <w:t>总计</w:t>
            </w:r>
          </w:p>
        </w:tc>
      </w:tr>
      <w:tr w14:paraId="356FC3A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870" w:hRule="atLeast"/>
        </w:trPr>
        <w:tc>
          <w:tcPr>
            <w:tcW w:w="286" w:type="pct"/>
            <w:vMerge w:val="restar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A7B0596">
            <w:pPr>
              <w:pStyle w:val="10"/>
              <w:bidi w:val="0"/>
              <w:jc w:val="center"/>
              <w:rPr>
                <w:rFonts w:hint="eastAsia"/>
              </w:rPr>
            </w:pPr>
            <w:r>
              <w:rPr>
                <w:rFonts w:hint="eastAsia"/>
                <w:lang w:val="en-US" w:eastAsia="zh-CN"/>
              </w:rPr>
              <w:t>监测站大楼</w:t>
            </w:r>
          </w:p>
        </w:tc>
        <w:tc>
          <w:tcPr>
            <w:tcW w:w="41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2C1ACAE">
            <w:pPr>
              <w:pStyle w:val="10"/>
              <w:bidi w:val="0"/>
              <w:jc w:val="center"/>
              <w:rPr>
                <w:rFonts w:hint="eastAsia"/>
              </w:rPr>
            </w:pPr>
            <w:r>
              <w:rPr>
                <w:rFonts w:hint="eastAsia"/>
                <w:lang w:val="en-US" w:eastAsia="zh-CN"/>
              </w:rPr>
              <w:t>日均值样品数</w:t>
            </w:r>
          </w:p>
        </w:tc>
        <w:tc>
          <w:tcPr>
            <w:tcW w:w="26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A63E76">
            <w:pPr>
              <w:pStyle w:val="10"/>
              <w:bidi w:val="0"/>
              <w:jc w:val="center"/>
              <w:rPr>
                <w:rFonts w:hint="default"/>
              </w:rPr>
            </w:pPr>
            <w:r>
              <w:rPr>
                <w:rFonts w:hint="default"/>
                <w:lang w:val="en-US" w:eastAsia="zh-CN"/>
              </w:rPr>
              <w:t>1</w:t>
            </w:r>
          </w:p>
        </w:tc>
        <w:tc>
          <w:tcPr>
            <w:tcW w:w="2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4C5640">
            <w:pPr>
              <w:pStyle w:val="10"/>
              <w:bidi w:val="0"/>
              <w:jc w:val="center"/>
              <w:rPr>
                <w:rFonts w:hint="default"/>
              </w:rPr>
            </w:pPr>
            <w:r>
              <w:rPr>
                <w:rFonts w:hint="default"/>
                <w:lang w:val="en-US" w:eastAsia="zh-CN"/>
              </w:rPr>
              <w:t>1</w:t>
            </w:r>
          </w:p>
        </w:tc>
        <w:tc>
          <w:tcPr>
            <w:tcW w:w="24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B8EFC4">
            <w:pPr>
              <w:pStyle w:val="10"/>
              <w:bidi w:val="0"/>
              <w:jc w:val="center"/>
              <w:rPr>
                <w:rFonts w:hint="default"/>
              </w:rPr>
            </w:pPr>
            <w:r>
              <w:rPr>
                <w:rFonts w:hint="default"/>
                <w:lang w:val="en-US" w:eastAsia="zh-CN"/>
              </w:rPr>
              <w:t>9</w:t>
            </w:r>
          </w:p>
        </w:tc>
        <w:tc>
          <w:tcPr>
            <w:tcW w:w="26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BA307E">
            <w:pPr>
              <w:pStyle w:val="10"/>
              <w:bidi w:val="0"/>
              <w:jc w:val="center"/>
              <w:rPr>
                <w:rFonts w:hint="default"/>
              </w:rPr>
            </w:pPr>
            <w:r>
              <w:rPr>
                <w:rFonts w:hint="default"/>
                <w:lang w:val="en-US" w:eastAsia="zh-CN"/>
              </w:rPr>
              <w:t>11</w:t>
            </w:r>
          </w:p>
        </w:tc>
        <w:tc>
          <w:tcPr>
            <w:tcW w:w="24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A537B8">
            <w:pPr>
              <w:pStyle w:val="10"/>
              <w:bidi w:val="0"/>
              <w:jc w:val="center"/>
              <w:rPr>
                <w:rFonts w:hint="default"/>
              </w:rPr>
            </w:pPr>
            <w:r>
              <w:rPr>
                <w:rFonts w:hint="default"/>
                <w:lang w:val="en-US" w:eastAsia="zh-CN"/>
              </w:rPr>
              <w:t>11</w:t>
            </w:r>
          </w:p>
        </w:tc>
        <w:tc>
          <w:tcPr>
            <w:tcW w:w="23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8FA13A">
            <w:pPr>
              <w:pStyle w:val="10"/>
              <w:bidi w:val="0"/>
              <w:jc w:val="center"/>
              <w:rPr>
                <w:rFonts w:hint="default"/>
              </w:rPr>
            </w:pPr>
            <w:r>
              <w:rPr>
                <w:rFonts w:hint="default"/>
                <w:lang w:val="en-US" w:eastAsia="zh-CN"/>
              </w:rPr>
              <w:t>12</w:t>
            </w:r>
          </w:p>
        </w:tc>
        <w:tc>
          <w:tcPr>
            <w:tcW w:w="24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184F07">
            <w:pPr>
              <w:pStyle w:val="10"/>
              <w:bidi w:val="0"/>
              <w:jc w:val="center"/>
              <w:rPr>
                <w:rFonts w:hint="default"/>
              </w:rPr>
            </w:pPr>
            <w:r>
              <w:rPr>
                <w:rFonts w:hint="default"/>
                <w:lang w:val="en-US" w:eastAsia="zh-CN"/>
              </w:rPr>
              <w:t>9</w:t>
            </w:r>
          </w:p>
        </w:tc>
        <w:tc>
          <w:tcPr>
            <w:tcW w:w="2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92E755">
            <w:pPr>
              <w:pStyle w:val="10"/>
              <w:bidi w:val="0"/>
              <w:jc w:val="center"/>
              <w:rPr>
                <w:rFonts w:hint="default"/>
              </w:rPr>
            </w:pPr>
            <w:r>
              <w:rPr>
                <w:rFonts w:hint="default"/>
                <w:lang w:val="en-US" w:eastAsia="zh-CN"/>
              </w:rPr>
              <w:t>32</w:t>
            </w:r>
          </w:p>
        </w:tc>
        <w:tc>
          <w:tcPr>
            <w:tcW w:w="2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8422F8">
            <w:pPr>
              <w:pStyle w:val="10"/>
              <w:bidi w:val="0"/>
              <w:jc w:val="center"/>
              <w:rPr>
                <w:rFonts w:hint="default"/>
              </w:rPr>
            </w:pPr>
            <w:r>
              <w:rPr>
                <w:rFonts w:hint="default"/>
                <w:lang w:val="en-US" w:eastAsia="zh-CN"/>
              </w:rPr>
              <w:t>4</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4E271C">
            <w:pPr>
              <w:pStyle w:val="10"/>
              <w:bidi w:val="0"/>
              <w:jc w:val="center"/>
              <w:rPr>
                <w:rFonts w:hint="default"/>
              </w:rPr>
            </w:pPr>
            <w:r>
              <w:rPr>
                <w:rFonts w:hint="default"/>
                <w:lang w:val="en-US" w:eastAsia="zh-CN"/>
              </w:rPr>
              <w:t>7</w:t>
            </w:r>
          </w:p>
        </w:tc>
        <w:tc>
          <w:tcPr>
            <w:tcW w:w="24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36B926A">
            <w:pPr>
              <w:pStyle w:val="10"/>
              <w:bidi w:val="0"/>
              <w:jc w:val="center"/>
              <w:rPr>
                <w:rFonts w:hint="default"/>
              </w:rPr>
            </w:pPr>
            <w:r>
              <w:rPr>
                <w:rFonts w:hint="default"/>
                <w:lang w:val="en-US" w:eastAsia="zh-CN"/>
              </w:rPr>
              <w:t>7</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2E010D">
            <w:pPr>
              <w:pStyle w:val="10"/>
              <w:bidi w:val="0"/>
              <w:jc w:val="center"/>
              <w:rPr>
                <w:rFonts w:hint="default"/>
              </w:rPr>
            </w:pPr>
            <w:r>
              <w:rPr>
                <w:rFonts w:hint="default"/>
                <w:lang w:val="en-US" w:eastAsia="zh-CN"/>
              </w:rPr>
              <w:t>18</w:t>
            </w:r>
          </w:p>
        </w:tc>
        <w:tc>
          <w:tcPr>
            <w:tcW w:w="25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8990582">
            <w:pPr>
              <w:pStyle w:val="10"/>
              <w:bidi w:val="0"/>
              <w:jc w:val="center"/>
              <w:rPr>
                <w:rFonts w:hint="eastAsia"/>
              </w:rPr>
            </w:pPr>
            <w:r>
              <w:rPr>
                <w:rFonts w:hint="eastAsia"/>
                <w:lang w:val="en-US" w:eastAsia="zh-CN"/>
              </w:rPr>
              <w:t>0</w:t>
            </w:r>
          </w:p>
        </w:tc>
        <w:tc>
          <w:tcPr>
            <w:tcW w:w="2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2AD09B">
            <w:pPr>
              <w:pStyle w:val="10"/>
              <w:bidi w:val="0"/>
              <w:jc w:val="center"/>
              <w:rPr>
                <w:rFonts w:hint="default"/>
              </w:rPr>
            </w:pPr>
            <w:r>
              <w:rPr>
                <w:rFonts w:hint="default"/>
                <w:lang w:val="en-US" w:eastAsia="zh-CN"/>
              </w:rPr>
              <w:t>1</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F7A15C">
            <w:pPr>
              <w:pStyle w:val="10"/>
              <w:bidi w:val="0"/>
              <w:jc w:val="center"/>
              <w:rPr>
                <w:rFonts w:hint="default"/>
              </w:rPr>
            </w:pPr>
            <w:r>
              <w:rPr>
                <w:rFonts w:hint="default"/>
                <w:lang w:val="en-US" w:eastAsia="zh-CN"/>
              </w:rPr>
              <w:t>3</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DA64D1">
            <w:pPr>
              <w:pStyle w:val="10"/>
              <w:bidi w:val="0"/>
              <w:jc w:val="center"/>
              <w:rPr>
                <w:rFonts w:hint="default"/>
              </w:rPr>
            </w:pPr>
            <w:r>
              <w:rPr>
                <w:rFonts w:hint="default"/>
                <w:lang w:val="en-US" w:eastAsia="zh-CN"/>
              </w:rPr>
              <w:t>4</w:t>
            </w:r>
          </w:p>
        </w:tc>
        <w:tc>
          <w:tcPr>
            <w:tcW w:w="239"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74F18BF">
            <w:pPr>
              <w:pStyle w:val="10"/>
              <w:bidi w:val="0"/>
              <w:jc w:val="center"/>
              <w:rPr>
                <w:rFonts w:hint="default"/>
              </w:rPr>
            </w:pPr>
            <w:r>
              <w:rPr>
                <w:rFonts w:hint="default"/>
                <w:lang w:val="en-US" w:eastAsia="zh-CN"/>
              </w:rPr>
              <w:t>65</w:t>
            </w:r>
          </w:p>
        </w:tc>
      </w:tr>
      <w:tr w14:paraId="5134FB6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30" w:hRule="atLeast"/>
        </w:trPr>
        <w:tc>
          <w:tcPr>
            <w:tcW w:w="286"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733BB77">
            <w:pPr>
              <w:pStyle w:val="10"/>
              <w:bidi w:val="0"/>
              <w:jc w:val="center"/>
              <w:rPr>
                <w:rFonts w:hint="eastAsia"/>
              </w:rPr>
            </w:pPr>
          </w:p>
        </w:tc>
        <w:tc>
          <w:tcPr>
            <w:tcW w:w="41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D1D2F98">
            <w:pPr>
              <w:pStyle w:val="10"/>
              <w:bidi w:val="0"/>
              <w:jc w:val="center"/>
              <w:rPr>
                <w:rFonts w:hint="default"/>
              </w:rPr>
            </w:pPr>
            <w:r>
              <w:rPr>
                <w:lang w:val="en-US" w:eastAsia="zh-CN"/>
              </w:rPr>
              <w:t>pH</w:t>
            </w:r>
            <w:r>
              <w:rPr>
                <w:rFonts w:hint="eastAsia"/>
                <w:lang w:val="en-US" w:eastAsia="zh-CN"/>
              </w:rPr>
              <w:t>值最大值</w:t>
            </w:r>
          </w:p>
        </w:tc>
        <w:tc>
          <w:tcPr>
            <w:tcW w:w="26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4C3DF2">
            <w:pPr>
              <w:pStyle w:val="10"/>
              <w:bidi w:val="0"/>
              <w:jc w:val="center"/>
              <w:rPr>
                <w:rFonts w:hint="default"/>
              </w:rPr>
            </w:pPr>
            <w:r>
              <w:rPr>
                <w:rFonts w:hint="default"/>
                <w:lang w:val="en-US" w:eastAsia="zh-CN"/>
              </w:rPr>
              <w:t>4.91</w:t>
            </w:r>
          </w:p>
        </w:tc>
        <w:tc>
          <w:tcPr>
            <w:tcW w:w="2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705C8D">
            <w:pPr>
              <w:pStyle w:val="10"/>
              <w:bidi w:val="0"/>
              <w:jc w:val="center"/>
              <w:rPr>
                <w:rFonts w:hint="default"/>
              </w:rPr>
            </w:pPr>
            <w:r>
              <w:rPr>
                <w:rFonts w:hint="default"/>
                <w:lang w:val="en-US" w:eastAsia="zh-CN"/>
              </w:rPr>
              <w:t>4.93</w:t>
            </w:r>
          </w:p>
        </w:tc>
        <w:tc>
          <w:tcPr>
            <w:tcW w:w="24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709DB5">
            <w:pPr>
              <w:pStyle w:val="10"/>
              <w:bidi w:val="0"/>
              <w:jc w:val="center"/>
              <w:rPr>
                <w:rFonts w:hint="default"/>
              </w:rPr>
            </w:pPr>
            <w:r>
              <w:rPr>
                <w:rFonts w:hint="default"/>
                <w:lang w:val="en-US" w:eastAsia="zh-CN"/>
              </w:rPr>
              <w:t>4.87</w:t>
            </w:r>
          </w:p>
        </w:tc>
        <w:tc>
          <w:tcPr>
            <w:tcW w:w="26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6F0A5B">
            <w:pPr>
              <w:pStyle w:val="10"/>
              <w:bidi w:val="0"/>
              <w:jc w:val="center"/>
              <w:rPr>
                <w:rFonts w:hint="default"/>
              </w:rPr>
            </w:pPr>
            <w:r>
              <w:rPr>
                <w:rFonts w:hint="default"/>
                <w:lang w:val="en-US" w:eastAsia="zh-CN"/>
              </w:rPr>
              <w:t>4.93</w:t>
            </w:r>
          </w:p>
        </w:tc>
        <w:tc>
          <w:tcPr>
            <w:tcW w:w="24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B4071FA">
            <w:pPr>
              <w:pStyle w:val="10"/>
              <w:bidi w:val="0"/>
              <w:jc w:val="center"/>
              <w:rPr>
                <w:rFonts w:hint="default"/>
              </w:rPr>
            </w:pPr>
            <w:r>
              <w:rPr>
                <w:rFonts w:hint="default"/>
                <w:lang w:val="en-US" w:eastAsia="zh-CN"/>
              </w:rPr>
              <w:t>5.25</w:t>
            </w:r>
          </w:p>
        </w:tc>
        <w:tc>
          <w:tcPr>
            <w:tcW w:w="23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357346">
            <w:pPr>
              <w:pStyle w:val="10"/>
              <w:bidi w:val="0"/>
              <w:jc w:val="center"/>
              <w:rPr>
                <w:rFonts w:hint="default"/>
              </w:rPr>
            </w:pPr>
            <w:r>
              <w:rPr>
                <w:rFonts w:hint="default"/>
                <w:lang w:val="en-US" w:eastAsia="zh-CN"/>
              </w:rPr>
              <w:t>6.21</w:t>
            </w:r>
          </w:p>
        </w:tc>
        <w:tc>
          <w:tcPr>
            <w:tcW w:w="24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455B72B">
            <w:pPr>
              <w:pStyle w:val="10"/>
              <w:bidi w:val="0"/>
              <w:jc w:val="center"/>
              <w:rPr>
                <w:rFonts w:hint="default"/>
              </w:rPr>
            </w:pPr>
            <w:r>
              <w:rPr>
                <w:rFonts w:hint="default"/>
                <w:lang w:val="en-US" w:eastAsia="zh-CN"/>
              </w:rPr>
              <w:t>5.38</w:t>
            </w:r>
          </w:p>
        </w:tc>
        <w:tc>
          <w:tcPr>
            <w:tcW w:w="2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621D9A">
            <w:pPr>
              <w:pStyle w:val="10"/>
              <w:bidi w:val="0"/>
              <w:jc w:val="center"/>
              <w:rPr>
                <w:rFonts w:hint="default"/>
              </w:rPr>
            </w:pPr>
            <w:r>
              <w:rPr>
                <w:rFonts w:hint="default"/>
                <w:lang w:val="en-US" w:eastAsia="zh-CN"/>
              </w:rPr>
              <w:t>5.61</w:t>
            </w:r>
          </w:p>
        </w:tc>
        <w:tc>
          <w:tcPr>
            <w:tcW w:w="2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9464F7">
            <w:pPr>
              <w:pStyle w:val="10"/>
              <w:bidi w:val="0"/>
              <w:jc w:val="center"/>
              <w:rPr>
                <w:rFonts w:hint="default"/>
              </w:rPr>
            </w:pPr>
            <w:r>
              <w:rPr>
                <w:rFonts w:hint="default"/>
                <w:lang w:val="en-US" w:eastAsia="zh-CN"/>
              </w:rPr>
              <w:t>5.98</w:t>
            </w:r>
          </w:p>
        </w:tc>
        <w:tc>
          <w:tcPr>
            <w:tcW w:w="25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E630B45">
            <w:pPr>
              <w:pStyle w:val="10"/>
              <w:bidi w:val="0"/>
              <w:jc w:val="center"/>
              <w:rPr>
                <w:rFonts w:hint="default"/>
              </w:rPr>
            </w:pPr>
            <w:r>
              <w:rPr>
                <w:rFonts w:hint="default"/>
                <w:lang w:val="en-US" w:eastAsia="zh-CN"/>
              </w:rPr>
              <w:t>5.73</w:t>
            </w:r>
          </w:p>
        </w:tc>
        <w:tc>
          <w:tcPr>
            <w:tcW w:w="24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44B751">
            <w:pPr>
              <w:pStyle w:val="10"/>
              <w:bidi w:val="0"/>
              <w:jc w:val="center"/>
              <w:rPr>
                <w:rFonts w:hint="default"/>
              </w:rPr>
            </w:pPr>
            <w:r>
              <w:rPr>
                <w:rFonts w:hint="default"/>
                <w:lang w:val="en-US" w:eastAsia="zh-CN"/>
              </w:rPr>
              <w:t>5.22</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C6D4C7">
            <w:pPr>
              <w:pStyle w:val="10"/>
              <w:bidi w:val="0"/>
              <w:jc w:val="center"/>
              <w:rPr>
                <w:rFonts w:hint="default"/>
              </w:rPr>
            </w:pPr>
            <w:r>
              <w:rPr>
                <w:rFonts w:hint="default"/>
                <w:lang w:val="en-US" w:eastAsia="zh-CN"/>
              </w:rPr>
              <w:t>5.98</w:t>
            </w:r>
          </w:p>
        </w:tc>
        <w:tc>
          <w:tcPr>
            <w:tcW w:w="25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DE9C243">
            <w:pPr>
              <w:pStyle w:val="10"/>
              <w:bidi w:val="0"/>
              <w:jc w:val="center"/>
              <w:rPr>
                <w:rFonts w:hint="default"/>
              </w:rPr>
            </w:pPr>
            <w:r>
              <w:rPr>
                <w:rFonts w:hint="default"/>
                <w:lang w:val="en-US" w:eastAsia="zh-CN"/>
              </w:rPr>
              <w:t>—</w:t>
            </w:r>
          </w:p>
        </w:tc>
        <w:tc>
          <w:tcPr>
            <w:tcW w:w="2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E5C0D6">
            <w:pPr>
              <w:pStyle w:val="10"/>
              <w:bidi w:val="0"/>
              <w:jc w:val="center"/>
              <w:rPr>
                <w:rFonts w:hint="default"/>
              </w:rPr>
            </w:pPr>
            <w:r>
              <w:rPr>
                <w:rFonts w:hint="default"/>
                <w:lang w:val="en-US" w:eastAsia="zh-CN"/>
              </w:rPr>
              <w:t>4.91</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6AFCFB">
            <w:pPr>
              <w:pStyle w:val="10"/>
              <w:bidi w:val="0"/>
              <w:jc w:val="center"/>
              <w:rPr>
                <w:rFonts w:hint="default"/>
              </w:rPr>
            </w:pPr>
            <w:r>
              <w:rPr>
                <w:rFonts w:hint="default"/>
                <w:lang w:val="en-US" w:eastAsia="zh-CN"/>
              </w:rPr>
              <w:t>5.42</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9DD506">
            <w:pPr>
              <w:pStyle w:val="10"/>
              <w:bidi w:val="0"/>
              <w:jc w:val="center"/>
              <w:rPr>
                <w:rFonts w:hint="default"/>
              </w:rPr>
            </w:pPr>
            <w:r>
              <w:rPr>
                <w:rFonts w:hint="default"/>
                <w:lang w:val="en-US" w:eastAsia="zh-CN"/>
              </w:rPr>
              <w:t>5.42</w:t>
            </w:r>
          </w:p>
        </w:tc>
        <w:tc>
          <w:tcPr>
            <w:tcW w:w="239"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9E85AEF">
            <w:pPr>
              <w:pStyle w:val="10"/>
              <w:bidi w:val="0"/>
              <w:jc w:val="center"/>
              <w:rPr>
                <w:rFonts w:hint="default"/>
              </w:rPr>
            </w:pPr>
            <w:r>
              <w:rPr>
                <w:rFonts w:hint="default"/>
                <w:lang w:val="en-US" w:eastAsia="zh-CN"/>
              </w:rPr>
              <w:t>6.21</w:t>
            </w:r>
          </w:p>
        </w:tc>
      </w:tr>
      <w:tr w14:paraId="1B7CA21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95" w:hRule="atLeast"/>
        </w:trPr>
        <w:tc>
          <w:tcPr>
            <w:tcW w:w="286"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6047AC0">
            <w:pPr>
              <w:pStyle w:val="10"/>
              <w:bidi w:val="0"/>
              <w:jc w:val="center"/>
              <w:rPr>
                <w:rFonts w:hint="eastAsia"/>
              </w:rPr>
            </w:pPr>
          </w:p>
        </w:tc>
        <w:tc>
          <w:tcPr>
            <w:tcW w:w="41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D760ACE">
            <w:pPr>
              <w:pStyle w:val="10"/>
              <w:bidi w:val="0"/>
              <w:jc w:val="center"/>
              <w:rPr>
                <w:rFonts w:hint="default"/>
              </w:rPr>
            </w:pPr>
            <w:r>
              <w:rPr>
                <w:lang w:val="en-US" w:eastAsia="zh-CN"/>
              </w:rPr>
              <w:t>pH</w:t>
            </w:r>
            <w:r>
              <w:rPr>
                <w:rFonts w:hint="eastAsia"/>
                <w:lang w:val="en-US" w:eastAsia="zh-CN"/>
              </w:rPr>
              <w:t>值最小值</w:t>
            </w:r>
          </w:p>
        </w:tc>
        <w:tc>
          <w:tcPr>
            <w:tcW w:w="26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3EFB1A">
            <w:pPr>
              <w:pStyle w:val="10"/>
              <w:bidi w:val="0"/>
              <w:jc w:val="center"/>
              <w:rPr>
                <w:rFonts w:hint="default"/>
              </w:rPr>
            </w:pPr>
            <w:r>
              <w:rPr>
                <w:rFonts w:hint="default"/>
                <w:lang w:val="en-US" w:eastAsia="zh-CN"/>
              </w:rPr>
              <w:t>4.91</w:t>
            </w:r>
          </w:p>
        </w:tc>
        <w:tc>
          <w:tcPr>
            <w:tcW w:w="2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F3D178">
            <w:pPr>
              <w:pStyle w:val="10"/>
              <w:bidi w:val="0"/>
              <w:jc w:val="center"/>
              <w:rPr>
                <w:rFonts w:hint="default"/>
              </w:rPr>
            </w:pPr>
            <w:r>
              <w:rPr>
                <w:rFonts w:hint="default"/>
                <w:lang w:val="en-US" w:eastAsia="zh-CN"/>
              </w:rPr>
              <w:t>4.93</w:t>
            </w:r>
          </w:p>
        </w:tc>
        <w:tc>
          <w:tcPr>
            <w:tcW w:w="24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5A4ADC">
            <w:pPr>
              <w:pStyle w:val="10"/>
              <w:bidi w:val="0"/>
              <w:jc w:val="center"/>
              <w:rPr>
                <w:rFonts w:hint="default"/>
              </w:rPr>
            </w:pPr>
            <w:r>
              <w:rPr>
                <w:rFonts w:hint="default"/>
                <w:lang w:val="en-US" w:eastAsia="zh-CN"/>
              </w:rPr>
              <w:t>4.34</w:t>
            </w:r>
          </w:p>
        </w:tc>
        <w:tc>
          <w:tcPr>
            <w:tcW w:w="26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1861E6">
            <w:pPr>
              <w:pStyle w:val="10"/>
              <w:bidi w:val="0"/>
              <w:jc w:val="center"/>
              <w:rPr>
                <w:rFonts w:hint="default"/>
              </w:rPr>
            </w:pPr>
            <w:r>
              <w:rPr>
                <w:rFonts w:hint="default"/>
                <w:lang w:val="en-US" w:eastAsia="zh-CN"/>
              </w:rPr>
              <w:t>4.34</w:t>
            </w:r>
          </w:p>
        </w:tc>
        <w:tc>
          <w:tcPr>
            <w:tcW w:w="24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1B3671">
            <w:pPr>
              <w:pStyle w:val="10"/>
              <w:bidi w:val="0"/>
              <w:jc w:val="center"/>
              <w:rPr>
                <w:rFonts w:hint="default"/>
              </w:rPr>
            </w:pPr>
            <w:r>
              <w:rPr>
                <w:rFonts w:hint="default"/>
                <w:lang w:val="en-US" w:eastAsia="zh-CN"/>
              </w:rPr>
              <w:t>4.52</w:t>
            </w:r>
          </w:p>
        </w:tc>
        <w:tc>
          <w:tcPr>
            <w:tcW w:w="23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496F26">
            <w:pPr>
              <w:pStyle w:val="10"/>
              <w:bidi w:val="0"/>
              <w:jc w:val="center"/>
              <w:rPr>
                <w:rFonts w:hint="default"/>
              </w:rPr>
            </w:pPr>
            <w:r>
              <w:rPr>
                <w:rFonts w:hint="default"/>
                <w:lang w:val="en-US" w:eastAsia="zh-CN"/>
              </w:rPr>
              <w:t>4.68</w:t>
            </w:r>
          </w:p>
        </w:tc>
        <w:tc>
          <w:tcPr>
            <w:tcW w:w="24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50433A2">
            <w:pPr>
              <w:pStyle w:val="10"/>
              <w:bidi w:val="0"/>
              <w:jc w:val="center"/>
              <w:rPr>
                <w:rFonts w:hint="default"/>
              </w:rPr>
            </w:pPr>
            <w:r>
              <w:rPr>
                <w:rFonts w:hint="default"/>
                <w:lang w:val="en-US" w:eastAsia="zh-CN"/>
              </w:rPr>
              <w:t>4.72</w:t>
            </w:r>
          </w:p>
        </w:tc>
        <w:tc>
          <w:tcPr>
            <w:tcW w:w="2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79ACF4">
            <w:pPr>
              <w:pStyle w:val="10"/>
              <w:bidi w:val="0"/>
              <w:jc w:val="center"/>
              <w:rPr>
                <w:rFonts w:hint="default"/>
              </w:rPr>
            </w:pPr>
            <w:r>
              <w:rPr>
                <w:rFonts w:hint="default"/>
                <w:lang w:val="en-US" w:eastAsia="zh-CN"/>
              </w:rPr>
              <w:t>4.64</w:t>
            </w:r>
          </w:p>
        </w:tc>
        <w:tc>
          <w:tcPr>
            <w:tcW w:w="2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C87615">
            <w:pPr>
              <w:pStyle w:val="10"/>
              <w:bidi w:val="0"/>
              <w:jc w:val="center"/>
              <w:rPr>
                <w:rFonts w:hint="default"/>
              </w:rPr>
            </w:pPr>
            <w:r>
              <w:rPr>
                <w:rFonts w:hint="default"/>
                <w:lang w:val="en-US" w:eastAsia="zh-CN"/>
              </w:rPr>
              <w:t>5.65</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22D971">
            <w:pPr>
              <w:pStyle w:val="10"/>
              <w:bidi w:val="0"/>
              <w:jc w:val="center"/>
              <w:rPr>
                <w:rFonts w:hint="default"/>
              </w:rPr>
            </w:pPr>
            <w:r>
              <w:rPr>
                <w:rFonts w:hint="default"/>
                <w:lang w:val="en-US" w:eastAsia="zh-CN"/>
              </w:rPr>
              <w:t>4.9</w:t>
            </w:r>
          </w:p>
        </w:tc>
        <w:tc>
          <w:tcPr>
            <w:tcW w:w="24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1DC9F6">
            <w:pPr>
              <w:pStyle w:val="10"/>
              <w:bidi w:val="0"/>
              <w:jc w:val="center"/>
              <w:rPr>
                <w:rFonts w:hint="default"/>
              </w:rPr>
            </w:pPr>
            <w:r>
              <w:rPr>
                <w:rFonts w:hint="default"/>
                <w:lang w:val="en-US" w:eastAsia="zh-CN"/>
              </w:rPr>
              <w:t>4.86</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6159D1">
            <w:pPr>
              <w:pStyle w:val="10"/>
              <w:bidi w:val="0"/>
              <w:jc w:val="center"/>
              <w:rPr>
                <w:rFonts w:hint="default"/>
              </w:rPr>
            </w:pPr>
            <w:r>
              <w:rPr>
                <w:rFonts w:hint="default"/>
                <w:lang w:val="en-US" w:eastAsia="zh-CN"/>
              </w:rPr>
              <w:t>4.86</w:t>
            </w:r>
          </w:p>
        </w:tc>
        <w:tc>
          <w:tcPr>
            <w:tcW w:w="25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F5AC7ED">
            <w:pPr>
              <w:pStyle w:val="10"/>
              <w:bidi w:val="0"/>
              <w:jc w:val="center"/>
              <w:rPr>
                <w:rFonts w:hint="default"/>
              </w:rPr>
            </w:pPr>
            <w:r>
              <w:rPr>
                <w:rFonts w:hint="default"/>
                <w:lang w:val="en-US" w:eastAsia="zh-CN"/>
              </w:rPr>
              <w:t>—</w:t>
            </w:r>
          </w:p>
        </w:tc>
        <w:tc>
          <w:tcPr>
            <w:tcW w:w="2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91D28F">
            <w:pPr>
              <w:pStyle w:val="10"/>
              <w:bidi w:val="0"/>
              <w:jc w:val="center"/>
              <w:rPr>
                <w:rFonts w:hint="default"/>
              </w:rPr>
            </w:pPr>
            <w:r>
              <w:rPr>
                <w:rFonts w:hint="default"/>
                <w:lang w:val="en-US" w:eastAsia="zh-CN"/>
              </w:rPr>
              <w:t>4.91</w:t>
            </w:r>
          </w:p>
        </w:tc>
        <w:tc>
          <w:tcPr>
            <w:tcW w:w="25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7AFC8D6">
            <w:pPr>
              <w:pStyle w:val="10"/>
              <w:bidi w:val="0"/>
              <w:jc w:val="center"/>
              <w:rPr>
                <w:rFonts w:hint="default"/>
              </w:rPr>
            </w:pPr>
            <w:r>
              <w:rPr>
                <w:rFonts w:hint="default"/>
                <w:lang w:val="en-US" w:eastAsia="zh-CN"/>
              </w:rPr>
              <w:t>5.12</w:t>
            </w:r>
          </w:p>
        </w:tc>
        <w:tc>
          <w:tcPr>
            <w:tcW w:w="2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B4A0829">
            <w:pPr>
              <w:pStyle w:val="10"/>
              <w:bidi w:val="0"/>
              <w:jc w:val="center"/>
              <w:rPr>
                <w:rFonts w:hint="default"/>
              </w:rPr>
            </w:pPr>
            <w:r>
              <w:rPr>
                <w:rFonts w:hint="default"/>
                <w:lang w:val="en-US" w:eastAsia="zh-CN"/>
              </w:rPr>
              <w:t>4.91</w:t>
            </w:r>
          </w:p>
        </w:tc>
        <w:tc>
          <w:tcPr>
            <w:tcW w:w="239"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D32283D">
            <w:pPr>
              <w:pStyle w:val="10"/>
              <w:bidi w:val="0"/>
              <w:jc w:val="center"/>
              <w:rPr>
                <w:rFonts w:hint="default"/>
              </w:rPr>
            </w:pPr>
            <w:r>
              <w:rPr>
                <w:rFonts w:hint="default"/>
                <w:lang w:val="en-US" w:eastAsia="zh-CN"/>
              </w:rPr>
              <w:t>4.34</w:t>
            </w:r>
          </w:p>
        </w:tc>
      </w:tr>
      <w:tr w14:paraId="0940F35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1440" w:hRule="atLeast"/>
        </w:trPr>
        <w:tc>
          <w:tcPr>
            <w:tcW w:w="286"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827DBD7">
            <w:pPr>
              <w:pStyle w:val="10"/>
              <w:bidi w:val="0"/>
              <w:jc w:val="center"/>
              <w:rPr>
                <w:rFonts w:hint="eastAsia"/>
              </w:rPr>
            </w:pPr>
          </w:p>
        </w:tc>
        <w:tc>
          <w:tcPr>
            <w:tcW w:w="41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A9AF9FC">
            <w:pPr>
              <w:pStyle w:val="10"/>
              <w:bidi w:val="0"/>
              <w:jc w:val="center"/>
              <w:rPr>
                <w:rFonts w:hint="default"/>
              </w:rPr>
            </w:pPr>
            <w:r>
              <w:rPr>
                <w:lang w:val="en-US" w:eastAsia="zh-CN"/>
              </w:rPr>
              <w:t>pH</w:t>
            </w:r>
            <w:r>
              <w:rPr>
                <w:rFonts w:hint="eastAsia"/>
                <w:lang w:val="en-US" w:eastAsia="zh-CN"/>
              </w:rPr>
              <w:t>值平均值</w:t>
            </w:r>
          </w:p>
        </w:tc>
        <w:tc>
          <w:tcPr>
            <w:tcW w:w="26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D4F5A2">
            <w:pPr>
              <w:pStyle w:val="10"/>
              <w:bidi w:val="0"/>
              <w:jc w:val="center"/>
              <w:rPr>
                <w:rFonts w:hint="default"/>
              </w:rPr>
            </w:pPr>
            <w:r>
              <w:rPr>
                <w:rFonts w:hint="default"/>
                <w:lang w:val="en-US" w:eastAsia="zh-CN"/>
              </w:rPr>
              <w:t>4.91</w:t>
            </w:r>
          </w:p>
        </w:tc>
        <w:tc>
          <w:tcPr>
            <w:tcW w:w="2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E3C418">
            <w:pPr>
              <w:pStyle w:val="10"/>
              <w:bidi w:val="0"/>
              <w:jc w:val="center"/>
              <w:rPr>
                <w:rFonts w:hint="default"/>
              </w:rPr>
            </w:pPr>
            <w:r>
              <w:rPr>
                <w:rFonts w:hint="default"/>
                <w:lang w:val="en-US" w:eastAsia="zh-CN"/>
              </w:rPr>
              <w:t>4.93</w:t>
            </w:r>
          </w:p>
        </w:tc>
        <w:tc>
          <w:tcPr>
            <w:tcW w:w="24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357DDA1">
            <w:pPr>
              <w:pStyle w:val="10"/>
              <w:bidi w:val="0"/>
              <w:jc w:val="center"/>
              <w:rPr>
                <w:rFonts w:hint="default"/>
              </w:rPr>
            </w:pPr>
            <w:r>
              <w:rPr>
                <w:rFonts w:hint="default"/>
                <w:lang w:val="en-US" w:eastAsia="zh-CN"/>
              </w:rPr>
              <w:t>4.65</w:t>
            </w:r>
          </w:p>
        </w:tc>
        <w:tc>
          <w:tcPr>
            <w:tcW w:w="26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1616B0A">
            <w:pPr>
              <w:pStyle w:val="10"/>
              <w:bidi w:val="0"/>
              <w:jc w:val="center"/>
              <w:rPr>
                <w:rFonts w:hint="default"/>
              </w:rPr>
            </w:pPr>
            <w:r>
              <w:rPr>
                <w:rFonts w:hint="default"/>
                <w:lang w:val="en-US" w:eastAsia="zh-CN"/>
              </w:rPr>
              <w:t>4.83</w:t>
            </w:r>
          </w:p>
        </w:tc>
        <w:tc>
          <w:tcPr>
            <w:tcW w:w="24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5AD1A59">
            <w:pPr>
              <w:pStyle w:val="10"/>
              <w:bidi w:val="0"/>
              <w:jc w:val="center"/>
              <w:rPr>
                <w:rFonts w:hint="default"/>
              </w:rPr>
            </w:pPr>
            <w:r>
              <w:rPr>
                <w:rFonts w:hint="default"/>
                <w:lang w:val="en-US" w:eastAsia="zh-CN"/>
              </w:rPr>
              <w:t>4.75</w:t>
            </w:r>
          </w:p>
        </w:tc>
        <w:tc>
          <w:tcPr>
            <w:tcW w:w="23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A96DE6">
            <w:pPr>
              <w:pStyle w:val="10"/>
              <w:bidi w:val="0"/>
              <w:jc w:val="center"/>
              <w:rPr>
                <w:rFonts w:hint="default"/>
              </w:rPr>
            </w:pPr>
            <w:r>
              <w:rPr>
                <w:rFonts w:hint="default"/>
                <w:lang w:val="en-US" w:eastAsia="zh-CN"/>
              </w:rPr>
              <w:t>5.26</w:t>
            </w:r>
          </w:p>
        </w:tc>
        <w:tc>
          <w:tcPr>
            <w:tcW w:w="24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87AE5F">
            <w:pPr>
              <w:pStyle w:val="10"/>
              <w:bidi w:val="0"/>
              <w:jc w:val="center"/>
              <w:rPr>
                <w:rFonts w:hint="default"/>
              </w:rPr>
            </w:pPr>
            <w:r>
              <w:rPr>
                <w:rFonts w:hint="default"/>
                <w:lang w:val="en-US" w:eastAsia="zh-CN"/>
              </w:rPr>
              <w:t>4.97</w:t>
            </w:r>
          </w:p>
        </w:tc>
        <w:tc>
          <w:tcPr>
            <w:tcW w:w="25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8D4800E">
            <w:pPr>
              <w:pStyle w:val="10"/>
              <w:bidi w:val="0"/>
              <w:jc w:val="center"/>
              <w:rPr>
                <w:rFonts w:hint="default"/>
              </w:rPr>
            </w:pPr>
            <w:r>
              <w:rPr>
                <w:rFonts w:hint="default"/>
                <w:lang w:val="en-US" w:eastAsia="zh-CN"/>
              </w:rPr>
              <w:t>4.99</w:t>
            </w:r>
          </w:p>
        </w:tc>
        <w:tc>
          <w:tcPr>
            <w:tcW w:w="25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DE0E629">
            <w:pPr>
              <w:pStyle w:val="10"/>
              <w:bidi w:val="0"/>
              <w:jc w:val="center"/>
              <w:rPr>
                <w:rFonts w:hint="default"/>
              </w:rPr>
            </w:pPr>
            <w:r>
              <w:rPr>
                <w:rFonts w:hint="default"/>
                <w:lang w:val="en-US" w:eastAsia="zh-CN"/>
              </w:rPr>
              <w:t>5.78</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4E35EE6">
            <w:pPr>
              <w:pStyle w:val="10"/>
              <w:bidi w:val="0"/>
              <w:jc w:val="center"/>
              <w:rPr>
                <w:rFonts w:hint="default"/>
              </w:rPr>
            </w:pPr>
            <w:r>
              <w:rPr>
                <w:rFonts w:hint="default"/>
                <w:lang w:val="en-US" w:eastAsia="zh-CN"/>
              </w:rPr>
              <w:t>5.4</w:t>
            </w:r>
          </w:p>
        </w:tc>
        <w:tc>
          <w:tcPr>
            <w:tcW w:w="24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F3F757">
            <w:pPr>
              <w:pStyle w:val="10"/>
              <w:bidi w:val="0"/>
              <w:jc w:val="center"/>
              <w:rPr>
                <w:rFonts w:hint="default"/>
              </w:rPr>
            </w:pPr>
            <w:r>
              <w:rPr>
                <w:rFonts w:hint="default"/>
                <w:lang w:val="en-US" w:eastAsia="zh-CN"/>
              </w:rPr>
              <w:t>5.05</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3D4EB6">
            <w:pPr>
              <w:pStyle w:val="10"/>
              <w:bidi w:val="0"/>
              <w:jc w:val="center"/>
              <w:rPr>
                <w:rFonts w:hint="default"/>
              </w:rPr>
            </w:pPr>
            <w:r>
              <w:rPr>
                <w:rFonts w:hint="default"/>
                <w:lang w:val="en-US" w:eastAsia="zh-CN"/>
              </w:rPr>
              <w:t>5.48</w:t>
            </w:r>
          </w:p>
        </w:tc>
        <w:tc>
          <w:tcPr>
            <w:tcW w:w="25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76A7545">
            <w:pPr>
              <w:pStyle w:val="10"/>
              <w:bidi w:val="0"/>
              <w:jc w:val="center"/>
              <w:rPr>
                <w:rFonts w:hint="default"/>
              </w:rPr>
            </w:pPr>
            <w:r>
              <w:rPr>
                <w:rFonts w:hint="default"/>
                <w:lang w:val="en-US" w:eastAsia="zh-CN"/>
              </w:rPr>
              <w:t>—</w:t>
            </w:r>
          </w:p>
        </w:tc>
        <w:tc>
          <w:tcPr>
            <w:tcW w:w="2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7EEBAA">
            <w:pPr>
              <w:pStyle w:val="10"/>
              <w:bidi w:val="0"/>
              <w:jc w:val="center"/>
              <w:rPr>
                <w:rFonts w:hint="default"/>
              </w:rPr>
            </w:pPr>
            <w:r>
              <w:rPr>
                <w:rFonts w:hint="default"/>
                <w:lang w:val="en-US" w:eastAsia="zh-CN"/>
              </w:rPr>
              <w:t>4.91</w:t>
            </w:r>
          </w:p>
        </w:tc>
        <w:tc>
          <w:tcPr>
            <w:tcW w:w="25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298270D">
            <w:pPr>
              <w:pStyle w:val="10"/>
              <w:bidi w:val="0"/>
              <w:jc w:val="center"/>
              <w:rPr>
                <w:rFonts w:hint="default"/>
              </w:rPr>
            </w:pPr>
            <w:r>
              <w:rPr>
                <w:rFonts w:hint="default"/>
                <w:lang w:val="en-US" w:eastAsia="zh-CN"/>
              </w:rPr>
              <w:t>5.25</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28F471">
            <w:pPr>
              <w:pStyle w:val="10"/>
              <w:bidi w:val="0"/>
              <w:jc w:val="center"/>
              <w:rPr>
                <w:rFonts w:hint="default"/>
              </w:rPr>
            </w:pPr>
            <w:r>
              <w:rPr>
                <w:rFonts w:hint="default"/>
                <w:lang w:val="en-US" w:eastAsia="zh-CN"/>
              </w:rPr>
              <w:t>5.05</w:t>
            </w:r>
          </w:p>
        </w:tc>
        <w:tc>
          <w:tcPr>
            <w:tcW w:w="239"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38DD313">
            <w:pPr>
              <w:pStyle w:val="10"/>
              <w:bidi w:val="0"/>
              <w:jc w:val="center"/>
              <w:rPr>
                <w:rFonts w:hint="default"/>
              </w:rPr>
            </w:pPr>
            <w:r>
              <w:rPr>
                <w:rFonts w:hint="default"/>
                <w:lang w:val="en-US" w:eastAsia="zh-CN"/>
              </w:rPr>
              <w:t>5.05</w:t>
            </w:r>
          </w:p>
        </w:tc>
      </w:tr>
      <w:tr w14:paraId="7A169F0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25" w:hRule="atLeast"/>
        </w:trPr>
        <w:tc>
          <w:tcPr>
            <w:tcW w:w="286"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B0F7CEC">
            <w:pPr>
              <w:pStyle w:val="10"/>
              <w:bidi w:val="0"/>
              <w:jc w:val="center"/>
              <w:rPr>
                <w:rFonts w:hint="eastAsia"/>
              </w:rPr>
            </w:pPr>
          </w:p>
        </w:tc>
        <w:tc>
          <w:tcPr>
            <w:tcW w:w="41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DE43E8B">
            <w:pPr>
              <w:pStyle w:val="10"/>
              <w:bidi w:val="0"/>
              <w:jc w:val="center"/>
              <w:rPr>
                <w:rFonts w:hint="eastAsia"/>
              </w:rPr>
            </w:pPr>
            <w:r>
              <w:rPr>
                <w:rFonts w:hint="eastAsia"/>
                <w:lang w:val="en-US" w:eastAsia="zh-CN"/>
              </w:rPr>
              <w:t>酸雨频率</w:t>
            </w:r>
          </w:p>
        </w:tc>
        <w:tc>
          <w:tcPr>
            <w:tcW w:w="26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528F0C">
            <w:pPr>
              <w:pStyle w:val="10"/>
              <w:bidi w:val="0"/>
              <w:jc w:val="center"/>
              <w:rPr>
                <w:rFonts w:hint="default"/>
              </w:rPr>
            </w:pPr>
            <w:r>
              <w:rPr>
                <w:rFonts w:hint="default"/>
                <w:lang w:val="en-US" w:eastAsia="zh-CN"/>
              </w:rPr>
              <w:t>100</w:t>
            </w:r>
          </w:p>
        </w:tc>
        <w:tc>
          <w:tcPr>
            <w:tcW w:w="2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21225D">
            <w:pPr>
              <w:pStyle w:val="10"/>
              <w:bidi w:val="0"/>
              <w:jc w:val="center"/>
              <w:rPr>
                <w:rFonts w:hint="default"/>
              </w:rPr>
            </w:pPr>
            <w:r>
              <w:rPr>
                <w:rFonts w:hint="default"/>
                <w:lang w:val="en-US" w:eastAsia="zh-CN"/>
              </w:rPr>
              <w:t>100</w:t>
            </w:r>
          </w:p>
        </w:tc>
        <w:tc>
          <w:tcPr>
            <w:tcW w:w="24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26B3D2">
            <w:pPr>
              <w:pStyle w:val="10"/>
              <w:bidi w:val="0"/>
              <w:jc w:val="center"/>
              <w:rPr>
                <w:rFonts w:hint="default"/>
              </w:rPr>
            </w:pPr>
            <w:r>
              <w:rPr>
                <w:rFonts w:hint="default"/>
                <w:lang w:val="en-US" w:eastAsia="zh-CN"/>
              </w:rPr>
              <w:t>100</w:t>
            </w:r>
          </w:p>
        </w:tc>
        <w:tc>
          <w:tcPr>
            <w:tcW w:w="26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A3E152">
            <w:pPr>
              <w:pStyle w:val="10"/>
              <w:bidi w:val="0"/>
              <w:jc w:val="center"/>
              <w:rPr>
                <w:rFonts w:hint="default"/>
              </w:rPr>
            </w:pPr>
            <w:r>
              <w:rPr>
                <w:rFonts w:hint="default"/>
                <w:lang w:val="en-US" w:eastAsia="zh-CN"/>
              </w:rPr>
              <w:t>100</w:t>
            </w:r>
          </w:p>
        </w:tc>
        <w:tc>
          <w:tcPr>
            <w:tcW w:w="24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417738F">
            <w:pPr>
              <w:pStyle w:val="10"/>
              <w:bidi w:val="0"/>
              <w:jc w:val="center"/>
              <w:rPr>
                <w:rFonts w:hint="default"/>
              </w:rPr>
            </w:pPr>
            <w:r>
              <w:rPr>
                <w:rFonts w:hint="default"/>
                <w:lang w:val="en-US" w:eastAsia="zh-CN"/>
              </w:rPr>
              <w:t>100</w:t>
            </w:r>
          </w:p>
        </w:tc>
        <w:tc>
          <w:tcPr>
            <w:tcW w:w="23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5D71EF">
            <w:pPr>
              <w:pStyle w:val="10"/>
              <w:bidi w:val="0"/>
              <w:jc w:val="center"/>
              <w:rPr>
                <w:rFonts w:hint="default"/>
              </w:rPr>
            </w:pPr>
            <w:r>
              <w:rPr>
                <w:rFonts w:hint="default"/>
                <w:lang w:val="en-US" w:eastAsia="zh-CN"/>
              </w:rPr>
              <w:t>91.6</w:t>
            </w:r>
          </w:p>
        </w:tc>
        <w:tc>
          <w:tcPr>
            <w:tcW w:w="24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E5AC7A">
            <w:pPr>
              <w:pStyle w:val="10"/>
              <w:bidi w:val="0"/>
              <w:jc w:val="center"/>
              <w:rPr>
                <w:rFonts w:hint="default"/>
              </w:rPr>
            </w:pPr>
            <w:r>
              <w:rPr>
                <w:rFonts w:hint="default"/>
                <w:lang w:val="en-US" w:eastAsia="zh-CN"/>
              </w:rPr>
              <w:t>100</w:t>
            </w:r>
          </w:p>
        </w:tc>
        <w:tc>
          <w:tcPr>
            <w:tcW w:w="2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74F85F">
            <w:pPr>
              <w:pStyle w:val="10"/>
              <w:bidi w:val="0"/>
              <w:jc w:val="center"/>
              <w:rPr>
                <w:rFonts w:hint="default"/>
              </w:rPr>
            </w:pPr>
            <w:r>
              <w:rPr>
                <w:rFonts w:hint="default"/>
                <w:lang w:val="en-US" w:eastAsia="zh-CN"/>
              </w:rPr>
              <w:t>96.8</w:t>
            </w:r>
          </w:p>
        </w:tc>
        <w:tc>
          <w:tcPr>
            <w:tcW w:w="25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CD73E9C">
            <w:pPr>
              <w:pStyle w:val="10"/>
              <w:bidi w:val="0"/>
              <w:jc w:val="center"/>
              <w:rPr>
                <w:rFonts w:hint="default"/>
              </w:rPr>
            </w:pPr>
            <w:r>
              <w:rPr>
                <w:rFonts w:hint="default"/>
                <w:lang w:val="en-US" w:eastAsia="zh-CN"/>
              </w:rPr>
              <w:t>0</w:t>
            </w:r>
          </w:p>
        </w:tc>
        <w:tc>
          <w:tcPr>
            <w:tcW w:w="25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6FA243">
            <w:pPr>
              <w:pStyle w:val="10"/>
              <w:bidi w:val="0"/>
              <w:jc w:val="center"/>
              <w:rPr>
                <w:rFonts w:hint="default"/>
              </w:rPr>
            </w:pPr>
            <w:r>
              <w:rPr>
                <w:rFonts w:hint="default"/>
                <w:lang w:val="en-US" w:eastAsia="zh-CN"/>
              </w:rPr>
              <w:t>57.1</w:t>
            </w:r>
          </w:p>
        </w:tc>
        <w:tc>
          <w:tcPr>
            <w:tcW w:w="24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F01828">
            <w:pPr>
              <w:pStyle w:val="10"/>
              <w:bidi w:val="0"/>
              <w:jc w:val="center"/>
              <w:rPr>
                <w:rFonts w:hint="default"/>
              </w:rPr>
            </w:pPr>
            <w:r>
              <w:rPr>
                <w:rFonts w:hint="default"/>
                <w:lang w:val="en-US" w:eastAsia="zh-CN"/>
              </w:rPr>
              <w:t>100</w:t>
            </w:r>
          </w:p>
        </w:tc>
        <w:tc>
          <w:tcPr>
            <w:tcW w:w="25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088CC6D">
            <w:pPr>
              <w:pStyle w:val="10"/>
              <w:bidi w:val="0"/>
              <w:jc w:val="center"/>
              <w:rPr>
                <w:rFonts w:hint="default"/>
              </w:rPr>
            </w:pPr>
            <w:r>
              <w:rPr>
                <w:rFonts w:hint="default"/>
                <w:lang w:val="en-US" w:eastAsia="zh-CN"/>
              </w:rPr>
              <w:t>61.1</w:t>
            </w:r>
          </w:p>
        </w:tc>
        <w:tc>
          <w:tcPr>
            <w:tcW w:w="25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9E849EC">
            <w:pPr>
              <w:pStyle w:val="10"/>
              <w:bidi w:val="0"/>
              <w:jc w:val="center"/>
              <w:rPr>
                <w:rFonts w:hint="default"/>
              </w:rPr>
            </w:pPr>
            <w:r>
              <w:rPr>
                <w:rFonts w:hint="default"/>
                <w:lang w:val="en-US" w:eastAsia="zh-CN"/>
              </w:rPr>
              <w:t>0</w:t>
            </w:r>
          </w:p>
        </w:tc>
        <w:tc>
          <w:tcPr>
            <w:tcW w:w="2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BF0227">
            <w:pPr>
              <w:pStyle w:val="10"/>
              <w:bidi w:val="0"/>
              <w:jc w:val="center"/>
              <w:rPr>
                <w:rFonts w:hint="default"/>
              </w:rPr>
            </w:pPr>
            <w:r>
              <w:rPr>
                <w:rFonts w:hint="default"/>
                <w:lang w:val="en-US" w:eastAsia="zh-CN"/>
              </w:rPr>
              <w:t>100</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F592A9">
            <w:pPr>
              <w:pStyle w:val="10"/>
              <w:bidi w:val="0"/>
              <w:jc w:val="center"/>
              <w:rPr>
                <w:rFonts w:hint="default"/>
              </w:rPr>
            </w:pPr>
            <w:r>
              <w:rPr>
                <w:rFonts w:hint="default"/>
                <w:lang w:val="en-US" w:eastAsia="zh-CN"/>
              </w:rPr>
              <w:t>100</w:t>
            </w:r>
          </w:p>
        </w:tc>
        <w:tc>
          <w:tcPr>
            <w:tcW w:w="2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5F43C9">
            <w:pPr>
              <w:pStyle w:val="10"/>
              <w:bidi w:val="0"/>
              <w:jc w:val="center"/>
              <w:rPr>
                <w:rFonts w:hint="default"/>
              </w:rPr>
            </w:pPr>
            <w:r>
              <w:rPr>
                <w:rFonts w:hint="default"/>
                <w:lang w:val="en-US" w:eastAsia="zh-CN"/>
              </w:rPr>
              <w:t>100</w:t>
            </w:r>
          </w:p>
        </w:tc>
        <w:tc>
          <w:tcPr>
            <w:tcW w:w="23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BA04000">
            <w:pPr>
              <w:pStyle w:val="10"/>
              <w:bidi w:val="0"/>
              <w:jc w:val="center"/>
              <w:rPr>
                <w:rFonts w:hint="default"/>
              </w:rPr>
            </w:pPr>
            <w:r>
              <w:rPr>
                <w:rFonts w:hint="default"/>
                <w:lang w:val="en-US" w:eastAsia="zh-CN"/>
              </w:rPr>
              <w:t>87.7</w:t>
            </w:r>
          </w:p>
        </w:tc>
      </w:tr>
      <w:tr w14:paraId="16BE2F5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870" w:hRule="atLeast"/>
        </w:trPr>
        <w:tc>
          <w:tcPr>
            <w:tcW w:w="286"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E10D786">
            <w:pPr>
              <w:pStyle w:val="10"/>
              <w:bidi w:val="0"/>
              <w:jc w:val="center"/>
              <w:rPr>
                <w:rFonts w:hint="eastAsia"/>
              </w:rPr>
            </w:pPr>
          </w:p>
        </w:tc>
        <w:tc>
          <w:tcPr>
            <w:tcW w:w="41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C35DA5F">
            <w:pPr>
              <w:pStyle w:val="10"/>
              <w:bidi w:val="0"/>
              <w:jc w:val="center"/>
              <w:rPr>
                <w:rFonts w:hint="default"/>
              </w:rPr>
            </w:pPr>
            <w:r>
              <w:rPr>
                <w:rFonts w:hint="eastAsia"/>
                <w:lang w:val="en-US" w:eastAsia="zh-CN"/>
              </w:rPr>
              <w:t>降雨量</w:t>
            </w:r>
            <w:r>
              <w:rPr>
                <w:rFonts w:hint="eastAsia"/>
                <w:lang w:val="en-US" w:eastAsia="zh-CN"/>
              </w:rPr>
              <w:br w:type="textWrapping"/>
            </w:r>
            <w:r>
              <w:rPr>
                <w:rFonts w:hint="eastAsia"/>
                <w:lang w:val="en-US" w:eastAsia="zh-CN"/>
              </w:rPr>
              <w:t>（毫米）</w:t>
            </w:r>
          </w:p>
        </w:tc>
        <w:tc>
          <w:tcPr>
            <w:tcW w:w="26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62CF70">
            <w:pPr>
              <w:pStyle w:val="10"/>
              <w:bidi w:val="0"/>
              <w:jc w:val="center"/>
              <w:rPr>
                <w:rFonts w:hint="default"/>
              </w:rPr>
            </w:pPr>
            <w:r>
              <w:rPr>
                <w:rFonts w:hint="default"/>
                <w:lang w:val="en-US" w:eastAsia="zh-CN"/>
              </w:rPr>
              <w:t>14.3</w:t>
            </w:r>
          </w:p>
        </w:tc>
        <w:tc>
          <w:tcPr>
            <w:tcW w:w="2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4BDAB4">
            <w:pPr>
              <w:pStyle w:val="10"/>
              <w:bidi w:val="0"/>
              <w:jc w:val="center"/>
              <w:rPr>
                <w:rFonts w:hint="default"/>
              </w:rPr>
            </w:pPr>
            <w:r>
              <w:rPr>
                <w:rFonts w:hint="default"/>
                <w:lang w:val="en-US" w:eastAsia="zh-CN"/>
              </w:rPr>
              <w:t>14.4</w:t>
            </w:r>
          </w:p>
        </w:tc>
        <w:tc>
          <w:tcPr>
            <w:tcW w:w="24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00A42D7">
            <w:pPr>
              <w:pStyle w:val="10"/>
              <w:bidi w:val="0"/>
              <w:jc w:val="center"/>
              <w:rPr>
                <w:rFonts w:hint="default"/>
              </w:rPr>
            </w:pPr>
            <w:r>
              <w:rPr>
                <w:rFonts w:hint="default"/>
                <w:lang w:val="en-US" w:eastAsia="zh-CN"/>
              </w:rPr>
              <w:t>119.7</w:t>
            </w:r>
          </w:p>
        </w:tc>
        <w:tc>
          <w:tcPr>
            <w:tcW w:w="26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34254C3">
            <w:pPr>
              <w:pStyle w:val="10"/>
              <w:bidi w:val="0"/>
              <w:jc w:val="center"/>
              <w:rPr>
                <w:rFonts w:hint="default"/>
              </w:rPr>
            </w:pPr>
            <w:r>
              <w:rPr>
                <w:rFonts w:hint="default"/>
                <w:lang w:val="en-US" w:eastAsia="zh-CN"/>
              </w:rPr>
              <w:t>148.3</w:t>
            </w:r>
          </w:p>
        </w:tc>
        <w:tc>
          <w:tcPr>
            <w:tcW w:w="24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70E1D02">
            <w:pPr>
              <w:pStyle w:val="10"/>
              <w:bidi w:val="0"/>
              <w:jc w:val="center"/>
              <w:rPr>
                <w:rFonts w:hint="default"/>
              </w:rPr>
            </w:pPr>
            <w:r>
              <w:rPr>
                <w:rFonts w:hint="default"/>
                <w:lang w:val="en-US" w:eastAsia="zh-CN"/>
              </w:rPr>
              <w:t>102.3</w:t>
            </w:r>
          </w:p>
        </w:tc>
        <w:tc>
          <w:tcPr>
            <w:tcW w:w="23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67B6B04">
            <w:pPr>
              <w:pStyle w:val="10"/>
              <w:bidi w:val="0"/>
              <w:jc w:val="center"/>
              <w:rPr>
                <w:rFonts w:hint="default"/>
              </w:rPr>
            </w:pPr>
            <w:r>
              <w:rPr>
                <w:rFonts w:hint="default"/>
                <w:lang w:val="en-US" w:eastAsia="zh-CN"/>
              </w:rPr>
              <w:t>155.7</w:t>
            </w:r>
          </w:p>
        </w:tc>
        <w:tc>
          <w:tcPr>
            <w:tcW w:w="24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46216C">
            <w:pPr>
              <w:pStyle w:val="10"/>
              <w:bidi w:val="0"/>
              <w:jc w:val="center"/>
              <w:rPr>
                <w:rFonts w:hint="default"/>
              </w:rPr>
            </w:pPr>
            <w:r>
              <w:rPr>
                <w:rFonts w:hint="default"/>
                <w:lang w:val="en-US" w:eastAsia="zh-CN"/>
              </w:rPr>
              <w:t>111.7</w:t>
            </w:r>
          </w:p>
        </w:tc>
        <w:tc>
          <w:tcPr>
            <w:tcW w:w="25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B527E37">
            <w:pPr>
              <w:pStyle w:val="10"/>
              <w:bidi w:val="0"/>
              <w:jc w:val="center"/>
              <w:rPr>
                <w:rFonts w:hint="default"/>
              </w:rPr>
            </w:pPr>
            <w:r>
              <w:rPr>
                <w:rFonts w:hint="default"/>
                <w:lang w:val="en-US" w:eastAsia="zh-CN"/>
              </w:rPr>
              <w:t>369.7</w:t>
            </w:r>
          </w:p>
        </w:tc>
        <w:tc>
          <w:tcPr>
            <w:tcW w:w="2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8FC7A0">
            <w:pPr>
              <w:pStyle w:val="10"/>
              <w:bidi w:val="0"/>
              <w:jc w:val="center"/>
              <w:rPr>
                <w:rFonts w:hint="default"/>
              </w:rPr>
            </w:pPr>
            <w:r>
              <w:rPr>
                <w:rFonts w:hint="default"/>
                <w:lang w:val="en-US" w:eastAsia="zh-CN"/>
              </w:rPr>
              <w:t>160</w:t>
            </w:r>
          </w:p>
        </w:tc>
        <w:tc>
          <w:tcPr>
            <w:tcW w:w="25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19DF508">
            <w:pPr>
              <w:pStyle w:val="10"/>
              <w:bidi w:val="0"/>
              <w:jc w:val="center"/>
              <w:rPr>
                <w:rFonts w:hint="default"/>
              </w:rPr>
            </w:pPr>
            <w:r>
              <w:rPr>
                <w:rFonts w:hint="default"/>
                <w:lang w:val="en-US" w:eastAsia="zh-CN"/>
              </w:rPr>
              <w:t>82.1</w:t>
            </w:r>
          </w:p>
        </w:tc>
        <w:tc>
          <w:tcPr>
            <w:tcW w:w="24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C510BA">
            <w:pPr>
              <w:pStyle w:val="10"/>
              <w:bidi w:val="0"/>
              <w:jc w:val="center"/>
              <w:rPr>
                <w:rFonts w:hint="default"/>
              </w:rPr>
            </w:pPr>
            <w:r>
              <w:rPr>
                <w:rFonts w:hint="default"/>
                <w:lang w:val="en-US" w:eastAsia="zh-CN"/>
              </w:rPr>
              <w:t>27.6</w:t>
            </w:r>
          </w:p>
        </w:tc>
        <w:tc>
          <w:tcPr>
            <w:tcW w:w="25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393A092">
            <w:pPr>
              <w:pStyle w:val="10"/>
              <w:bidi w:val="0"/>
              <w:jc w:val="center"/>
              <w:rPr>
                <w:rFonts w:hint="default"/>
              </w:rPr>
            </w:pPr>
            <w:r>
              <w:rPr>
                <w:rFonts w:hint="default"/>
                <w:lang w:val="en-US" w:eastAsia="zh-CN"/>
              </w:rPr>
              <w:t>269.7</w:t>
            </w:r>
          </w:p>
        </w:tc>
        <w:tc>
          <w:tcPr>
            <w:tcW w:w="25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DAB68D2">
            <w:pPr>
              <w:pStyle w:val="10"/>
              <w:bidi w:val="0"/>
              <w:jc w:val="center"/>
              <w:rPr>
                <w:rFonts w:hint="eastAsia"/>
              </w:rPr>
            </w:pPr>
            <w:r>
              <w:rPr>
                <w:rFonts w:hint="eastAsia"/>
                <w:lang w:val="en-US" w:eastAsia="zh-CN"/>
              </w:rPr>
              <w:t>0</w:t>
            </w:r>
          </w:p>
        </w:tc>
        <w:tc>
          <w:tcPr>
            <w:tcW w:w="2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BBEA4F">
            <w:pPr>
              <w:pStyle w:val="10"/>
              <w:bidi w:val="0"/>
              <w:jc w:val="center"/>
              <w:rPr>
                <w:rFonts w:hint="default"/>
              </w:rPr>
            </w:pPr>
            <w:r>
              <w:rPr>
                <w:rFonts w:hint="default"/>
                <w:lang w:val="en-US" w:eastAsia="zh-CN"/>
              </w:rPr>
              <w:t>8</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1093E3">
            <w:pPr>
              <w:pStyle w:val="10"/>
              <w:bidi w:val="0"/>
              <w:jc w:val="center"/>
              <w:rPr>
                <w:rFonts w:hint="default"/>
              </w:rPr>
            </w:pPr>
            <w:r>
              <w:rPr>
                <w:rFonts w:hint="default"/>
                <w:lang w:val="en-US" w:eastAsia="zh-CN"/>
              </w:rPr>
              <w:t>48.8</w:t>
            </w:r>
          </w:p>
        </w:tc>
        <w:tc>
          <w:tcPr>
            <w:tcW w:w="2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D517F39">
            <w:pPr>
              <w:pStyle w:val="10"/>
              <w:bidi w:val="0"/>
              <w:jc w:val="center"/>
              <w:rPr>
                <w:rFonts w:hint="default"/>
              </w:rPr>
            </w:pPr>
            <w:r>
              <w:rPr>
                <w:rFonts w:hint="default"/>
                <w:lang w:val="en-US" w:eastAsia="zh-CN"/>
              </w:rPr>
              <w:t>56.75</w:t>
            </w:r>
          </w:p>
        </w:tc>
        <w:tc>
          <w:tcPr>
            <w:tcW w:w="23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7AB6718">
            <w:pPr>
              <w:pStyle w:val="10"/>
              <w:bidi w:val="0"/>
              <w:jc w:val="center"/>
              <w:rPr>
                <w:rFonts w:hint="default"/>
              </w:rPr>
            </w:pPr>
            <w:r>
              <w:rPr>
                <w:rFonts w:hint="default"/>
                <w:lang w:val="en-US" w:eastAsia="zh-CN"/>
              </w:rPr>
              <w:t>844.5</w:t>
            </w:r>
          </w:p>
        </w:tc>
      </w:tr>
    </w:tbl>
    <w:p w14:paraId="168DF46D">
      <w:pPr>
        <w:bidi w:val="0"/>
        <w:rPr>
          <w:rFonts w:hint="default"/>
          <w:lang w:val="en-US" w:eastAsia="zh-CN"/>
        </w:rPr>
      </w:pPr>
      <w:r>
        <w:rPr>
          <w:rFonts w:hint="default"/>
          <w:lang w:val="en-US" w:eastAsia="zh-CN"/>
        </w:rPr>
        <w:t>2013全年采集降水样品65个，全年总降水量为844.5毫米，降水pH值年均值5.05,酸雨频率为87.7%,全年降水的pH值范围在4.34～6.21之间。</w:t>
      </w:r>
    </w:p>
    <w:p w14:paraId="2130DA82">
      <w:pPr>
        <w:pStyle w:val="2"/>
        <w:bidi w:val="0"/>
        <w:rPr>
          <w:rFonts w:hint="eastAsia"/>
        </w:rPr>
      </w:pPr>
      <w:r>
        <w:rPr>
          <w:rFonts w:hint="eastAsia"/>
        </w:rPr>
        <w:t>商贸·旅游</w:t>
      </w:r>
    </w:p>
    <w:p w14:paraId="0B388966">
      <w:pPr>
        <w:pStyle w:val="3"/>
        <w:bidi w:val="0"/>
        <w:rPr>
          <w:rFonts w:hint="default"/>
          <w:lang w:val="en-US" w:eastAsia="zh-CN"/>
        </w:rPr>
      </w:pPr>
      <w:r>
        <w:rPr>
          <w:rFonts w:hint="eastAsia"/>
          <w:lang w:val="en-US" w:eastAsia="zh-CN"/>
        </w:rPr>
        <w:t>供销</w:t>
      </w:r>
    </w:p>
    <w:p w14:paraId="49AC4DD8">
      <w:pPr>
        <w:pStyle w:val="4"/>
        <w:bidi w:val="0"/>
        <w:rPr>
          <w:rFonts w:hint="eastAsia"/>
        </w:rPr>
      </w:pPr>
      <w:r>
        <w:rPr>
          <w:rFonts w:hint="eastAsia"/>
        </w:rPr>
        <w:t>【概况】</w:t>
      </w:r>
    </w:p>
    <w:p w14:paraId="623AFDAC">
      <w:pPr>
        <w:rPr>
          <w:rFonts w:hint="eastAsia"/>
          <w:lang w:eastAsia="zh-CN"/>
        </w:rPr>
      </w:pPr>
      <w:r>
        <w:rPr>
          <w:rFonts w:hint="eastAsia"/>
        </w:rPr>
        <w:t>市供销合作社联合社机关内设办公室、人事监察股、财会统计股、业务基层股。主要职能是担负对社员社组织指导、协调、服务和监督的职责，组织发展农村经济合作社组织，负责组织农资、烟花爆竹、再生资源经营管理，开拓城乡农产品流通市场，为“三农”提供服务，承办市委、市政府及上级社交办的其他事项。</w:t>
      </w:r>
      <w:r>
        <w:t>2013年，南雄市供</w:t>
      </w:r>
      <w:r>
        <w:rPr>
          <w:rFonts w:hint="eastAsia"/>
        </w:rPr>
        <w:t>销社系统有</w:t>
      </w:r>
      <w:r>
        <w:t>524人（其中市社机关24人），离退休</w:t>
      </w:r>
      <w:r>
        <w:rPr>
          <w:rFonts w:hint="eastAsia"/>
        </w:rPr>
        <w:t>人员</w:t>
      </w:r>
      <w:r>
        <w:t>604人。下属农业生产资料、万安日用杂品</w:t>
      </w:r>
      <w:r>
        <w:rPr>
          <w:rFonts w:hint="eastAsia"/>
          <w:lang w:eastAsia="zh-CN"/>
        </w:rPr>
        <w:t>、</w:t>
      </w:r>
      <w:r>
        <w:rPr>
          <w:rFonts w:hint="eastAsia"/>
        </w:rPr>
        <w:t>万隆汽修、万丰食品、利民肉联厂、废旧物资回收、新供销农产品、供销雄源茶叶</w:t>
      </w:r>
      <w:r>
        <w:t>8个公司，组建</w:t>
      </w:r>
      <w:r>
        <w:rPr>
          <w:rFonts w:hint="eastAsia"/>
        </w:rPr>
        <w:t>雄州、乌迳、水口、珠玑</w:t>
      </w:r>
      <w:r>
        <w:t>4个中心基层社。领办农</w:t>
      </w:r>
      <w:r>
        <w:rPr>
          <w:rFonts w:hint="eastAsia"/>
        </w:rPr>
        <w:t>资、农副产品等类型的专业合作社</w:t>
      </w:r>
      <w:r>
        <w:t>56个，创办村</w:t>
      </w:r>
      <w:r>
        <w:rPr>
          <w:rFonts w:hint="eastAsia"/>
        </w:rPr>
        <w:t>级综合服务社</w:t>
      </w:r>
      <w:r>
        <w:t>6个，建立以农资、农产品、消费</w:t>
      </w:r>
      <w:r>
        <w:rPr>
          <w:rFonts w:hint="eastAsia"/>
        </w:rPr>
        <w:t>品、再生资源回收利用、烟花爆竹经营五大产业为主要内容的现代流通网络，经营网点</w:t>
      </w:r>
      <w:r>
        <w:t>296个。全市</w:t>
      </w:r>
      <w:r>
        <w:rPr>
          <w:rFonts w:hint="eastAsia"/>
        </w:rPr>
        <w:t>供销系统完成商品总购进</w:t>
      </w:r>
      <w:r>
        <w:t>26063万元，对比增长26.08%，商品总销售28727万元，对比增长22.65%，经营利润217万元，对比上年增</w:t>
      </w:r>
      <w:r>
        <w:rPr>
          <w:rFonts w:hint="eastAsia"/>
        </w:rPr>
        <w:t>长</w:t>
      </w:r>
      <w:r>
        <w:t>3.39%</w:t>
      </w:r>
      <w:r>
        <w:rPr>
          <w:rFonts w:hint="eastAsia"/>
          <w:lang w:eastAsia="zh-CN"/>
        </w:rPr>
        <w:t>。</w:t>
      </w:r>
    </w:p>
    <w:p w14:paraId="4BE73B98">
      <w:pPr>
        <w:pStyle w:val="4"/>
        <w:bidi w:val="0"/>
        <w:rPr>
          <w:rFonts w:hint="eastAsia"/>
        </w:rPr>
      </w:pPr>
      <w:r>
        <w:rPr>
          <w:rFonts w:hint="eastAsia"/>
        </w:rPr>
        <w:t>【荣誉称号】</w:t>
      </w:r>
    </w:p>
    <w:p w14:paraId="5D01F742">
      <w:pPr>
        <w:rPr>
          <w:rFonts w:hint="eastAsia"/>
        </w:rPr>
      </w:pPr>
      <w:r>
        <w:rPr>
          <w:rFonts w:hint="eastAsia"/>
        </w:rPr>
        <w:t>市供销合作社联合社被广东省供销合作社授予“</w:t>
      </w:r>
      <w:r>
        <w:t>2013年度全省供销合作社系统县级供</w:t>
      </w:r>
      <w:r>
        <w:rPr>
          <w:rFonts w:hint="eastAsia"/>
        </w:rPr>
        <w:t>销合作社综合业绩评价一等奖”。</w:t>
      </w:r>
    </w:p>
    <w:p w14:paraId="7D2E5EE8">
      <w:pPr>
        <w:pStyle w:val="4"/>
        <w:bidi w:val="0"/>
        <w:rPr>
          <w:rFonts w:hint="eastAsia"/>
        </w:rPr>
      </w:pPr>
      <w:r>
        <w:rPr>
          <w:rFonts w:hint="eastAsia"/>
        </w:rPr>
        <w:t>【农业生产资料购销】</w:t>
      </w:r>
    </w:p>
    <w:p w14:paraId="1D58938E">
      <w:r>
        <w:rPr>
          <w:rFonts w:hint="eastAsia"/>
        </w:rPr>
        <w:t>市农业生产资料有限责任公司是南雄市经营农业生产资料的专业公司，同时承担全市化肥、农药救灾储备和化肥淡季储备任务。公司发挥村级综合服务站、农资店销售网络优势，统一配送化肥农药；严格农业生产资料进货渠道，严把质量关，做到诚信经营，为农业生产提供农资供应及技术咨询服务。</w:t>
      </w:r>
      <w:r>
        <w:t>2013年，发展雄州、乌</w:t>
      </w:r>
      <w:r>
        <w:rPr>
          <w:rFonts w:hint="eastAsia"/>
        </w:rPr>
        <w:t>迳等</w:t>
      </w:r>
      <w:r>
        <w:t>2个农资配送中心，自营连锁店45间，加盟</w:t>
      </w:r>
      <w:r>
        <w:rPr>
          <w:rFonts w:hint="eastAsia"/>
        </w:rPr>
        <w:t>连锁店</w:t>
      </w:r>
      <w:r>
        <w:t>55间、配送直销点79个，组建农资专业合</w:t>
      </w:r>
      <w:r>
        <w:rPr>
          <w:rFonts w:hint="eastAsia"/>
        </w:rPr>
        <w:t>作社</w:t>
      </w:r>
      <w:r>
        <w:t>16个，销售点193个，网点覆盖率75%，全</w:t>
      </w:r>
      <w:r>
        <w:rPr>
          <w:rFonts w:hint="eastAsia"/>
        </w:rPr>
        <w:t>年完成农资销售</w:t>
      </w:r>
      <w:r>
        <w:t>12</w:t>
      </w:r>
      <w:r>
        <w:rPr>
          <w:rFonts w:hint="eastAsia"/>
          <w:lang w:eastAsia="zh-CN"/>
        </w:rPr>
        <w:t>.</w:t>
      </w:r>
      <w:r>
        <w:t>024万元，对比增长11.98%，</w:t>
      </w:r>
      <w:r>
        <w:rPr>
          <w:rFonts w:hint="eastAsia"/>
        </w:rPr>
        <w:t>其中销售化肥</w:t>
      </w:r>
      <w:r>
        <w:t>72</w:t>
      </w:r>
      <w:r>
        <w:rPr>
          <w:rFonts w:hint="eastAsia"/>
          <w:lang w:eastAsia="zh-CN"/>
        </w:rPr>
        <w:t>.</w:t>
      </w:r>
      <w:r>
        <w:t>105吨、农药227吨。</w:t>
      </w:r>
    </w:p>
    <w:p w14:paraId="23FC2F71">
      <w:pPr>
        <w:pStyle w:val="4"/>
        <w:bidi w:val="0"/>
        <w:rPr>
          <w:rFonts w:hint="eastAsia"/>
        </w:rPr>
      </w:pPr>
      <w:r>
        <w:rPr>
          <w:rFonts w:hint="eastAsia"/>
        </w:rPr>
        <w:t>【农产品购销】</w:t>
      </w:r>
    </w:p>
    <w:p w14:paraId="3E152A40">
      <w:pPr>
        <w:rPr>
          <w:rFonts w:hint="eastAsia"/>
        </w:rPr>
      </w:pPr>
      <w:r>
        <w:t>2013年种植甜玉米3000多亩，直</w:t>
      </w:r>
      <w:r>
        <w:rPr>
          <w:rFonts w:hint="eastAsia"/>
        </w:rPr>
        <w:t>接带动农户</w:t>
      </w:r>
      <w:r>
        <w:t>2160户，实现产值620万元，助农增</w:t>
      </w:r>
      <w:r>
        <w:rPr>
          <w:rFonts w:hint="eastAsia"/>
        </w:rPr>
        <w:t>收</w:t>
      </w:r>
      <w:r>
        <w:t>390万元。万丰公司努力发展月饼加工、板鸭等</w:t>
      </w:r>
      <w:r>
        <w:rPr>
          <w:rFonts w:hint="eastAsia"/>
        </w:rPr>
        <w:t>特产肉制腊味业务，实现销售</w:t>
      </w:r>
      <w:r>
        <w:t>350万元。按照“市</w:t>
      </w:r>
      <w:r>
        <w:rPr>
          <w:rFonts w:hint="eastAsia"/>
        </w:rPr>
        <w:t>场运作、行政推动”原则，遵循市场经济规律，利用新供销农产品有限公司平台，与省天润公司进行有效对接，对已评定的</w:t>
      </w:r>
      <w:r>
        <w:t>5家乡镇平价商店和区域大</w:t>
      </w:r>
      <w:r>
        <w:rPr>
          <w:rFonts w:hint="eastAsia"/>
        </w:rPr>
        <w:t>型超市、学校、酒店等的粮油配送，实行粮油配送，打造县域性平价商店网络体系，实现可持续发展。</w:t>
      </w:r>
      <w:r>
        <w:t>4月份注册成立南雄市供销雄源茶叶有限公司，</w:t>
      </w:r>
      <w:r>
        <w:rPr>
          <w:rFonts w:hint="eastAsia"/>
        </w:rPr>
        <w:t>重新整合全市的茶场资源，走“公司</w:t>
      </w:r>
      <w:r>
        <w:t>+基地+专业</w:t>
      </w:r>
      <w:r>
        <w:rPr>
          <w:rFonts w:hint="eastAsia"/>
        </w:rPr>
        <w:t>合作社</w:t>
      </w:r>
      <w:r>
        <w:t>+农户”的产业发展之路，全年收购茶农采</w:t>
      </w:r>
      <w:r>
        <w:rPr>
          <w:rFonts w:hint="eastAsia"/>
        </w:rPr>
        <w:t>摘的茶青</w:t>
      </w:r>
      <w:r>
        <w:t>1600公斤，帮助茶农增加收入6万多元，</w:t>
      </w:r>
      <w:r>
        <w:rPr>
          <w:rFonts w:hint="eastAsia"/>
        </w:rPr>
        <w:t>生产的“珠玑古韵”等系列红茶产品，采用华南农业大学茶叶技术专家团的技术，产品达到绿色食品工艺标准，实现销售</w:t>
      </w:r>
      <w:r>
        <w:t>40多万元，达到农业增效，</w:t>
      </w:r>
      <w:r>
        <w:rPr>
          <w:rFonts w:hint="eastAsia"/>
        </w:rPr>
        <w:t>农民增收的目标。</w:t>
      </w:r>
    </w:p>
    <w:p w14:paraId="3545CC16">
      <w:pPr>
        <w:pStyle w:val="4"/>
        <w:bidi w:val="0"/>
        <w:rPr>
          <w:rFonts w:hint="eastAsia"/>
        </w:rPr>
      </w:pPr>
      <w:r>
        <w:rPr>
          <w:rFonts w:hint="eastAsia"/>
        </w:rPr>
        <w:t>【生活资料购销】</w:t>
      </w:r>
    </w:p>
    <w:p w14:paraId="19A9394F">
      <w:r>
        <w:rPr>
          <w:rFonts w:hint="eastAsia"/>
        </w:rPr>
        <w:t>南雄市万安日用杂品有限责任公司主要经营日用杂品、烟花爆竹。</w:t>
      </w:r>
      <w:r>
        <w:t>2013年，公司</w:t>
      </w:r>
      <w:r>
        <w:rPr>
          <w:rFonts w:hint="eastAsia"/>
          <w:lang w:val="en-US" w:eastAsia="zh-CN"/>
        </w:rPr>
        <w:t>严</w:t>
      </w:r>
      <w:r>
        <w:rPr>
          <w:rFonts w:hint="eastAsia"/>
        </w:rPr>
        <w:t>格按照国家、省、市有关烟花爆竹归口经营政策的要求，大力整顿烟花爆竹市场，规范市场管理和经营行为，加强对销售网络的改造，服务范围覆盖全市，努力改善农村消费环境，提高消费质量，建立安全的烟花爆竹销售和多种经营服务体系，全年完成销售</w:t>
      </w:r>
      <w:r>
        <w:t>602万元，对比增长12.95%。</w:t>
      </w:r>
    </w:p>
    <w:p w14:paraId="6E9F8E0F">
      <w:pPr>
        <w:pStyle w:val="4"/>
        <w:bidi w:val="0"/>
        <w:rPr>
          <w:rFonts w:hint="eastAsia"/>
        </w:rPr>
      </w:pPr>
      <w:r>
        <w:rPr>
          <w:rFonts w:hint="eastAsia"/>
          <w:lang w:eastAsia="zh-CN"/>
        </w:rPr>
        <w:t>【</w:t>
      </w:r>
      <w:r>
        <w:rPr>
          <w:rFonts w:hint="eastAsia"/>
        </w:rPr>
        <w:t>废品经营】</w:t>
      </w:r>
    </w:p>
    <w:p w14:paraId="539BD2FE">
      <w:pPr>
        <w:rPr>
          <w:rFonts w:hint="eastAsia"/>
        </w:rPr>
      </w:pPr>
      <w:r>
        <w:t>2013年全社依靠市场良好的信誉和</w:t>
      </w:r>
      <w:r>
        <w:rPr>
          <w:rFonts w:hint="eastAsia"/>
        </w:rPr>
        <w:t>固有的网络优势，探索建立以社区回收点为基础、以综合加工利用为目标的再生资源回收利用网络体系，全年完成购进</w:t>
      </w:r>
      <w:r>
        <w:t>477万元，同比增长29.62%，</w:t>
      </w:r>
      <w:r>
        <w:rPr>
          <w:rFonts w:hint="eastAsia"/>
        </w:rPr>
        <w:t>逐步实现再生资源产业化、资源化和无害化目标。</w:t>
      </w:r>
    </w:p>
    <w:p w14:paraId="00E92544">
      <w:pPr>
        <w:pStyle w:val="4"/>
        <w:bidi w:val="0"/>
        <w:rPr>
          <w:rFonts w:hint="eastAsia"/>
        </w:rPr>
      </w:pPr>
      <w:r>
        <w:rPr>
          <w:rFonts w:hint="eastAsia"/>
          <w:lang w:eastAsia="zh-CN"/>
        </w:rPr>
        <w:t>【</w:t>
      </w:r>
      <w:r>
        <w:rPr>
          <w:rFonts w:hint="eastAsia"/>
        </w:rPr>
        <w:t>生猪定点屠宰管理、经营】</w:t>
      </w:r>
    </w:p>
    <w:p w14:paraId="7A4BA1B5">
      <w:r>
        <w:rPr>
          <w:rFonts w:hint="eastAsia"/>
        </w:rPr>
        <w:t>南雄市利民肉联厂是南雄市区生猪定点屠宰的唯一企业，</w:t>
      </w:r>
      <w:r>
        <w:t>2013年，肉</w:t>
      </w:r>
      <w:r>
        <w:rPr>
          <w:rFonts w:hint="eastAsia"/>
        </w:rPr>
        <w:t>联厂充分发挥龙头作用，带动广大农户发展生猪养殖</w:t>
      </w:r>
      <w:r>
        <w:t>18000多头；同时加强猪肉市场管理，搞好市场</w:t>
      </w:r>
      <w:r>
        <w:rPr>
          <w:rFonts w:hint="eastAsia"/>
        </w:rPr>
        <w:t>调控，通过积极组织生猪货源，保证市场供应，做到群众满意，政府放心。全年完成屠宰生猪</w:t>
      </w:r>
      <w:r>
        <w:t>42258</w:t>
      </w:r>
      <w:r>
        <w:rPr>
          <w:rFonts w:hint="eastAsia"/>
        </w:rPr>
        <w:t>头，菜牛</w:t>
      </w:r>
      <w:r>
        <w:t>2880头，实现销售101</w:t>
      </w:r>
      <w:r>
        <w:rPr>
          <w:rFonts w:hint="eastAsia"/>
          <w:lang w:val="en-US" w:eastAsia="zh-CN"/>
        </w:rPr>
        <w:t>3</w:t>
      </w:r>
      <w:r>
        <w:t>3万元，同比增长25.53%，被省供销社系统评定为龙头企业。</w:t>
      </w:r>
    </w:p>
    <w:p w14:paraId="3C3912B9">
      <w:pPr>
        <w:jc w:val="right"/>
        <w:rPr>
          <w:rFonts w:hint="eastAsia"/>
          <w:b/>
          <w:bCs/>
          <w:lang w:eastAsia="zh-CN"/>
        </w:rPr>
      </w:pPr>
      <w:r>
        <w:rPr>
          <w:rFonts w:hint="eastAsia"/>
          <w:b/>
          <w:bCs/>
        </w:rPr>
        <w:t>（张</w:t>
      </w:r>
      <w:r>
        <w:rPr>
          <w:rFonts w:hint="eastAsia"/>
          <w:b/>
          <w:bCs/>
          <w:lang w:val="en-US" w:eastAsia="zh-CN"/>
        </w:rPr>
        <w:t xml:space="preserve">  </w:t>
      </w:r>
      <w:r>
        <w:rPr>
          <w:rFonts w:hint="eastAsia"/>
          <w:b/>
          <w:bCs/>
        </w:rPr>
        <w:t>涛</w:t>
      </w:r>
      <w:r>
        <w:rPr>
          <w:rFonts w:hint="eastAsia"/>
          <w:b/>
          <w:bCs/>
          <w:lang w:eastAsia="zh-CN"/>
        </w:rPr>
        <w:t>）</w:t>
      </w:r>
    </w:p>
    <w:p w14:paraId="43954083">
      <w:pPr>
        <w:pStyle w:val="10"/>
        <w:bidi w:val="0"/>
        <w:rPr>
          <w:b/>
          <w:bCs/>
        </w:rPr>
      </w:pPr>
      <w:r>
        <w:rPr>
          <w:rFonts w:hint="eastAsia"/>
          <w:b/>
          <w:bCs/>
        </w:rPr>
        <w:t>附：</w:t>
      </w:r>
      <w:r>
        <w:rPr>
          <w:b/>
          <w:bCs/>
        </w:rPr>
        <w:t>2013年市供销联社领导班子成员名单</w:t>
      </w:r>
    </w:p>
    <w:p w14:paraId="700D9333">
      <w:pPr>
        <w:pStyle w:val="10"/>
        <w:bidi w:val="0"/>
        <w:rPr>
          <w:rFonts w:hint="eastAsia"/>
        </w:rPr>
      </w:pPr>
      <w:r>
        <w:rPr>
          <w:rFonts w:hint="eastAsia"/>
          <w:b/>
          <w:bCs/>
        </w:rPr>
        <w:t>主</w:t>
      </w:r>
      <w:r>
        <w:rPr>
          <w:rFonts w:hint="eastAsia"/>
          <w:b/>
          <w:bCs/>
          <w:lang w:val="en-US" w:eastAsia="zh-CN"/>
        </w:rPr>
        <w:t xml:space="preserve">    </w:t>
      </w:r>
      <w:r>
        <w:rPr>
          <w:rFonts w:hint="eastAsia"/>
          <w:b/>
          <w:bCs/>
        </w:rPr>
        <w:t>任：</w:t>
      </w:r>
      <w:r>
        <w:rPr>
          <w:rFonts w:hint="eastAsia"/>
        </w:rPr>
        <w:t>刘富平</w:t>
      </w:r>
    </w:p>
    <w:p w14:paraId="699BA4A7">
      <w:pPr>
        <w:pStyle w:val="10"/>
        <w:bidi w:val="0"/>
      </w:pPr>
      <w:r>
        <w:rPr>
          <w:rFonts w:hint="eastAsia"/>
          <w:b/>
          <w:bCs/>
        </w:rPr>
        <w:t>副</w:t>
      </w:r>
      <w:r>
        <w:rPr>
          <w:rFonts w:hint="eastAsia"/>
          <w:b/>
          <w:bCs/>
          <w:lang w:val="en-US" w:eastAsia="zh-CN"/>
        </w:rPr>
        <w:t xml:space="preserve"> </w:t>
      </w:r>
      <w:r>
        <w:rPr>
          <w:rFonts w:hint="eastAsia"/>
          <w:b/>
          <w:bCs/>
        </w:rPr>
        <w:t>主</w:t>
      </w:r>
      <w:r>
        <w:rPr>
          <w:rFonts w:hint="eastAsia"/>
          <w:b/>
          <w:bCs/>
          <w:lang w:val="en-US" w:eastAsia="zh-CN"/>
        </w:rPr>
        <w:t xml:space="preserve"> </w:t>
      </w:r>
      <w:r>
        <w:rPr>
          <w:rFonts w:hint="eastAsia"/>
          <w:b/>
          <w:bCs/>
        </w:rPr>
        <w:t>任：</w:t>
      </w:r>
      <w:r>
        <w:rPr>
          <w:rFonts w:hint="eastAsia"/>
        </w:rPr>
        <w:t>刘光明</w:t>
      </w:r>
      <w:r>
        <w:rPr>
          <w:rFonts w:hint="eastAsia"/>
          <w:lang w:val="en-US" w:eastAsia="zh-CN"/>
        </w:rPr>
        <w:t xml:space="preserve">   </w:t>
      </w:r>
      <w:r>
        <w:rPr>
          <w:rFonts w:hint="eastAsia"/>
        </w:rPr>
        <w:t>卢德文</w:t>
      </w:r>
      <w:r>
        <w:rPr>
          <w:rFonts w:hint="eastAsia"/>
          <w:lang w:val="en-US" w:eastAsia="zh-CN"/>
        </w:rPr>
        <w:t xml:space="preserve">   </w:t>
      </w:r>
      <w:r>
        <w:rPr>
          <w:rFonts w:hint="eastAsia"/>
        </w:rPr>
        <w:t>张岳华（任至</w:t>
      </w:r>
      <w:r>
        <w:t>8月）</w:t>
      </w:r>
    </w:p>
    <w:p w14:paraId="65CB21DF">
      <w:pPr>
        <w:pStyle w:val="10"/>
        <w:bidi w:val="0"/>
        <w:rPr>
          <w:rFonts w:hint="eastAsia"/>
        </w:rPr>
      </w:pPr>
      <w:r>
        <w:rPr>
          <w:rFonts w:hint="eastAsia"/>
          <w:b/>
          <w:bCs/>
        </w:rPr>
        <w:t>工会主席：</w:t>
      </w:r>
      <w:r>
        <w:rPr>
          <w:rFonts w:hint="eastAsia"/>
        </w:rPr>
        <w:t>陈亿红</w:t>
      </w:r>
    </w:p>
    <w:p w14:paraId="2392FAD3">
      <w:pPr>
        <w:pStyle w:val="3"/>
        <w:bidi w:val="0"/>
        <w:rPr>
          <w:rFonts w:hint="eastAsia"/>
        </w:rPr>
      </w:pPr>
      <w:r>
        <w:rPr>
          <w:rFonts w:hint="eastAsia"/>
        </w:rPr>
        <w:t>粮食</w:t>
      </w:r>
    </w:p>
    <w:p w14:paraId="0E0AAADE">
      <w:pPr>
        <w:pStyle w:val="4"/>
        <w:bidi w:val="0"/>
        <w:rPr>
          <w:rFonts w:hint="eastAsia"/>
        </w:rPr>
      </w:pPr>
      <w:r>
        <w:rPr>
          <w:rFonts w:hint="eastAsia"/>
        </w:rPr>
        <w:t>【概况】</w:t>
      </w:r>
    </w:p>
    <w:p w14:paraId="6C82997F">
      <w:pPr>
        <w:rPr>
          <w:rFonts w:hint="eastAsia"/>
          <w:lang w:eastAsia="zh-CN"/>
        </w:rPr>
      </w:pPr>
      <w:r>
        <w:rPr>
          <w:rFonts w:hint="eastAsia"/>
        </w:rPr>
        <w:t>南雄市粮食管理储备局（以下简称“粮食局”）是市政府赋予粮食行政管理职能机构。内设储备管理股、财会股、计划综合股</w:t>
      </w:r>
      <w:r>
        <w:t>3个股室，现</w:t>
      </w:r>
      <w:r>
        <w:rPr>
          <w:rFonts w:hint="eastAsia"/>
        </w:rPr>
        <w:t>有干部职工</w:t>
      </w:r>
      <w:r>
        <w:t>45人（其中离退休人员33人，在职人</w:t>
      </w:r>
      <w:r>
        <w:rPr>
          <w:rFonts w:hint="eastAsia"/>
        </w:rPr>
        <w:t>员</w:t>
      </w:r>
      <w:r>
        <w:t>12人）；南雄市粮食购销有限公司（下简称“购</w:t>
      </w:r>
      <w:r>
        <w:rPr>
          <w:rFonts w:hint="eastAsia"/>
        </w:rPr>
        <w:t>销公司”）为国有粮食企业，由粮食局主管，购销公司下辖油山、湖口、古市、全安四个中心粮所及储备库，购销公司实行独立核算，现有员工</w:t>
      </w:r>
      <w:r>
        <w:t>53人，</w:t>
      </w:r>
      <w:r>
        <w:rPr>
          <w:rFonts w:hint="eastAsia"/>
        </w:rPr>
        <w:t>购销公司主要职责是承担各级粮油储备轮换及仓储安全管理</w:t>
      </w:r>
      <w:r>
        <w:rPr>
          <w:rFonts w:hint="eastAsia"/>
          <w:lang w:eastAsia="zh-CN"/>
        </w:rPr>
        <w:t>。</w:t>
      </w:r>
    </w:p>
    <w:p w14:paraId="53FCD0DD">
      <w:pPr>
        <w:pStyle w:val="4"/>
        <w:bidi w:val="0"/>
        <w:rPr>
          <w:rFonts w:hint="eastAsia"/>
        </w:rPr>
      </w:pPr>
      <w:r>
        <w:rPr>
          <w:rFonts w:hint="eastAsia"/>
        </w:rPr>
        <w:t>【粮油仓储】</w:t>
      </w:r>
    </w:p>
    <w:p w14:paraId="26C3B5A5">
      <w:pPr>
        <w:rPr>
          <w:rFonts w:hint="eastAsia"/>
          <w:lang w:eastAsia="zh-CN"/>
        </w:rPr>
      </w:pPr>
      <w:r>
        <w:t>2013年4月，开展南雄市库存粮油</w:t>
      </w:r>
      <w:r>
        <w:rPr>
          <w:rFonts w:hint="eastAsia"/>
        </w:rPr>
        <w:t>“清仓</w:t>
      </w:r>
      <w:r>
        <w:rPr>
          <w:rFonts w:hint="eastAsia"/>
          <w:lang w:eastAsia="zh-CN"/>
        </w:rPr>
        <w:t>查</w:t>
      </w:r>
      <w:r>
        <w:rPr>
          <w:rFonts w:hint="eastAsia"/>
        </w:rPr>
        <w:t>库”工作，经检</w:t>
      </w:r>
      <w:r>
        <w:rPr>
          <w:rFonts w:hint="eastAsia"/>
          <w:lang w:eastAsia="zh-CN"/>
        </w:rPr>
        <w:t>查</w:t>
      </w:r>
      <w:r>
        <w:rPr>
          <w:rFonts w:hint="eastAsia"/>
        </w:rPr>
        <w:t>，全市储备粮油数量真实，质量良好，“三帐统一”，库贷一致，顺利通过省、市检</w:t>
      </w:r>
      <w:r>
        <w:rPr>
          <w:rFonts w:hint="eastAsia"/>
          <w:lang w:eastAsia="zh-CN"/>
        </w:rPr>
        <w:t>查</w:t>
      </w:r>
      <w:r>
        <w:rPr>
          <w:rFonts w:hint="eastAsia"/>
        </w:rPr>
        <w:t>组考核</w:t>
      </w:r>
      <w:r>
        <w:rPr>
          <w:rFonts w:hint="eastAsia"/>
          <w:lang w:eastAsia="zh-CN"/>
        </w:rPr>
        <w:t>。</w:t>
      </w:r>
    </w:p>
    <w:p w14:paraId="2088E688">
      <w:pPr>
        <w:pStyle w:val="4"/>
        <w:bidi w:val="0"/>
        <w:rPr>
          <w:rFonts w:hint="eastAsia"/>
        </w:rPr>
      </w:pPr>
      <w:r>
        <w:rPr>
          <w:rFonts w:hint="eastAsia"/>
        </w:rPr>
        <w:t>【粮油轮换】</w:t>
      </w:r>
    </w:p>
    <w:p w14:paraId="17C0ADD6">
      <w:r>
        <w:t>2013年，按要求全面完成粮食轮出</w:t>
      </w:r>
      <w:r>
        <w:rPr>
          <w:rFonts w:hint="eastAsia"/>
        </w:rPr>
        <w:t>任务</w:t>
      </w:r>
      <w:r>
        <w:t>10600吨、食用植物油60吨，其中夏粮收购</w:t>
      </w:r>
      <w:r>
        <w:rPr>
          <w:rFonts w:hint="eastAsia"/>
        </w:rPr>
        <w:t>于</w:t>
      </w:r>
      <w:r>
        <w:t>7月20日启动，10月30日完成，完成夏粮收购</w:t>
      </w:r>
      <w:r>
        <w:rPr>
          <w:rFonts w:hint="eastAsia"/>
        </w:rPr>
        <w:t>任务</w:t>
      </w:r>
      <w:r>
        <w:t>10600吨。</w:t>
      </w:r>
    </w:p>
    <w:p w14:paraId="34F9CA6E">
      <w:pPr>
        <w:pStyle w:val="4"/>
        <w:bidi w:val="0"/>
        <w:rPr>
          <w:rFonts w:hint="eastAsia"/>
        </w:rPr>
      </w:pPr>
      <w:r>
        <w:rPr>
          <w:rFonts w:hint="eastAsia"/>
        </w:rPr>
        <w:t>【粮食考核】</w:t>
      </w:r>
    </w:p>
    <w:p w14:paraId="7B42351A">
      <w:pPr>
        <w:rPr>
          <w:rFonts w:hint="eastAsia"/>
        </w:rPr>
      </w:pPr>
      <w:r>
        <w:t>2013年9月，韶关市粮食安全考核</w:t>
      </w:r>
      <w:r>
        <w:rPr>
          <w:rFonts w:hint="eastAsia"/>
        </w:rPr>
        <w:t>组到南雄市开展粮食安全政府责任制考核，</w:t>
      </w:r>
      <w:r>
        <w:t>12月，</w:t>
      </w:r>
      <w:r>
        <w:rPr>
          <w:rFonts w:hint="eastAsia"/>
          <w:lang w:val="en-US" w:eastAsia="zh-CN"/>
        </w:rPr>
        <w:t>广</w:t>
      </w:r>
      <w:r>
        <w:rPr>
          <w:rFonts w:hint="eastAsia"/>
        </w:rPr>
        <w:t>东省粮食局到南雄市进行粮食安全政府责任制考核复</w:t>
      </w:r>
      <w:r>
        <w:rPr>
          <w:rFonts w:hint="eastAsia"/>
          <w:lang w:eastAsia="zh-CN"/>
        </w:rPr>
        <w:t>查</w:t>
      </w:r>
      <w:r>
        <w:rPr>
          <w:rFonts w:hint="eastAsia"/>
        </w:rPr>
        <w:t>工作，粮食安全工作顺利通过考核。</w:t>
      </w:r>
    </w:p>
    <w:p w14:paraId="6141BD83">
      <w:pPr>
        <w:pStyle w:val="4"/>
        <w:bidi w:val="0"/>
        <w:rPr>
          <w:rFonts w:hint="eastAsia"/>
        </w:rPr>
      </w:pPr>
      <w:r>
        <w:rPr>
          <w:rFonts w:hint="eastAsia"/>
          <w:lang w:eastAsia="zh-CN"/>
        </w:rPr>
        <w:t>【</w:t>
      </w:r>
      <w:r>
        <w:rPr>
          <w:rFonts w:hint="eastAsia"/>
        </w:rPr>
        <w:t>粮油宣传】</w:t>
      </w:r>
    </w:p>
    <w:p w14:paraId="7D153CCB">
      <w:pPr>
        <w:rPr>
          <w:rFonts w:hint="eastAsia"/>
          <w:lang w:eastAsia="zh-CN"/>
        </w:rPr>
      </w:pPr>
      <w:r>
        <w:t>2013年6月4日，粮食局在三影塔</w:t>
      </w:r>
      <w:r>
        <w:rPr>
          <w:rFonts w:hint="eastAsia"/>
          <w:lang w:val="en-US" w:eastAsia="zh-CN"/>
        </w:rPr>
        <w:t>广</w:t>
      </w:r>
      <w:r>
        <w:rPr>
          <w:rFonts w:hint="eastAsia"/>
        </w:rPr>
        <w:t>场举行粮食科技宣传周活动，重点宣传《国家粮食流通条例》和《广东省粮食安全保障条例》等粮食法律法规。</w:t>
      </w:r>
      <w:r>
        <w:t>6月19日，省粮食行业协会在南雄市</w:t>
      </w:r>
      <w:r>
        <w:rPr>
          <w:rFonts w:hint="eastAsia"/>
        </w:rPr>
        <w:t>举办“粮食质量安全研讨会”，针对广东省“镉大米”事件作了重要分析报告</w:t>
      </w:r>
      <w:r>
        <w:rPr>
          <w:rFonts w:hint="eastAsia"/>
          <w:lang w:eastAsia="zh-CN"/>
        </w:rPr>
        <w:t>。</w:t>
      </w:r>
    </w:p>
    <w:p w14:paraId="013AA65E">
      <w:pPr>
        <w:pStyle w:val="4"/>
        <w:bidi w:val="0"/>
        <w:rPr>
          <w:rFonts w:hint="eastAsia"/>
        </w:rPr>
      </w:pPr>
      <w:r>
        <w:rPr>
          <w:rFonts w:hint="eastAsia"/>
        </w:rPr>
        <w:t>【基础设施建设】</w:t>
      </w:r>
    </w:p>
    <w:p w14:paraId="79AF66D5">
      <w:pPr>
        <w:rPr>
          <w:rFonts w:hint="eastAsia"/>
        </w:rPr>
      </w:pPr>
      <w:r>
        <w:t>2013年，经市政府批准在全安</w:t>
      </w:r>
      <w:r>
        <w:rPr>
          <w:rFonts w:hint="eastAsia"/>
        </w:rPr>
        <w:t>新库增建仓库一座，增建工程建设至</w:t>
      </w:r>
      <w:r>
        <w:t>2014年夏季</w:t>
      </w:r>
      <w:r>
        <w:rPr>
          <w:rFonts w:hint="eastAsia"/>
        </w:rPr>
        <w:t>完成投入使用。</w:t>
      </w:r>
    </w:p>
    <w:p w14:paraId="6785DDBC">
      <w:pPr>
        <w:pStyle w:val="4"/>
        <w:bidi w:val="0"/>
        <w:rPr>
          <w:rFonts w:hint="eastAsia"/>
        </w:rPr>
      </w:pPr>
      <w:r>
        <w:rPr>
          <w:rFonts w:hint="eastAsia"/>
        </w:rPr>
        <w:t>【粮食监督检</w:t>
      </w:r>
      <w:r>
        <w:rPr>
          <w:rFonts w:hint="eastAsia"/>
          <w:lang w:eastAsia="zh-CN"/>
        </w:rPr>
        <w:t>查</w:t>
      </w:r>
      <w:r>
        <w:rPr>
          <w:rFonts w:hint="eastAsia"/>
        </w:rPr>
        <w:t>】</w:t>
      </w:r>
    </w:p>
    <w:p w14:paraId="292F9AB1">
      <w:pPr>
        <w:rPr>
          <w:rFonts w:hint="eastAsia"/>
        </w:rPr>
      </w:pPr>
      <w:r>
        <w:t>2013年6月，南雄市粮食流通</w:t>
      </w:r>
      <w:r>
        <w:rPr>
          <w:rFonts w:hint="eastAsia"/>
        </w:rPr>
        <w:t>监督检</w:t>
      </w:r>
      <w:r>
        <w:rPr>
          <w:rFonts w:hint="eastAsia"/>
          <w:lang w:eastAsia="zh-CN"/>
        </w:rPr>
        <w:t>查</w:t>
      </w:r>
      <w:r>
        <w:rPr>
          <w:rFonts w:hint="eastAsia"/>
        </w:rPr>
        <w:t>工作会议在粮食局召开，会议部署了全年开展粮食流通监督检</w:t>
      </w:r>
      <w:r>
        <w:rPr>
          <w:rFonts w:hint="eastAsia"/>
          <w:lang w:eastAsia="zh-CN"/>
        </w:rPr>
        <w:t>查</w:t>
      </w:r>
      <w:r>
        <w:rPr>
          <w:rFonts w:hint="eastAsia"/>
        </w:rPr>
        <w:t>工作，</w:t>
      </w:r>
      <w:r>
        <w:t>11月6日，国家粮食</w:t>
      </w:r>
      <w:r>
        <w:rPr>
          <w:rFonts w:hint="eastAsia"/>
        </w:rPr>
        <w:t>局到南雄市进行“全国粮食流通监督检</w:t>
      </w:r>
      <w:r>
        <w:rPr>
          <w:rFonts w:hint="eastAsia"/>
          <w:lang w:eastAsia="zh-CN"/>
        </w:rPr>
        <w:t>查</w:t>
      </w:r>
      <w:r>
        <w:rPr>
          <w:rFonts w:hint="eastAsia"/>
        </w:rPr>
        <w:t>示范单位”实地审核工作，</w:t>
      </w:r>
      <w:r>
        <w:t>12月份，根据国家粮食局国</w:t>
      </w:r>
      <w:r>
        <w:rPr>
          <w:rFonts w:hint="eastAsia"/>
        </w:rPr>
        <w:t>粮检〔</w:t>
      </w:r>
      <w:r>
        <w:t>2013〕290号文件，粮食局被评为全国第三</w:t>
      </w:r>
      <w:r>
        <w:rPr>
          <w:rFonts w:hint="eastAsia"/>
        </w:rPr>
        <w:t>批“全国粮食流通监督检</w:t>
      </w:r>
      <w:r>
        <w:rPr>
          <w:rFonts w:hint="eastAsia"/>
          <w:lang w:eastAsia="zh-CN"/>
        </w:rPr>
        <w:t>查</w:t>
      </w:r>
      <w:r>
        <w:rPr>
          <w:rFonts w:hint="eastAsia"/>
        </w:rPr>
        <w:t>示范单位”。</w:t>
      </w:r>
    </w:p>
    <w:p w14:paraId="0ED9EA62">
      <w:pPr>
        <w:pStyle w:val="4"/>
        <w:bidi w:val="0"/>
        <w:rPr>
          <w:rFonts w:hint="eastAsia"/>
        </w:rPr>
      </w:pPr>
      <w:r>
        <w:rPr>
          <w:rFonts w:hint="eastAsia"/>
        </w:rPr>
        <w:t>【机构管理】</w:t>
      </w:r>
    </w:p>
    <w:p w14:paraId="15CA2930">
      <w:pPr>
        <w:rPr>
          <w:rFonts w:hint="eastAsia"/>
          <w:lang w:eastAsia="zh-CN"/>
        </w:rPr>
      </w:pPr>
      <w:r>
        <w:rPr>
          <w:rFonts w:hint="eastAsia"/>
        </w:rPr>
        <w:t>经粮食局研究决定，南雄市粮食购销有限公司在全安库区设立南雄市粮食储备库，李铭忠兼任储备库主任</w:t>
      </w:r>
      <w:r>
        <w:rPr>
          <w:rFonts w:hint="eastAsia"/>
          <w:lang w:eastAsia="zh-CN"/>
        </w:rPr>
        <w:t>。</w:t>
      </w:r>
    </w:p>
    <w:p w14:paraId="3BDB2F29">
      <w:pPr>
        <w:pStyle w:val="4"/>
        <w:bidi w:val="0"/>
        <w:rPr>
          <w:rFonts w:hint="eastAsia"/>
        </w:rPr>
      </w:pPr>
      <w:r>
        <w:rPr>
          <w:rFonts w:hint="eastAsia"/>
        </w:rPr>
        <w:t>【军粮供应】</w:t>
      </w:r>
    </w:p>
    <w:p w14:paraId="2168EFCA">
      <w:pPr>
        <w:rPr>
          <w:rFonts w:hint="eastAsia"/>
        </w:rPr>
      </w:pPr>
      <w:r>
        <w:rPr>
          <w:rFonts w:hint="eastAsia"/>
        </w:rPr>
        <w:t>粮食局军粮供应被广东省粮食局评为“广东省军粮供应管理排头兵工作”优秀军粮代供点。</w:t>
      </w:r>
    </w:p>
    <w:p w14:paraId="4F25E4B4">
      <w:pPr>
        <w:pStyle w:val="4"/>
        <w:bidi w:val="0"/>
        <w:rPr>
          <w:rFonts w:hint="eastAsia"/>
        </w:rPr>
      </w:pPr>
      <w:r>
        <w:rPr>
          <w:rFonts w:hint="eastAsia"/>
        </w:rPr>
        <w:t>【粮油加工】</w:t>
      </w:r>
    </w:p>
    <w:p w14:paraId="531EC15C">
      <w:pPr>
        <w:rPr>
          <w:rFonts w:hint="eastAsia"/>
        </w:rPr>
      </w:pPr>
      <w:r>
        <w:rPr>
          <w:rFonts w:hint="eastAsia"/>
        </w:rPr>
        <w:t>广东省金友集团有限公司，是南雄市从事粮食生产、加工和经营规模较大的民营粮食企业，是广东省、韶关市农业龙头企业，</w:t>
      </w:r>
      <w:r>
        <w:t>2013年，</w:t>
      </w:r>
      <w:r>
        <w:rPr>
          <w:rFonts w:hint="eastAsia"/>
        </w:rPr>
        <w:t>公司米露生产线和米粉生产线建成投产。</w:t>
      </w:r>
    </w:p>
    <w:p w14:paraId="50B09CD2">
      <w:pPr>
        <w:pStyle w:val="4"/>
        <w:bidi w:val="0"/>
        <w:rPr>
          <w:rFonts w:hint="eastAsia"/>
        </w:rPr>
      </w:pPr>
      <w:r>
        <w:rPr>
          <w:rFonts w:hint="eastAsia"/>
        </w:rPr>
        <w:t>【党风</w:t>
      </w:r>
      <w:r>
        <w:rPr>
          <w:rFonts w:hint="eastAsia"/>
          <w:lang w:val="en-US" w:eastAsia="zh-CN"/>
        </w:rPr>
        <w:t>廉</w:t>
      </w:r>
      <w:r>
        <w:rPr>
          <w:rFonts w:hint="eastAsia"/>
        </w:rPr>
        <w:t>政建设】</w:t>
      </w:r>
    </w:p>
    <w:p w14:paraId="5FC83B43">
      <w:pPr>
        <w:rPr>
          <w:rFonts w:hint="eastAsia"/>
        </w:rPr>
      </w:pPr>
      <w:r>
        <w:t>4月15日，召开“面向基层、</w:t>
      </w:r>
      <w:r>
        <w:rPr>
          <w:rFonts w:hint="eastAsia"/>
        </w:rPr>
        <w:t>整顿作风、服务群众”主题教育活动，开展党风廉政建设，加强组织建设。</w:t>
      </w:r>
    </w:p>
    <w:p w14:paraId="379B350F">
      <w:pPr>
        <w:jc w:val="right"/>
        <w:rPr>
          <w:rFonts w:hint="eastAsia"/>
          <w:b/>
          <w:bCs/>
        </w:rPr>
      </w:pPr>
      <w:r>
        <w:rPr>
          <w:rFonts w:hint="eastAsia"/>
          <w:b/>
          <w:bCs/>
        </w:rPr>
        <w:t>（张升金）</w:t>
      </w:r>
    </w:p>
    <w:p w14:paraId="77BF1ACC">
      <w:pPr>
        <w:pStyle w:val="10"/>
        <w:bidi w:val="0"/>
        <w:rPr>
          <w:b/>
          <w:bCs/>
        </w:rPr>
      </w:pPr>
      <w:r>
        <w:rPr>
          <w:rFonts w:hint="eastAsia"/>
          <w:b/>
          <w:bCs/>
        </w:rPr>
        <w:t>附：</w:t>
      </w:r>
      <w:r>
        <w:rPr>
          <w:b/>
          <w:bCs/>
        </w:rPr>
        <w:t>2013年市粮食局领导班子成员名单</w:t>
      </w:r>
    </w:p>
    <w:p w14:paraId="269D81AC">
      <w:pPr>
        <w:pStyle w:val="10"/>
        <w:bidi w:val="0"/>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董书海</w:t>
      </w:r>
    </w:p>
    <w:p w14:paraId="24529477">
      <w:pPr>
        <w:pStyle w:val="10"/>
        <w:bidi w:val="0"/>
        <w:rPr>
          <w:rFonts w:hint="eastAsia"/>
        </w:rPr>
      </w:pPr>
      <w:r>
        <w:rPr>
          <w:rFonts w:hint="eastAsia"/>
          <w:b/>
          <w:bCs/>
        </w:rPr>
        <w:t>副</w:t>
      </w:r>
      <w:r>
        <w:rPr>
          <w:rFonts w:hint="eastAsia"/>
          <w:b/>
          <w:bCs/>
          <w:lang w:val="en-US" w:eastAsia="zh-CN"/>
        </w:rPr>
        <w:t xml:space="preserve"> </w:t>
      </w:r>
      <w:r>
        <w:rPr>
          <w:rFonts w:hint="eastAsia"/>
          <w:b/>
          <w:bCs/>
        </w:rPr>
        <w:t>局</w:t>
      </w:r>
      <w:r>
        <w:rPr>
          <w:rFonts w:hint="eastAsia"/>
          <w:b/>
          <w:bCs/>
          <w:lang w:val="en-US" w:eastAsia="zh-CN"/>
        </w:rPr>
        <w:t xml:space="preserve"> </w:t>
      </w:r>
      <w:r>
        <w:rPr>
          <w:rFonts w:hint="eastAsia"/>
          <w:b/>
          <w:bCs/>
        </w:rPr>
        <w:t>长：</w:t>
      </w:r>
      <w:r>
        <w:rPr>
          <w:rFonts w:hint="eastAsia"/>
        </w:rPr>
        <w:t>何春京</w:t>
      </w:r>
    </w:p>
    <w:p w14:paraId="4B441EB0">
      <w:pPr>
        <w:pStyle w:val="10"/>
        <w:bidi w:val="0"/>
        <w:rPr>
          <w:rFonts w:hint="eastAsia"/>
        </w:rPr>
      </w:pPr>
      <w:r>
        <w:rPr>
          <w:rFonts w:hint="eastAsia"/>
          <w:b/>
          <w:bCs/>
        </w:rPr>
        <w:t>工会主席：</w:t>
      </w:r>
      <w:r>
        <w:rPr>
          <w:rFonts w:hint="eastAsia"/>
        </w:rPr>
        <w:t>叶祖全</w:t>
      </w:r>
    </w:p>
    <w:p w14:paraId="7DAD6649">
      <w:pPr>
        <w:pStyle w:val="3"/>
        <w:bidi w:val="0"/>
        <w:rPr>
          <w:rFonts w:hint="eastAsia"/>
        </w:rPr>
      </w:pPr>
      <w:r>
        <w:rPr>
          <w:rFonts w:hint="eastAsia"/>
        </w:rPr>
        <w:t>石油</w:t>
      </w:r>
    </w:p>
    <w:p w14:paraId="66724FA1">
      <w:pPr>
        <w:pStyle w:val="4"/>
        <w:bidi w:val="0"/>
        <w:rPr>
          <w:rFonts w:hint="eastAsia"/>
        </w:rPr>
      </w:pPr>
      <w:r>
        <w:rPr>
          <w:rFonts w:hint="eastAsia"/>
        </w:rPr>
        <w:t>【概况】</w:t>
      </w:r>
    </w:p>
    <w:p w14:paraId="2D174191">
      <w:pPr>
        <w:rPr>
          <w:rFonts w:hint="eastAsia"/>
          <w:lang w:eastAsia="zh-CN"/>
        </w:rPr>
      </w:pPr>
      <w:r>
        <w:rPr>
          <w:rFonts w:hint="eastAsia"/>
        </w:rPr>
        <w:t>中国石油股份有限公司广东韶关南雄石油分公司的前身是广东省石油企业集团南雄市公司是国有正科级企业单位，位于广东省南雄市雄州镇水南花苑</w:t>
      </w:r>
      <w:r>
        <w:t>13-14号。2013年在岗员工65人，离退</w:t>
      </w:r>
      <w:r>
        <w:rPr>
          <w:rFonts w:hint="eastAsia"/>
        </w:rPr>
        <w:t>休</w:t>
      </w:r>
      <w:r>
        <w:t>21人</w:t>
      </w:r>
      <w:r>
        <w:rPr>
          <w:rFonts w:hint="eastAsia"/>
          <w:lang w:eastAsia="zh-CN"/>
        </w:rPr>
        <w:t>。</w:t>
      </w:r>
    </w:p>
    <w:p w14:paraId="1465B46E">
      <w:pPr>
        <w:pStyle w:val="4"/>
        <w:bidi w:val="0"/>
        <w:rPr>
          <w:rFonts w:hint="eastAsia"/>
        </w:rPr>
      </w:pPr>
      <w:r>
        <w:rPr>
          <w:rFonts w:hint="eastAsia"/>
        </w:rPr>
        <w:t>【机构设置及人员配备】</w:t>
      </w:r>
    </w:p>
    <w:p w14:paraId="7D0758EC">
      <w:r>
        <w:t>1998年6月底上划归中</w:t>
      </w:r>
      <w:r>
        <w:rPr>
          <w:rFonts w:hint="eastAsia"/>
        </w:rPr>
        <w:t>石化广东韶关石油分公司垂直主管。</w:t>
      </w:r>
      <w:r>
        <w:t>2000年12月</w:t>
      </w:r>
      <w:r>
        <w:rPr>
          <w:rFonts w:hint="eastAsia"/>
        </w:rPr>
        <w:t>经中石化广东韶关石油分公司任命陈书榕为公司经理，主持公司全面工作，任至</w:t>
      </w:r>
      <w:r>
        <w:t>2013年8月。2013</w:t>
      </w:r>
      <w:r>
        <w:rPr>
          <w:rFonts w:hint="eastAsia"/>
        </w:rPr>
        <w:t>年</w:t>
      </w:r>
      <w:r>
        <w:t>8月19日由张武林任副经理，主持公司全面工</w:t>
      </w:r>
      <w:r>
        <w:rPr>
          <w:rFonts w:hint="eastAsia"/>
        </w:rPr>
        <w:t>作。公司管理人员</w:t>
      </w:r>
      <w:r>
        <w:t>3人。</w:t>
      </w:r>
    </w:p>
    <w:p w14:paraId="3712AB19">
      <w:pPr>
        <w:pStyle w:val="4"/>
        <w:bidi w:val="0"/>
        <w:rPr>
          <w:rFonts w:hint="eastAsia"/>
        </w:rPr>
      </w:pPr>
      <w:r>
        <w:rPr>
          <w:rFonts w:hint="eastAsia"/>
        </w:rPr>
        <w:t>【加油站情况】</w:t>
      </w:r>
    </w:p>
    <w:p w14:paraId="30594F16">
      <w:r>
        <w:t>2011年1月在韶赣高速公路全安</w:t>
      </w:r>
      <w:r>
        <w:rPr>
          <w:rFonts w:hint="eastAsia"/>
        </w:rPr>
        <w:t>服务区新增加加油站</w:t>
      </w:r>
      <w:r>
        <w:t>2座，分别是韶赣高速公路全</w:t>
      </w:r>
      <w:r>
        <w:rPr>
          <w:rFonts w:hint="eastAsia"/>
        </w:rPr>
        <w:t>安服务区加油站南站和韶赣高速公路全安服务区加油站北站。雄东加油站位于南雄市雄东路</w:t>
      </w:r>
      <w:r>
        <w:t>262号</w:t>
      </w:r>
      <w:r>
        <w:rPr>
          <w:rFonts w:hint="eastAsia"/>
          <w:lang w:eastAsia="zh-CN"/>
        </w:rPr>
        <w:t>、</w:t>
      </w:r>
      <w:r>
        <w:rPr>
          <w:rFonts w:hint="eastAsia"/>
        </w:rPr>
        <w:t>雄南加油站位于南雄市</w:t>
      </w:r>
      <w:r>
        <w:t>157号，乌迳加油站位于乌</w:t>
      </w:r>
      <w:r>
        <w:rPr>
          <w:rFonts w:hint="eastAsia"/>
        </w:rPr>
        <w:t>迳镇孔江路口。以上三座加油站是公司兴建的加油站。</w:t>
      </w:r>
      <w:r>
        <w:t>2013年雄东加油站有员工11人，站长1人；</w:t>
      </w:r>
      <w:r>
        <w:rPr>
          <w:rFonts w:hint="eastAsia"/>
        </w:rPr>
        <w:t>雄南加油站有员工</w:t>
      </w:r>
      <w:r>
        <w:t>11人，站长1人；乌迳加油站</w:t>
      </w:r>
      <w:r>
        <w:rPr>
          <w:rFonts w:hint="eastAsia"/>
        </w:rPr>
        <w:t>有员工</w:t>
      </w:r>
      <w:r>
        <w:t>7人，站长1人；城区加油站有员工1人；</w:t>
      </w:r>
      <w:r>
        <w:rPr>
          <w:rFonts w:hint="eastAsia"/>
        </w:rPr>
        <w:t>韶赣高速公路全安服务区加油站南站有员工</w:t>
      </w:r>
      <w:r>
        <w:t>16人</w:t>
      </w:r>
      <w:r>
        <w:rPr>
          <w:rFonts w:hint="eastAsia"/>
          <w:lang w:eastAsia="zh-CN"/>
        </w:rPr>
        <w:t>、</w:t>
      </w:r>
      <w:r>
        <w:rPr>
          <w:rFonts w:hint="eastAsia"/>
        </w:rPr>
        <w:t>韶赣高速公路全安服务区加油站北站有员工</w:t>
      </w:r>
      <w:r>
        <w:t>16人，</w:t>
      </w:r>
      <w:r>
        <w:rPr>
          <w:rFonts w:hint="eastAsia"/>
        </w:rPr>
        <w:t>站长</w:t>
      </w:r>
      <w:r>
        <w:t>1人。</w:t>
      </w:r>
    </w:p>
    <w:p w14:paraId="377D5349">
      <w:pPr>
        <w:pStyle w:val="4"/>
        <w:bidi w:val="0"/>
        <w:rPr>
          <w:rFonts w:hint="eastAsia"/>
        </w:rPr>
      </w:pPr>
      <w:r>
        <w:rPr>
          <w:rFonts w:hint="eastAsia"/>
        </w:rPr>
        <w:t>【经营状况】</w:t>
      </w:r>
    </w:p>
    <w:p w14:paraId="08753B13">
      <w:pPr>
        <w:rPr>
          <w:rFonts w:hint="eastAsia"/>
        </w:rPr>
      </w:pPr>
      <w:r>
        <w:rPr>
          <w:rFonts w:hint="eastAsia"/>
        </w:rPr>
        <w:t>在</w:t>
      </w:r>
      <w:r>
        <w:t>1998年至2013年公司上划后</w:t>
      </w:r>
      <w:r>
        <w:rPr>
          <w:rFonts w:hint="eastAsia"/>
          <w:lang w:eastAsia="zh-CN"/>
        </w:rPr>
        <w:t>，</w:t>
      </w:r>
      <w:r>
        <w:rPr>
          <w:rFonts w:hint="eastAsia"/>
        </w:rPr>
        <w:t>韶关公司对公司实行垂直管理和“收支”两条线管理后。公司的财务上由上级公司（韶关公司）统</w:t>
      </w:r>
      <w:r>
        <w:rPr>
          <w:rFonts w:hint="eastAsia"/>
          <w:lang w:eastAsia="zh-CN"/>
        </w:rPr>
        <w:t>一</w:t>
      </w:r>
      <w:r>
        <w:rPr>
          <w:rFonts w:hint="eastAsia"/>
        </w:rPr>
        <w:t>核算。固定资产折旧方法是直线法，纳税人资格是</w:t>
      </w:r>
      <w:r>
        <w:rPr>
          <w:rFonts w:hint="eastAsia"/>
          <w:lang w:val="en-US" w:eastAsia="zh-CN"/>
        </w:rPr>
        <w:t>一</w:t>
      </w:r>
      <w:r>
        <w:rPr>
          <w:rFonts w:hint="eastAsia"/>
        </w:rPr>
        <w:t>般纳税人资格。在业务上，在</w:t>
      </w:r>
      <w:r>
        <w:t>2013年公司的零</w:t>
      </w:r>
      <w:r>
        <w:rPr>
          <w:rFonts w:hint="eastAsia"/>
        </w:rPr>
        <w:t>售量是在</w:t>
      </w:r>
      <w:r>
        <w:t>2.8万吨/年左右，在人事上由上级公司</w:t>
      </w:r>
      <w:r>
        <w:rPr>
          <w:rFonts w:hint="eastAsia"/>
        </w:rPr>
        <w:t>统一主管。</w:t>
      </w:r>
    </w:p>
    <w:p w14:paraId="5D285E54">
      <w:pPr>
        <w:jc w:val="right"/>
        <w:rPr>
          <w:rFonts w:hint="eastAsia"/>
          <w:b/>
          <w:bCs/>
        </w:rPr>
      </w:pPr>
      <w:r>
        <w:rPr>
          <w:rFonts w:hint="eastAsia"/>
          <w:b/>
          <w:bCs/>
        </w:rPr>
        <w:t>（市石油公司）</w:t>
      </w:r>
    </w:p>
    <w:p w14:paraId="178C7B8B">
      <w:pPr>
        <w:pStyle w:val="10"/>
        <w:bidi w:val="0"/>
        <w:rPr>
          <w:b/>
          <w:bCs/>
        </w:rPr>
      </w:pPr>
      <w:r>
        <w:rPr>
          <w:rFonts w:hint="eastAsia"/>
          <w:b/>
          <w:bCs/>
        </w:rPr>
        <w:t>附：</w:t>
      </w:r>
      <w:r>
        <w:rPr>
          <w:b/>
          <w:bCs/>
        </w:rPr>
        <w:t>2013年市石油公司领导班子成员名单</w:t>
      </w:r>
    </w:p>
    <w:p w14:paraId="37500213">
      <w:pPr>
        <w:pStyle w:val="10"/>
        <w:bidi w:val="0"/>
      </w:pPr>
      <w:r>
        <w:rPr>
          <w:rFonts w:hint="eastAsia"/>
          <w:b/>
          <w:bCs/>
        </w:rPr>
        <w:t>经</w:t>
      </w:r>
      <w:r>
        <w:rPr>
          <w:rFonts w:hint="eastAsia"/>
          <w:b/>
          <w:bCs/>
          <w:lang w:val="en-US" w:eastAsia="zh-CN"/>
        </w:rPr>
        <w:t xml:space="preserve">  </w:t>
      </w:r>
      <w:r>
        <w:rPr>
          <w:rFonts w:hint="eastAsia"/>
          <w:b/>
          <w:bCs/>
        </w:rPr>
        <w:t>理：</w:t>
      </w:r>
      <w:r>
        <w:rPr>
          <w:rFonts w:hint="eastAsia"/>
        </w:rPr>
        <w:t>陈书熔（任至</w:t>
      </w:r>
      <w:r>
        <w:t>8月）</w:t>
      </w:r>
    </w:p>
    <w:p w14:paraId="74C1CB87">
      <w:pPr>
        <w:pStyle w:val="10"/>
        <w:bidi w:val="0"/>
      </w:pPr>
      <w:r>
        <w:rPr>
          <w:rFonts w:hint="eastAsia"/>
          <w:b/>
          <w:bCs/>
        </w:rPr>
        <w:t>副经理：</w:t>
      </w:r>
      <w:r>
        <w:rPr>
          <w:rFonts w:hint="eastAsia"/>
        </w:rPr>
        <w:t>张武林（</w:t>
      </w:r>
      <w:r>
        <w:t>8月任）</w:t>
      </w:r>
    </w:p>
    <w:p w14:paraId="57338B42">
      <w:pPr>
        <w:pStyle w:val="3"/>
        <w:bidi w:val="0"/>
        <w:rPr>
          <w:rFonts w:hint="default"/>
          <w:lang w:val="en-US" w:eastAsia="zh-CN"/>
        </w:rPr>
      </w:pPr>
      <w:r>
        <w:rPr>
          <w:rFonts w:hint="eastAsia"/>
          <w:lang w:val="en-US" w:eastAsia="zh-CN"/>
        </w:rPr>
        <w:t>对外贸易</w:t>
      </w:r>
    </w:p>
    <w:p w14:paraId="24ED404A">
      <w:pPr>
        <w:pStyle w:val="4"/>
        <w:bidi w:val="0"/>
        <w:rPr>
          <w:rFonts w:hint="eastAsia"/>
        </w:rPr>
      </w:pPr>
      <w:r>
        <w:rPr>
          <w:rFonts w:hint="eastAsia"/>
          <w:lang w:eastAsia="zh-CN"/>
        </w:rPr>
        <w:t>【</w:t>
      </w:r>
      <w:r>
        <w:rPr>
          <w:rFonts w:hint="eastAsia"/>
        </w:rPr>
        <w:t>概况】</w:t>
      </w:r>
    </w:p>
    <w:p w14:paraId="3C30909C">
      <w:r>
        <w:rPr>
          <w:rFonts w:hint="eastAsia"/>
        </w:rPr>
        <w:t>南雄市外经局成立于</w:t>
      </w:r>
      <w:r>
        <w:t>1982年，其前身是</w:t>
      </w:r>
      <w:r>
        <w:rPr>
          <w:rFonts w:hint="eastAsia"/>
        </w:rPr>
        <w:t>南雄县外经委，是县政府工作部门之一。现有人员</w:t>
      </w:r>
      <w:r>
        <w:t>9名，在编人员8名，其中行政编制7名，纪检组</w:t>
      </w:r>
      <w:r>
        <w:rPr>
          <w:rFonts w:hint="eastAsia"/>
        </w:rPr>
        <w:t>长</w:t>
      </w:r>
      <w:r>
        <w:t>1名（市纪委派驻外经局纪检组长，不占编制）</w:t>
      </w:r>
      <w:r>
        <w:rPr>
          <w:rFonts w:hint="eastAsia"/>
        </w:rPr>
        <w:t>工勤编制</w:t>
      </w:r>
      <w:r>
        <w:t>1名，内设办公室、外资股、贸易发展</w:t>
      </w:r>
      <w:r>
        <w:rPr>
          <w:rFonts w:hint="eastAsia"/>
        </w:rPr>
        <w:t>股、口岸办</w:t>
      </w:r>
      <w:r>
        <w:t>4个股室。负责利用外资、出口创汇</w:t>
      </w:r>
      <w:r>
        <w:rPr>
          <w:rFonts w:hint="eastAsia"/>
          <w:lang w:eastAsia="zh-CN"/>
        </w:rPr>
        <w:t>、</w:t>
      </w:r>
      <w:r>
        <w:rPr>
          <w:rFonts w:hint="eastAsia"/>
        </w:rPr>
        <w:t>劳务输出及进出口贸易工作。管理、协调全市举办或参与境内外各类外经贸交易会、展销会、洽谈会，协同有关部门进行经济贸易合作谈判、签约，指导协调全市招商引资投资促进和引进外资工作</w:t>
      </w:r>
      <w:r>
        <w:rPr>
          <w:rFonts w:hint="eastAsia"/>
          <w:lang w:eastAsia="zh-CN"/>
        </w:rPr>
        <w:t>，</w:t>
      </w:r>
      <w:r>
        <w:rPr>
          <w:rFonts w:hint="eastAsia"/>
        </w:rPr>
        <w:t>组织承办全市性招商引资活动，指导和管理全市外商投资企业的合同章程及其变更事项审批，协调解决外资企业在生产经营中的重大问题。联系东莞大岭山（南雄）产业转移工业园管理处、进出口贸易公司、中国银行韶关（南雄）支行、粤华经贸实业总公司。</w:t>
      </w:r>
      <w:r>
        <w:t>2013年南雄市实际利用外资2200万美元；</w:t>
      </w:r>
      <w:r>
        <w:rPr>
          <w:rFonts w:hint="eastAsia"/>
        </w:rPr>
        <w:t>新批项目</w:t>
      </w:r>
      <w:r>
        <w:t>16个，合同资金3200万美元；外贸出口3555万美元。</w:t>
      </w:r>
    </w:p>
    <w:p w14:paraId="3E062331">
      <w:pPr>
        <w:pStyle w:val="4"/>
        <w:bidi w:val="0"/>
        <w:rPr>
          <w:rFonts w:hint="eastAsia"/>
        </w:rPr>
      </w:pPr>
      <w:r>
        <w:rPr>
          <w:rFonts w:hint="eastAsia"/>
        </w:rPr>
        <w:t>【重大项目招商】</w:t>
      </w:r>
    </w:p>
    <w:p w14:paraId="4F52DD90">
      <w:r>
        <w:t>2013年1月19日。康绿宝</w:t>
      </w:r>
      <w:r>
        <w:rPr>
          <w:rFonts w:hint="eastAsia"/>
        </w:rPr>
        <w:t>（南雄）科技园投产。总投资</w:t>
      </w:r>
      <w:r>
        <w:t>6.6亿元的康绿宝</w:t>
      </w:r>
      <w:r>
        <w:rPr>
          <w:rFonts w:hint="eastAsia"/>
        </w:rPr>
        <w:t>（南雄）科技园隆重举行投产庆典仪式。这一工业“巨头”全面投产后年产值可超</w:t>
      </w:r>
      <w:r>
        <w:t>100亿元。</w:t>
      </w:r>
    </w:p>
    <w:p w14:paraId="4B3D6C0F">
      <w:pPr>
        <w:rPr>
          <w:rFonts w:hint="eastAsia"/>
        </w:rPr>
      </w:pPr>
      <w:r>
        <w:t>2013年2月1日。南雄市邀请外来投资企业</w:t>
      </w:r>
      <w:r>
        <w:rPr>
          <w:rFonts w:hint="eastAsia"/>
          <w:lang w:eastAsia="zh-CN"/>
        </w:rPr>
        <w:t>、</w:t>
      </w:r>
      <w:r>
        <w:rPr>
          <w:rFonts w:hint="eastAsia"/>
        </w:rPr>
        <w:t>民营企业家代表举行迎春座谈会，听取企业老板对市招商引资服务工作、发展民营经济的意见和建议，共同展望南雄经济发展美好前景。市领导刘清生、丘德周、吕道宏和有关职能部门负责人、外来投资企业、民营企业老板聚集一堂，围绕南雄工业企业发展的话题进行热烈探讨。市委副书记丘德周主持座谈会。</w:t>
      </w:r>
    </w:p>
    <w:p w14:paraId="21E02535">
      <w:pPr>
        <w:rPr>
          <w:rFonts w:hint="eastAsia"/>
        </w:rPr>
      </w:pPr>
      <w:r>
        <w:t>2013年2月26日。南雄精细化工产业转移园</w:t>
      </w:r>
      <w:r>
        <w:rPr>
          <w:rFonts w:hint="eastAsia"/>
        </w:rPr>
        <w:t>区获评省级服务四星级园区。</w:t>
      </w:r>
      <w:r>
        <w:t>2012年度省工业园区</w:t>
      </w:r>
      <w:r>
        <w:rPr>
          <w:rFonts w:hint="eastAsia"/>
        </w:rPr>
        <w:t>服务星级评价结果发布会暨授牌仪式在广州举行。历经半年的申报、评审和考察，东莞大岭山（南雄）产业转移工业园被认定为四星级优秀园区，成为韶关地区唯一获此殊荣的园区，也是全省首批</w:t>
      </w:r>
      <w:r>
        <w:t>6</w:t>
      </w:r>
      <w:r>
        <w:rPr>
          <w:rFonts w:hint="eastAsia"/>
        </w:rPr>
        <w:t>个升级服务星级园区之一。据了解，首批</w:t>
      </w:r>
      <w:r>
        <w:t>6个省服</w:t>
      </w:r>
      <w:r>
        <w:rPr>
          <w:rFonts w:hint="eastAsia"/>
        </w:rPr>
        <w:t>务星级园区。其中有五星级园区</w:t>
      </w:r>
      <w:r>
        <w:t>2个、四星级园区3个、三星级园区1个，而东莞大岭山（南雄）产</w:t>
      </w:r>
      <w:r>
        <w:rPr>
          <w:rFonts w:hint="eastAsia"/>
        </w:rPr>
        <w:t>业转移工业园在众多园区中脱颖而出，被认定为四星级优秀园区。这是广东省首次面向全省园区进行相关专业评价，通过首批星级服务园区的示范效应，带动全省园区学习先进和优化服务，进一步推进“双转移”工作。</w:t>
      </w:r>
    </w:p>
    <w:p w14:paraId="7D6784E3">
      <w:pPr>
        <w:rPr>
          <w:rFonts w:hint="eastAsia"/>
        </w:rPr>
      </w:pPr>
      <w:r>
        <w:t>11月13日上午，市连邦化工石油科技有限公</w:t>
      </w:r>
      <w:r>
        <w:rPr>
          <w:rFonts w:hint="eastAsia"/>
        </w:rPr>
        <w:t>司开业庆典仪式在东莞大岭山（南雄）产业转移工业园举行。市委副书记丘德周、副市长马细妹以及国际涂层技术创新协会、广东省涂料协会、深圳市涂料技术协会、韶关市人大以及南雄市市直部门等有关领导</w:t>
      </w:r>
      <w:r>
        <w:t>500多人参加开业庆典仪式。公司占地面</w:t>
      </w:r>
      <w:r>
        <w:rPr>
          <w:rFonts w:hint="eastAsia"/>
        </w:rPr>
        <w:t>积</w:t>
      </w:r>
      <w:r>
        <w:t>2万平方米，建筑面积7000多平方米，总投资2000多万元，主要生产涂料、油墨、稀释剂等精细</w:t>
      </w:r>
      <w:r>
        <w:rPr>
          <w:rFonts w:hint="eastAsia"/>
        </w:rPr>
        <w:t>化工产品。该项目建成后，将立足于“安全、科技、环保、绿色”一体的先进涂料的研发生产。当日公司还与招商证券股份有限公司龙岗部总经理文婉红进行签约，将在新三板上市。</w:t>
      </w:r>
    </w:p>
    <w:p w14:paraId="5EF12306">
      <w:pPr>
        <w:pStyle w:val="4"/>
        <w:bidi w:val="0"/>
        <w:rPr>
          <w:rFonts w:hint="eastAsia"/>
        </w:rPr>
      </w:pPr>
      <w:r>
        <w:rPr>
          <w:rFonts w:hint="eastAsia"/>
        </w:rPr>
        <w:t>【对外贸易交流】</w:t>
      </w:r>
    </w:p>
    <w:p w14:paraId="5729A28E">
      <w:pPr>
        <w:rPr>
          <w:rFonts w:hint="eastAsia"/>
        </w:rPr>
      </w:pPr>
      <w:r>
        <w:t>6月25日，南雄·东方（大润</w:t>
      </w:r>
      <w:r>
        <w:rPr>
          <w:rFonts w:hint="eastAsia"/>
        </w:rPr>
        <w:t>发）广场项目融资</w:t>
      </w:r>
      <w:r>
        <w:t>3亿元签约仪式在南雄市隆重举</w:t>
      </w:r>
      <w:r>
        <w:rPr>
          <w:rFonts w:hint="eastAsia"/>
        </w:rPr>
        <w:t>行。由香港远东集团向南雄震东投资公司贷款</w:t>
      </w:r>
      <w:r>
        <w:t>3亿</w:t>
      </w:r>
      <w:r>
        <w:rPr>
          <w:rFonts w:hint="eastAsia"/>
        </w:rPr>
        <w:t>元，为该项目在</w:t>
      </w:r>
      <w:r>
        <w:t>2013年底前顺利营业注入强大动</w:t>
      </w:r>
      <w:r>
        <w:rPr>
          <w:rFonts w:hint="eastAsia"/>
        </w:rPr>
        <w:t>力。“南雄·东方（大润发）广场”项目位于南雄浈江北岸，由南雄震东投资有限公司建设，是集商业中心、高档住宅、办公、公寓、酒店及配套生活与休闲娱乐为一体，汇集多种业态元素与物业形式的现代化城市综合体项目。项目用地面积近</w:t>
      </w:r>
      <w:r>
        <w:t>6.7万</w:t>
      </w:r>
      <w:r>
        <w:rPr>
          <w:rFonts w:hint="eastAsia"/>
        </w:rPr>
        <w:t>平方米，总建筑面积</w:t>
      </w:r>
      <w:r>
        <w:t>18.08万平方米，总投资6亿</w:t>
      </w:r>
      <w:r>
        <w:rPr>
          <w:rFonts w:hint="eastAsia"/>
        </w:rPr>
        <w:t>元。目前，该项目正如火如荼建设之中，主体工程将在</w:t>
      </w:r>
      <w:r>
        <w:t>9月底封顶竣工，确保整个项目在年底前全面</w:t>
      </w:r>
      <w:r>
        <w:rPr>
          <w:rFonts w:hint="eastAsia"/>
        </w:rPr>
        <w:t>营业，现已签约了东方（大润发）等</w:t>
      </w:r>
      <w:r>
        <w:t>100多家品牌</w:t>
      </w:r>
      <w:r>
        <w:rPr>
          <w:rFonts w:hint="eastAsia"/>
        </w:rPr>
        <w:t>连锁企业进驻。</w:t>
      </w:r>
    </w:p>
    <w:p w14:paraId="42167EFD">
      <w:pPr>
        <w:pStyle w:val="4"/>
        <w:bidi w:val="0"/>
        <w:rPr>
          <w:rFonts w:hint="eastAsia"/>
        </w:rPr>
      </w:pPr>
      <w:r>
        <w:rPr>
          <w:rFonts w:hint="eastAsia"/>
        </w:rPr>
        <w:t>【服务环境建设】</w:t>
      </w:r>
    </w:p>
    <w:p w14:paraId="12CA290F">
      <w:pPr>
        <w:rPr>
          <w:rFonts w:hint="eastAsia"/>
        </w:rPr>
      </w:pPr>
      <w:r>
        <w:rPr>
          <w:rFonts w:hint="eastAsia"/>
        </w:rPr>
        <w:t>一是为企业年检、报建、外商子女读书、车辆违章、办证办照等服务</w:t>
      </w:r>
      <w:r>
        <w:t>210多次。</w:t>
      </w:r>
      <w:r>
        <w:rPr>
          <w:rFonts w:hint="eastAsia"/>
        </w:rPr>
        <w:t>做好企业年检服务，安排业务能力强、综合素质好的工作人员为企业年检服务。为竹博园协调用水</w:t>
      </w:r>
      <w:r>
        <w:rPr>
          <w:rFonts w:hint="eastAsia"/>
          <w:lang w:eastAsia="zh-CN"/>
        </w:rPr>
        <w:t>、</w:t>
      </w:r>
      <w:r>
        <w:rPr>
          <w:rFonts w:hint="eastAsia"/>
        </w:rPr>
        <w:t>用电、通讯管网、道路等项目建设中遇到的困难和问题；新型墙体材料环保页岩砖从项目进来开始，为企业解决环保、水土、国土、征地等问题，特别是在征地过程中，多次与雄州街道铺背村、犁口村干部沟通协调，项目最终得于顺利进行；多次为汽车城项目解决排污管道、办证等问题。二是对南雄阳普医疗科技有限公司、南雄市圣邦精细化工有限公司等项目进行重点跟踪服务，了解推进情况和存在困难，并及时提出解决问题的措施和办法，面对面进行帮扶指导，促进企业发展；由市委办、招商办牵头组织了一次挂点企业检</w:t>
      </w:r>
      <w:r>
        <w:rPr>
          <w:rFonts w:hint="eastAsia"/>
          <w:lang w:eastAsia="zh-CN"/>
        </w:rPr>
        <w:t>查</w:t>
      </w:r>
      <w:r>
        <w:rPr>
          <w:rFonts w:hint="eastAsia"/>
        </w:rPr>
        <w:t>，市领导和各单位能按照市委、市政府的工作要求，深入联系企业，加强沟通协调，切实抓好服务，帮助解决实际问题，大部分企业都取得较快进展。三是召开项目协调会</w:t>
      </w:r>
      <w:r>
        <w:t>26次，切实解决企业在生产过程中遇到的困</w:t>
      </w:r>
      <w:r>
        <w:rPr>
          <w:rFonts w:hint="eastAsia"/>
        </w:rPr>
        <w:t>难和问题。高标准的规范管理为园区综合品位的全面提升夯实基础，</w:t>
      </w:r>
      <w:r>
        <w:t>3月，园区被评为广东省“四星</w:t>
      </w:r>
      <w:r>
        <w:rPr>
          <w:rFonts w:hint="eastAsia"/>
        </w:rPr>
        <w:t>级服务园区”；</w:t>
      </w:r>
      <w:r>
        <w:t>5月，顺利通过省双转移目标责任</w:t>
      </w:r>
      <w:r>
        <w:rPr>
          <w:rFonts w:hint="eastAsia"/>
        </w:rPr>
        <w:t>考核，并取得优秀等次。</w:t>
      </w:r>
    </w:p>
    <w:p w14:paraId="71099B19">
      <w:pPr>
        <w:pStyle w:val="4"/>
        <w:bidi w:val="0"/>
        <w:rPr>
          <w:rFonts w:hint="eastAsia"/>
        </w:rPr>
      </w:pPr>
      <w:r>
        <w:rPr>
          <w:rFonts w:hint="eastAsia"/>
        </w:rPr>
        <w:t>【创新招商方式】</w:t>
      </w:r>
    </w:p>
    <w:p w14:paraId="2CE0DF27">
      <w:pPr>
        <w:rPr>
          <w:rFonts w:hint="eastAsia"/>
        </w:rPr>
      </w:pPr>
      <w:r>
        <w:rPr>
          <w:rFonts w:hint="eastAsia"/>
        </w:rPr>
        <w:t>制定市领导和有关单位挂点联系企业制度，建立符合科学发展观要求的考评办法。</w:t>
      </w:r>
      <w:r>
        <w:t>2013年，对市领导和有关单位挂点联系服务企</w:t>
      </w:r>
      <w:r>
        <w:rPr>
          <w:rFonts w:hint="eastAsia"/>
        </w:rPr>
        <w:t>业，及时解决企业生产经营中遇到的困难和问题，加快企业建设，促进企业投产见效进行了</w:t>
      </w:r>
      <w:r>
        <w:t>2次督</w:t>
      </w:r>
      <w:r>
        <w:rPr>
          <w:rFonts w:hint="eastAsia"/>
          <w:lang w:eastAsia="zh-CN"/>
        </w:rPr>
        <w:t>查</w:t>
      </w:r>
      <w:r>
        <w:rPr>
          <w:rFonts w:hint="eastAsia"/>
        </w:rPr>
        <w:t>，有效地提升全市上下服务水平。利用行业协会招商。通过与广东省化工行业协会、顺德涂料商会等协会合作，有针对性地向精细化工企业进行专业性招商，大大提高了招商引资效率。小分队招商。市成立专业招商小分队“走出去，请进来”，到珠三角地区逐个上门拜访客商，以真情和诚意打动客商来南雄投资。推介招商。精心筹备策划参加各种大型展览会，宣传南雄投资环境，并先后在深圳、东莞、广州等地举办多次规模较大的招商引资推介会。以商招商。充分发挥在南雄投资企业的示范带动作用，通过热情周到的服务，客商对南雄良好的投资环境口口相传，形成以商招商，以商带商的良好局面。</w:t>
      </w:r>
    </w:p>
    <w:p w14:paraId="5E3393BE">
      <w:pPr>
        <w:pStyle w:val="4"/>
        <w:bidi w:val="0"/>
        <w:rPr>
          <w:rFonts w:hint="eastAsia"/>
        </w:rPr>
      </w:pPr>
      <w:r>
        <w:rPr>
          <w:rFonts w:hint="eastAsia"/>
        </w:rPr>
        <w:t>【扩发招商宣传】</w:t>
      </w:r>
    </w:p>
    <w:p w14:paraId="3F9BD17B">
      <w:pPr>
        <w:rPr>
          <w:rFonts w:hint="eastAsia"/>
        </w:rPr>
      </w:pPr>
      <w:r>
        <w:rPr>
          <w:rFonts w:hint="eastAsia"/>
        </w:rPr>
        <w:t>编制《南雄市投资指南》，对南雄实行整体包装、宣传和推介。在韶关日报、南雄电视台、广播电台、系列专栏、滚动字幕等形式介绍市情、优势资源、招商项目、重点企业，播放介绍南雄市情的电视专题片，营造良好的氛围。在南雄市政府信息网等网站开辟招商项目网页，建立信息发布平台，推介优势资源和重点项目，为外界搭建一条了解南雄的快速通道。</w:t>
      </w:r>
    </w:p>
    <w:p w14:paraId="0D0C7B91">
      <w:pPr>
        <w:pStyle w:val="4"/>
        <w:bidi w:val="0"/>
        <w:rPr>
          <w:rFonts w:hint="eastAsia"/>
        </w:rPr>
      </w:pPr>
      <w:r>
        <w:rPr>
          <w:rFonts w:hint="eastAsia"/>
        </w:rPr>
        <w:t>【出口贸易方式结构】</w:t>
      </w:r>
    </w:p>
    <w:p w14:paraId="34EF7F56">
      <w:pPr>
        <w:rPr>
          <w:rFonts w:hint="eastAsia"/>
        </w:rPr>
      </w:pPr>
      <w:r>
        <w:t>1.加强与上级海关、技监等</w:t>
      </w:r>
      <w:r>
        <w:rPr>
          <w:rFonts w:hint="eastAsia"/>
        </w:rPr>
        <w:t>有关部门的联系，搞好外贸出口。</w:t>
      </w:r>
      <w:r>
        <w:t>2.实施以进带出战</w:t>
      </w:r>
      <w:r>
        <w:rPr>
          <w:rFonts w:hint="eastAsia"/>
        </w:rPr>
        <w:t>略，抓好新的出口增长点。</w:t>
      </w:r>
      <w:r>
        <w:t>3.实行重点突破战略，抓</w:t>
      </w:r>
      <w:r>
        <w:rPr>
          <w:rFonts w:hint="eastAsia"/>
        </w:rPr>
        <w:t>好重点出口企业和重点出口市场。</w:t>
      </w:r>
      <w:r>
        <w:t>4.引导鼓励外贸企</w:t>
      </w:r>
      <w:r>
        <w:rPr>
          <w:rFonts w:hint="eastAsia"/>
        </w:rPr>
        <w:t>业积极开拓创新，不断拓宽出口业务。</w:t>
      </w:r>
    </w:p>
    <w:p w14:paraId="032C122D">
      <w:pPr>
        <w:pStyle w:val="4"/>
        <w:bidi w:val="0"/>
        <w:rPr>
          <w:rFonts w:hint="eastAsia"/>
        </w:rPr>
      </w:pPr>
      <w:r>
        <w:rPr>
          <w:rFonts w:hint="eastAsia"/>
        </w:rPr>
        <w:t>【出口主要商品结构】</w:t>
      </w:r>
    </w:p>
    <w:p w14:paraId="600AC754">
      <w:pPr>
        <w:rPr>
          <w:rFonts w:hint="eastAsia"/>
        </w:rPr>
      </w:pPr>
      <w:r>
        <w:rPr>
          <w:rFonts w:hint="eastAsia"/>
        </w:rPr>
        <w:t>出口腾竹制品（竹筷子）、次性餐具、圣诞礼品袋、化工产品。</w:t>
      </w:r>
    </w:p>
    <w:p w14:paraId="1AD088E4">
      <w:pPr>
        <w:jc w:val="right"/>
        <w:rPr>
          <w:rFonts w:hint="eastAsia"/>
          <w:b/>
          <w:bCs/>
        </w:rPr>
      </w:pPr>
      <w:r>
        <w:rPr>
          <w:rFonts w:hint="eastAsia"/>
          <w:b/>
          <w:bCs/>
        </w:rPr>
        <w:t>（陈如亮）</w:t>
      </w:r>
    </w:p>
    <w:p w14:paraId="57CBA02B">
      <w:pPr>
        <w:pStyle w:val="10"/>
        <w:bidi w:val="0"/>
        <w:rPr>
          <w:b/>
          <w:bCs/>
        </w:rPr>
      </w:pPr>
      <w:r>
        <w:rPr>
          <w:rFonts w:hint="eastAsia"/>
          <w:b/>
          <w:bCs/>
        </w:rPr>
        <w:t>附：</w:t>
      </w:r>
      <w:r>
        <w:rPr>
          <w:b/>
          <w:bCs/>
        </w:rPr>
        <w:t>2013年市外经局领导班子成员名单</w:t>
      </w:r>
    </w:p>
    <w:p w14:paraId="0C407669">
      <w:pPr>
        <w:pStyle w:val="10"/>
        <w:bidi w:val="0"/>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李</w:t>
      </w:r>
      <w:r>
        <w:rPr>
          <w:rFonts w:hint="eastAsia"/>
          <w:lang w:val="en-US" w:eastAsia="zh-CN"/>
        </w:rPr>
        <w:t xml:space="preserve">  </w:t>
      </w:r>
      <w:r>
        <w:rPr>
          <w:rFonts w:hint="eastAsia"/>
        </w:rPr>
        <w:t>祥</w:t>
      </w:r>
    </w:p>
    <w:p w14:paraId="7124F123">
      <w:pPr>
        <w:pStyle w:val="10"/>
        <w:bidi w:val="0"/>
        <w:rPr>
          <w:rFonts w:hint="eastAsia"/>
        </w:rPr>
      </w:pPr>
      <w:r>
        <w:rPr>
          <w:rFonts w:hint="eastAsia"/>
          <w:b/>
          <w:bCs/>
        </w:rPr>
        <w:t>副</w:t>
      </w:r>
      <w:r>
        <w:rPr>
          <w:rFonts w:hint="eastAsia"/>
          <w:b/>
          <w:bCs/>
          <w:lang w:val="en-US" w:eastAsia="zh-CN"/>
        </w:rPr>
        <w:t xml:space="preserve"> </w:t>
      </w:r>
      <w:r>
        <w:rPr>
          <w:rFonts w:hint="eastAsia"/>
          <w:b/>
          <w:bCs/>
        </w:rPr>
        <w:t>局</w:t>
      </w:r>
      <w:r>
        <w:rPr>
          <w:rFonts w:hint="eastAsia"/>
          <w:b/>
          <w:bCs/>
          <w:lang w:val="en-US" w:eastAsia="zh-CN"/>
        </w:rPr>
        <w:t xml:space="preserve"> </w:t>
      </w:r>
      <w:r>
        <w:rPr>
          <w:rFonts w:hint="eastAsia"/>
          <w:b/>
          <w:bCs/>
        </w:rPr>
        <w:t>长：</w:t>
      </w:r>
      <w:r>
        <w:rPr>
          <w:rFonts w:hint="eastAsia"/>
        </w:rPr>
        <w:t>李</w:t>
      </w:r>
      <w:r>
        <w:rPr>
          <w:rFonts w:hint="eastAsia"/>
          <w:lang w:val="en-US" w:eastAsia="zh-CN"/>
        </w:rPr>
        <w:t xml:space="preserve">  </w:t>
      </w:r>
      <w:r>
        <w:rPr>
          <w:rFonts w:hint="eastAsia"/>
        </w:rPr>
        <w:t>宇</w:t>
      </w:r>
      <w:r>
        <w:rPr>
          <w:rFonts w:hint="eastAsia"/>
          <w:lang w:val="en-US" w:eastAsia="zh-CN"/>
        </w:rPr>
        <w:t xml:space="preserve">   </w:t>
      </w:r>
      <w:r>
        <w:rPr>
          <w:rFonts w:hint="eastAsia"/>
        </w:rPr>
        <w:t>叶世明</w:t>
      </w:r>
    </w:p>
    <w:p w14:paraId="2366CEE3">
      <w:pPr>
        <w:pStyle w:val="10"/>
        <w:bidi w:val="0"/>
        <w:rPr>
          <w:rFonts w:hint="eastAsia"/>
        </w:rPr>
      </w:pPr>
      <w:r>
        <w:rPr>
          <w:rFonts w:hint="eastAsia"/>
          <w:b/>
          <w:bCs/>
        </w:rPr>
        <w:t>纪检组长：</w:t>
      </w:r>
      <w:r>
        <w:rPr>
          <w:rFonts w:hint="eastAsia"/>
          <w:b w:val="0"/>
          <w:bCs w:val="0"/>
        </w:rPr>
        <w:t>吴</w:t>
      </w:r>
      <w:r>
        <w:rPr>
          <w:rFonts w:hint="eastAsia"/>
        </w:rPr>
        <w:t>良勇</w:t>
      </w:r>
    </w:p>
    <w:p w14:paraId="258ADF6E">
      <w:pPr>
        <w:pStyle w:val="3"/>
        <w:bidi w:val="0"/>
        <w:rPr>
          <w:rFonts w:hint="eastAsia"/>
        </w:rPr>
      </w:pPr>
      <w:r>
        <w:rPr>
          <w:rFonts w:hint="eastAsia"/>
        </w:rPr>
        <w:t>旅游</w:t>
      </w:r>
    </w:p>
    <w:p w14:paraId="7994F55B">
      <w:pPr>
        <w:pStyle w:val="4"/>
        <w:bidi w:val="0"/>
        <w:rPr>
          <w:rFonts w:hint="eastAsia"/>
        </w:rPr>
      </w:pPr>
      <w:r>
        <w:rPr>
          <w:rFonts w:hint="eastAsia"/>
        </w:rPr>
        <w:t>【概况】</w:t>
      </w:r>
    </w:p>
    <w:p w14:paraId="73389AD2">
      <w:pPr>
        <w:rPr>
          <w:rFonts w:hint="eastAsia"/>
        </w:rPr>
      </w:pPr>
      <w:r>
        <w:rPr>
          <w:rFonts w:hint="eastAsia"/>
        </w:rPr>
        <w:t>南雄市旅游局成立于</w:t>
      </w:r>
      <w:r>
        <w:t>1989年11月，为</w:t>
      </w:r>
      <w:r>
        <w:rPr>
          <w:rFonts w:hint="eastAsia"/>
        </w:rPr>
        <w:t>事业单位，编制为</w:t>
      </w:r>
      <w:r>
        <w:t>3人。2001年机构改革，由事业</w:t>
      </w:r>
      <w:r>
        <w:rPr>
          <w:rFonts w:hint="eastAsia"/>
        </w:rPr>
        <w:t>单位调整为行政单位，编制为</w:t>
      </w:r>
      <w:r>
        <w:t>5人，其中局长1</w:t>
      </w:r>
      <w:r>
        <w:rPr>
          <w:rFonts w:hint="eastAsia"/>
        </w:rPr>
        <w:t>名、副局长</w:t>
      </w:r>
      <w:r>
        <w:t>2名，纪检组长1名。内设办公室、行</w:t>
      </w:r>
      <w:r>
        <w:rPr>
          <w:rFonts w:hint="eastAsia"/>
        </w:rPr>
        <w:t>业管理股两个职能股室。主要职责：拟定旅游业管理政策并组织实施；贯彻执行国家关于旅游业的方针政策和法规，培育和完善国内旅游市场；研究拟定发展国内旅游的措施并监督执行；指导全市旅游工作；组织旅游资源的普</w:t>
      </w:r>
      <w:r>
        <w:rPr>
          <w:rFonts w:hint="eastAsia"/>
          <w:lang w:eastAsia="zh-CN"/>
        </w:rPr>
        <w:t>查</w:t>
      </w:r>
      <w:r>
        <w:rPr>
          <w:rFonts w:hint="eastAsia"/>
        </w:rPr>
        <w:t>；组织南雄旅游整体形象的对外宣传和重大促销活动；指导旅游企业对外交流与合作；承办上级交办的其他事项。</w:t>
      </w:r>
      <w:r>
        <w:t>2013年，</w:t>
      </w:r>
      <w:r>
        <w:rPr>
          <w:rFonts w:hint="eastAsia"/>
        </w:rPr>
        <w:t>旅游局被韶关市旅游局评为“旅游项目推进先进单位”；被评为南雄市纪检监察工作先进集体。</w:t>
      </w:r>
    </w:p>
    <w:p w14:paraId="67CDA269">
      <w:pPr>
        <w:pStyle w:val="4"/>
        <w:bidi w:val="0"/>
        <w:rPr>
          <w:rFonts w:hint="eastAsia"/>
        </w:rPr>
      </w:pPr>
      <w:r>
        <w:rPr>
          <w:rFonts w:hint="eastAsia"/>
        </w:rPr>
        <w:t>【旅游接待】</w:t>
      </w:r>
    </w:p>
    <w:p w14:paraId="7268B7AB">
      <w:r>
        <w:rPr>
          <w:rFonts w:hint="eastAsia"/>
        </w:rPr>
        <w:t>创造良好的旅游环境，制定接待方案，明确工作分工，加强部门配合和联动，做好旅游接待。</w:t>
      </w:r>
      <w:r>
        <w:t>2013年春节、“五一”和国庆等节假日期</w:t>
      </w:r>
      <w:r>
        <w:rPr>
          <w:rFonts w:hint="eastAsia"/>
        </w:rPr>
        <w:t>间，景区运作正常，宾馆酒店经营有序，保持了节假日零事故、零投诉的记录，达到“安全、秩序</w:t>
      </w:r>
      <w:r>
        <w:rPr>
          <w:rFonts w:hint="eastAsia"/>
          <w:lang w:eastAsia="zh-CN"/>
        </w:rPr>
        <w:t>、</w:t>
      </w:r>
      <w:r>
        <w:rPr>
          <w:rFonts w:hint="eastAsia"/>
        </w:rPr>
        <w:t>质量、效益”四统一的预期工作目标。</w:t>
      </w:r>
      <w:r>
        <w:t>2013年，全</w:t>
      </w:r>
      <w:r>
        <w:rPr>
          <w:rFonts w:hint="eastAsia"/>
        </w:rPr>
        <w:t>年接待游客</w:t>
      </w:r>
      <w:r>
        <w:t>218.85万人次，同比增长29%%；实</w:t>
      </w:r>
      <w:r>
        <w:rPr>
          <w:rFonts w:hint="eastAsia"/>
        </w:rPr>
        <w:t>现旅游总</w:t>
      </w:r>
      <w:r>
        <w:rPr>
          <w:rFonts w:hint="eastAsia"/>
          <w:lang w:eastAsia="zh-CN"/>
        </w:rPr>
        <w:t>收入</w:t>
      </w:r>
      <w:r>
        <w:t>14.85亿元，同比增长33%。</w:t>
      </w:r>
    </w:p>
    <w:p w14:paraId="105EC8EB">
      <w:pPr>
        <w:pStyle w:val="4"/>
        <w:bidi w:val="0"/>
        <w:rPr>
          <w:rFonts w:hint="eastAsia"/>
        </w:rPr>
      </w:pPr>
      <w:r>
        <w:rPr>
          <w:rFonts w:hint="eastAsia"/>
          <w:lang w:eastAsia="zh-CN"/>
        </w:rPr>
        <w:t>【</w:t>
      </w:r>
      <w:r>
        <w:rPr>
          <w:rFonts w:hint="eastAsia"/>
        </w:rPr>
        <w:t>旅游招商引资】</w:t>
      </w:r>
    </w:p>
    <w:p w14:paraId="6BC93425">
      <w:r>
        <w:rPr>
          <w:rFonts w:hint="eastAsia"/>
        </w:rPr>
        <w:t>印制《南雄旅游投资手册》，参加各种招商大会、旅游展览会推介南雄市旅游招商项目，吸引更多外商到南雄投资旅游项目。</w:t>
      </w:r>
      <w:r>
        <w:t>11月12日，市政府在广州白云国际会议中心举行旅游环</w:t>
      </w:r>
      <w:r>
        <w:rPr>
          <w:rFonts w:hint="eastAsia"/>
        </w:rPr>
        <w:t>境投资推介会，现场与多家客商签约，签约资金</w:t>
      </w:r>
      <w:r>
        <w:t>28.7亿元，并与广州广之旅国际旅行社股份有限公</w:t>
      </w:r>
      <w:r>
        <w:rPr>
          <w:rFonts w:hint="eastAsia"/>
        </w:rPr>
        <w:t>司、广东省中国旅行社股份有限公司、中国国旅（广东）国际旅行社股份有限公司、广东南湖国际旅行社有限责任公司、广州携程国际旅行社有限公司等</w:t>
      </w:r>
      <w:r>
        <w:t>5家知名旅游社签订旅游战略合作协议。</w:t>
      </w:r>
    </w:p>
    <w:p w14:paraId="4B1B8A5F">
      <w:pPr>
        <w:pStyle w:val="4"/>
        <w:bidi w:val="0"/>
        <w:rPr>
          <w:rFonts w:hint="eastAsia"/>
        </w:rPr>
      </w:pPr>
      <w:r>
        <w:rPr>
          <w:rFonts w:hint="eastAsia"/>
        </w:rPr>
        <w:t>【旅游行业管理】</w:t>
      </w:r>
    </w:p>
    <w:p w14:paraId="5289EDF8">
      <w:r>
        <w:rPr>
          <w:rFonts w:hint="eastAsia"/>
        </w:rPr>
        <w:t>抓住</w:t>
      </w:r>
      <w:r>
        <w:t>10月1日正式实施《旅游</w:t>
      </w:r>
      <w:r>
        <w:rPr>
          <w:rFonts w:hint="eastAsia"/>
        </w:rPr>
        <w:t>法》的契机，</w:t>
      </w:r>
      <w:r>
        <w:t>9月18日，召开全市旅游系统学习贯</w:t>
      </w:r>
      <w:r>
        <w:rPr>
          <w:rFonts w:hint="eastAsia"/>
        </w:rPr>
        <w:t>彻《旅游法》培训大会，邀请韶关学院的教授为与会人员授课，进一步提升旅游从业人员的整体素质和法律意识，为正确应对和适用《旅游法》的规定，防范旅游经营中的法律风险，保护旅游者和旅游经营者的合法权益，规范南雄旅游市场秩序奠定了坚实基础。同时，联合工商、文化、安监、消防、物价等部门经常深入南雄市各星级酒店、旅行社和景区开展执法检</w:t>
      </w:r>
      <w:r>
        <w:rPr>
          <w:rFonts w:hint="eastAsia"/>
          <w:lang w:eastAsia="zh-CN"/>
        </w:rPr>
        <w:t>查</w:t>
      </w:r>
      <w:r>
        <w:rPr>
          <w:rFonts w:hint="eastAsia"/>
        </w:rPr>
        <w:t>，严厉打击虚假广告、价格欺诈、“零负团费”、超范围经营等违法违规行为</w:t>
      </w:r>
      <w:r>
        <w:rPr>
          <w:rFonts w:hint="eastAsia"/>
          <w:lang w:eastAsia="zh-CN"/>
        </w:rPr>
        <w:t>，</w:t>
      </w:r>
      <w:r>
        <w:rPr>
          <w:rFonts w:hint="eastAsia"/>
        </w:rPr>
        <w:t>净化旅游市场，营造公平竞争、优质服务的旅游环境，切实维护旅游者的合法权益。坚持抓好星级酒店的复核和复评</w:t>
      </w:r>
      <w:r>
        <w:rPr>
          <w:rFonts w:hint="eastAsia"/>
          <w:lang w:eastAsia="zh-CN"/>
        </w:rPr>
        <w:t>工作</w:t>
      </w:r>
      <w:r>
        <w:t>。</w:t>
      </w:r>
    </w:p>
    <w:p w14:paraId="5AC68573">
      <w:pPr>
        <w:pStyle w:val="4"/>
        <w:bidi w:val="0"/>
        <w:rPr>
          <w:rFonts w:hint="eastAsia"/>
        </w:rPr>
      </w:pPr>
      <w:r>
        <w:rPr>
          <w:rFonts w:hint="eastAsia"/>
        </w:rPr>
        <w:t>【旅游设施建设】</w:t>
      </w:r>
    </w:p>
    <w:p w14:paraId="70C3F726">
      <w:pPr>
        <w:rPr>
          <w:rFonts w:hint="eastAsia"/>
        </w:rPr>
      </w:pPr>
      <w:r>
        <w:rPr>
          <w:rFonts w:hint="eastAsia"/>
        </w:rPr>
        <w:t>在建项目计划总投资额</w:t>
      </w:r>
      <w:r>
        <w:t>150.09亿</w:t>
      </w:r>
      <w:r>
        <w:rPr>
          <w:rFonts w:hint="eastAsia"/>
        </w:rPr>
        <w:t>元，</w:t>
      </w:r>
      <w:r>
        <w:t>2013年累计已完成投资9.32亿元。广东奥威斯乐</w:t>
      </w:r>
      <w:r>
        <w:rPr>
          <w:rFonts w:hint="eastAsia"/>
        </w:rPr>
        <w:t>园</w:t>
      </w:r>
      <w:r>
        <w:t>5栋员工公寓准备装修。国际会展中心酒店、城市</w:t>
      </w:r>
      <w:r>
        <w:rPr>
          <w:rFonts w:hint="eastAsia"/>
        </w:rPr>
        <w:t>综合体—</w:t>
      </w:r>
      <w:r>
        <w:rPr>
          <w:rFonts w:hint="eastAsia"/>
          <w:lang w:eastAsia="zh-CN"/>
        </w:rPr>
        <w:t>—</w:t>
      </w:r>
      <w:r>
        <w:rPr>
          <w:rFonts w:hint="eastAsia"/>
        </w:rPr>
        <w:t>南雄东方（大润发）广场正在装修。锦绣花园酒店正在进行“三通一平”建设。珠玑古巷停车场即将完工。南雄元升生态观光休闲农场于</w:t>
      </w:r>
      <w:r>
        <w:t>2013年3</w:t>
      </w:r>
      <w:r>
        <w:rPr>
          <w:rFonts w:hint="eastAsia"/>
        </w:rPr>
        <w:t>月动工，已完成场部建设、观光路道挖掘平整、筑坝蓄水工程、钢架遮阳棚地基平整工程。珠玑古巷宗祠建设已完成征地工作，进入姓氏选址建设阶段。修复梅关古道战壕。新增梅关古道景区</w:t>
      </w:r>
      <w:r>
        <w:t>50.7亩“梅园”景</w:t>
      </w:r>
      <w:r>
        <w:rPr>
          <w:rFonts w:hint="eastAsia"/>
        </w:rPr>
        <w:t>点。孔江国家湿地公园完善了界碑界桩的建设工作，购置巡护车、巡护快艇、鸟类监测救护设备和水文水质气象监测设备，完善部分办公设施等基础设施建设帽子峰生态景区完善一系列基础设施，景区接待能力进一步提高。珠玑大酒店按四星级酒店标准进行了重新装修。</w:t>
      </w:r>
    </w:p>
    <w:p w14:paraId="6E03217B">
      <w:pPr>
        <w:pStyle w:val="4"/>
        <w:bidi w:val="0"/>
        <w:rPr>
          <w:rFonts w:hint="eastAsia"/>
        </w:rPr>
      </w:pPr>
      <w:r>
        <w:rPr>
          <w:rFonts w:hint="eastAsia"/>
        </w:rPr>
        <w:t>【旅游宣传营销】</w:t>
      </w:r>
    </w:p>
    <w:p w14:paraId="560C611C">
      <w:pPr>
        <w:rPr>
          <w:rFonts w:hint="eastAsia"/>
        </w:rPr>
      </w:pPr>
      <w:r>
        <w:rPr>
          <w:rFonts w:hint="eastAsia"/>
        </w:rPr>
        <w:t>以珠玑古巷梅关古道被评为国家</w:t>
      </w:r>
      <w:r>
        <w:t>4A景区为依托，加大宣传营销力度，提升南雄</w:t>
      </w:r>
      <w:r>
        <w:rPr>
          <w:rFonts w:hint="eastAsia"/>
        </w:rPr>
        <w:t>市旅游知名度和影响力。通过电视、报纸、网络，微信、微博等媒体进行宣传南雄市珠玑文化、银杏生态观光特色旅游产品，进一步打响“大珠玑”品牌。与三省六县（市）（广东省南雄市，江西省大余县、崇义县、上犹县，湖南省汝城县、桂东县）等地以及中央苏区红色旅游联盟开展区域旅游</w:t>
      </w:r>
      <w:r>
        <w:rPr>
          <w:rFonts w:hint="eastAsia"/>
          <w:lang w:eastAsia="zh-CN"/>
        </w:rPr>
        <w:t>宣</w:t>
      </w:r>
      <w:r>
        <w:rPr>
          <w:rFonts w:hint="eastAsia"/>
        </w:rPr>
        <w:t>传，实现多边旅游合作共赢。与韶关各地区抱团取暖，进行整体宣传。组织旅游企业参加广州国际旅游展、中国（广东）国际旅博会等大型旅游展，加强与旅游同行合作与交流。组织旅游企业到珠海、中山、东莞和江西等地进行宣传推介</w:t>
      </w:r>
      <w:r>
        <w:t>16次，打响</w:t>
      </w:r>
      <w:r>
        <w:rPr>
          <w:rFonts w:hint="eastAsia"/>
        </w:rPr>
        <w:t>南雄旅游名片。加强与各地组团旅行社的合作，邀请珠三角和周边城市旅行社负责人来南雄踩线，洽谈合作，共同推介南雄旅游资源和旅游产品。制作新的南雄旅游宣传片，策划印制新版《旅游指南》，对旅游网站内容进行补充和完善。</w:t>
      </w:r>
    </w:p>
    <w:p w14:paraId="5D634984">
      <w:pPr>
        <w:pStyle w:val="4"/>
        <w:bidi w:val="0"/>
        <w:rPr>
          <w:rFonts w:hint="eastAsia"/>
        </w:rPr>
      </w:pPr>
      <w:r>
        <w:rPr>
          <w:rFonts w:hint="eastAsia"/>
          <w:lang w:eastAsia="zh-CN"/>
        </w:rPr>
        <w:t>【</w:t>
      </w:r>
      <w:r>
        <w:rPr>
          <w:rFonts w:hint="eastAsia"/>
        </w:rPr>
        <w:t>旅游安全管理】</w:t>
      </w:r>
    </w:p>
    <w:p w14:paraId="4FE6E71D">
      <w:pPr>
        <w:rPr>
          <w:rFonts w:hint="eastAsia"/>
        </w:rPr>
      </w:pPr>
      <w:r>
        <w:rPr>
          <w:rFonts w:hint="eastAsia"/>
        </w:rPr>
        <w:t>与旅游企业签订旅游安全生产目标责任书，层层落实安全责任。加大安全监管力度，制定下发《南雄市旅游安全生产月活动方案》等旅游安全生产文件，定期不定期的对旅游企业贯彻落实情况进行检</w:t>
      </w:r>
      <w:r>
        <w:rPr>
          <w:rFonts w:hint="eastAsia"/>
          <w:lang w:eastAsia="zh-CN"/>
        </w:rPr>
        <w:t>查</w:t>
      </w:r>
      <w:r>
        <w:rPr>
          <w:rFonts w:hint="eastAsia"/>
        </w:rPr>
        <w:t>督察。加强旅游旺季和春节、</w:t>
      </w:r>
      <w:r>
        <w:rPr>
          <w:rFonts w:hint="eastAsia"/>
          <w:lang w:eastAsia="zh-CN"/>
        </w:rPr>
        <w:t>“</w:t>
      </w:r>
      <w:r>
        <w:rPr>
          <w:rFonts w:hint="eastAsia"/>
        </w:rPr>
        <w:t>五</w:t>
      </w:r>
      <w:r>
        <w:rPr>
          <w:rFonts w:hint="eastAsia"/>
          <w:lang w:val="en-US" w:eastAsia="zh-CN"/>
        </w:rPr>
        <w:t>一”、“十一”</w:t>
      </w:r>
      <w:r>
        <w:t>等重大节假日和重大活动期间的</w:t>
      </w:r>
      <w:r>
        <w:rPr>
          <w:rFonts w:hint="eastAsia"/>
        </w:rPr>
        <w:t>安全检</w:t>
      </w:r>
      <w:r>
        <w:rPr>
          <w:rFonts w:hint="eastAsia"/>
          <w:lang w:eastAsia="zh-CN"/>
        </w:rPr>
        <w:t>查</w:t>
      </w:r>
      <w:r>
        <w:rPr>
          <w:rFonts w:hint="eastAsia"/>
        </w:rPr>
        <w:t>，联合安监、消防、卫生监督、食品药品监督、质监、交通等部门，对旅游企业的消防安全、食品卫生安全、特种设备、游乐设施、游船、旅游汽车以及安全应急预案、安全标识标牌等进行全面联合执法检</w:t>
      </w:r>
      <w:r>
        <w:rPr>
          <w:rFonts w:hint="eastAsia"/>
          <w:lang w:eastAsia="zh-CN"/>
        </w:rPr>
        <w:t>查</w:t>
      </w:r>
      <w:r>
        <w:rPr>
          <w:rFonts w:hint="eastAsia"/>
        </w:rPr>
        <w:t>，及时有效的发现各类安全隐患并加以整改，确保全年旅游安全。</w:t>
      </w:r>
      <w:r>
        <w:t>2013年南雄市无</w:t>
      </w:r>
      <w:r>
        <w:rPr>
          <w:rFonts w:hint="eastAsia"/>
        </w:rPr>
        <w:t>重大旅游安全事故发生。</w:t>
      </w:r>
    </w:p>
    <w:p w14:paraId="4FA0D99F">
      <w:pPr>
        <w:pStyle w:val="4"/>
        <w:bidi w:val="0"/>
        <w:rPr>
          <w:rFonts w:hint="eastAsia"/>
        </w:rPr>
      </w:pPr>
      <w:r>
        <w:rPr>
          <w:rFonts w:hint="eastAsia"/>
          <w:lang w:eastAsia="zh-CN"/>
        </w:rPr>
        <w:t>【</w:t>
      </w:r>
      <w:r>
        <w:rPr>
          <w:rFonts w:hint="eastAsia"/>
        </w:rPr>
        <w:t>旅游项目建设申报】</w:t>
      </w:r>
    </w:p>
    <w:p w14:paraId="2B4CCC7A">
      <w:pPr>
        <w:rPr>
          <w:rFonts w:hint="eastAsia"/>
        </w:rPr>
      </w:pPr>
      <w:r>
        <w:rPr>
          <w:rFonts w:hint="eastAsia"/>
        </w:rPr>
        <w:t>向省争取旅游扶贫资金和专项资金，完成珠玑古巷景区基础设施建设旅游扶贫资金和专项资金项目资料</w:t>
      </w:r>
      <w:bookmarkStart w:id="0" w:name="_GoBack"/>
      <w:bookmarkEnd w:id="0"/>
      <w:r>
        <w:rPr>
          <w:rFonts w:hint="eastAsia"/>
        </w:rPr>
        <w:t>以及梅关古道景区红色旅游和新田古村落项目扶持资金的材料组织撰写工作。</w:t>
      </w:r>
    </w:p>
    <w:p w14:paraId="471D4526">
      <w:pPr>
        <w:pStyle w:val="4"/>
        <w:bidi w:val="0"/>
        <w:rPr>
          <w:rFonts w:hint="eastAsia"/>
        </w:rPr>
      </w:pPr>
      <w:r>
        <w:rPr>
          <w:rFonts w:hint="eastAsia"/>
        </w:rPr>
        <w:t>【扶贫“双到”工作】</w:t>
      </w:r>
    </w:p>
    <w:p w14:paraId="70BDD2FE">
      <w:pPr>
        <w:rPr>
          <w:rFonts w:hint="eastAsia"/>
        </w:rPr>
      </w:pPr>
      <w:r>
        <w:rPr>
          <w:rFonts w:hint="eastAsia"/>
        </w:rPr>
        <w:t>研究制定年度的扶贫计划，并派出专人抓好落实。组织党员干部经常</w:t>
      </w:r>
      <w:r>
        <w:rPr>
          <w:rFonts w:hint="eastAsia"/>
          <w:lang w:eastAsia="zh-CN"/>
        </w:rPr>
        <w:t>深入</w:t>
      </w:r>
      <w:r>
        <w:rPr>
          <w:rFonts w:hint="eastAsia"/>
        </w:rPr>
        <w:t>挂点帮扶村调研，研究解决“双到”工作的情况和存在问题。援助珠玑镇古田村委会建设资金，帮助村委会搞好党建、计生和水利等工作，壮大村级集体经济。</w:t>
      </w:r>
    </w:p>
    <w:p w14:paraId="43A7C26E">
      <w:pPr>
        <w:jc w:val="right"/>
        <w:rPr>
          <w:rFonts w:hint="eastAsia"/>
          <w:b/>
          <w:bCs/>
          <w:lang w:eastAsia="zh-CN"/>
        </w:rPr>
      </w:pPr>
      <w:r>
        <w:rPr>
          <w:rFonts w:hint="eastAsia"/>
          <w:b/>
          <w:bCs/>
        </w:rPr>
        <w:t>（敖英兰</w:t>
      </w:r>
      <w:r>
        <w:rPr>
          <w:rFonts w:hint="eastAsia"/>
          <w:b/>
          <w:bCs/>
          <w:lang w:eastAsia="zh-CN"/>
        </w:rPr>
        <w:t>）</w:t>
      </w:r>
    </w:p>
    <w:p w14:paraId="5E7042ED">
      <w:pPr>
        <w:pStyle w:val="4"/>
        <w:bidi w:val="0"/>
        <w:rPr>
          <w:rFonts w:hint="eastAsia"/>
        </w:rPr>
      </w:pPr>
      <w:r>
        <w:rPr>
          <w:rFonts w:hint="eastAsia"/>
        </w:rPr>
        <w:t>【主要旅行社、星</w:t>
      </w:r>
      <w:r>
        <w:rPr>
          <w:rFonts w:hint="eastAsia"/>
          <w:lang w:val="en-US" w:eastAsia="zh-CN"/>
        </w:rPr>
        <w:t>级</w:t>
      </w:r>
      <w:r>
        <w:rPr>
          <w:rFonts w:hint="eastAsia"/>
        </w:rPr>
        <w:t>酒店】</w:t>
      </w:r>
    </w:p>
    <w:p w14:paraId="282E7833">
      <w:pPr>
        <w:pStyle w:val="10"/>
        <w:bidi w:val="0"/>
        <w:jc w:val="center"/>
        <w:rPr>
          <w:rFonts w:hint="eastAsia"/>
          <w:b/>
          <w:bCs/>
        </w:rPr>
      </w:pPr>
      <w:r>
        <w:rPr>
          <w:rFonts w:hint="eastAsia"/>
          <w:b/>
          <w:bCs/>
        </w:rPr>
        <w:t>南雄市旅行社基本情况表</w:t>
      </w:r>
    </w:p>
    <w:p w14:paraId="1E6DA44D">
      <w:pPr>
        <w:bidi w:val="0"/>
        <w:rPr>
          <w:rFonts w:hint="eastAsia"/>
        </w:rPr>
      </w:pPr>
      <w:r>
        <w:rPr>
          <w:rFonts w:hint="eastAsia"/>
        </w:rPr>
        <w:t>表29</w:t>
      </w:r>
    </w:p>
    <w:tbl>
      <w:tblPr>
        <w:tblStyle w:val="7"/>
        <w:tblW w:w="4997" w:type="pct"/>
        <w:jc w:val="center"/>
        <w:tblLayout w:type="autofit"/>
        <w:tblCellMar>
          <w:top w:w="0" w:type="dxa"/>
          <w:left w:w="0" w:type="dxa"/>
          <w:bottom w:w="0" w:type="dxa"/>
          <w:right w:w="0" w:type="dxa"/>
        </w:tblCellMar>
      </w:tblPr>
      <w:tblGrid>
        <w:gridCol w:w="870"/>
        <w:gridCol w:w="1825"/>
        <w:gridCol w:w="4104"/>
        <w:gridCol w:w="1436"/>
        <w:gridCol w:w="1721"/>
      </w:tblGrid>
      <w:tr w14:paraId="1C333F02">
        <w:tblPrEx>
          <w:tblCellMar>
            <w:top w:w="0" w:type="dxa"/>
            <w:left w:w="0" w:type="dxa"/>
            <w:bottom w:w="0" w:type="dxa"/>
            <w:right w:w="0" w:type="dxa"/>
          </w:tblCellMar>
        </w:tblPrEx>
        <w:trPr>
          <w:trHeight w:val="680" w:hRule="atLeast"/>
          <w:jc w:val="center"/>
        </w:trPr>
        <w:tc>
          <w:tcPr>
            <w:tcW w:w="437" w:type="pct"/>
            <w:tcBorders>
              <w:top w:val="single" w:color="000000" w:sz="8" w:space="0"/>
              <w:left w:val="nil"/>
              <w:bottom w:val="single" w:color="000000" w:sz="8" w:space="0"/>
              <w:right w:val="single" w:color="000000" w:sz="8" w:space="0"/>
            </w:tcBorders>
            <w:shd w:val="clear" w:color="auto" w:fill="FFFFFF"/>
            <w:noWrap w:val="0"/>
            <w:tcMar>
              <w:top w:w="0" w:type="dxa"/>
              <w:left w:w="108" w:type="dxa"/>
              <w:bottom w:w="0" w:type="dxa"/>
              <w:right w:w="108" w:type="dxa"/>
            </w:tcMar>
            <w:vAlign w:val="center"/>
          </w:tcPr>
          <w:p w14:paraId="49269A38">
            <w:pPr>
              <w:pStyle w:val="10"/>
              <w:bidi w:val="0"/>
              <w:jc w:val="center"/>
              <w:rPr>
                <w:b/>
                <w:bCs/>
                <w:color w:val="000000"/>
              </w:rPr>
            </w:pPr>
            <w:r>
              <w:rPr>
                <w:rFonts w:hint="eastAsia"/>
                <w:b/>
                <w:bCs/>
                <w:color w:val="000000"/>
              </w:rPr>
              <w:t>编号</w:t>
            </w:r>
          </w:p>
        </w:tc>
        <w:tc>
          <w:tcPr>
            <w:tcW w:w="916"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14:paraId="2EE21B1F">
            <w:pPr>
              <w:pStyle w:val="10"/>
              <w:bidi w:val="0"/>
              <w:jc w:val="center"/>
              <w:rPr>
                <w:b/>
                <w:bCs/>
                <w:color w:val="000000"/>
              </w:rPr>
            </w:pPr>
            <w:r>
              <w:rPr>
                <w:rFonts w:hint="eastAsia"/>
                <w:b/>
                <w:bCs/>
                <w:color w:val="000000"/>
              </w:rPr>
              <w:t>酒店名称</w:t>
            </w:r>
          </w:p>
        </w:tc>
        <w:tc>
          <w:tcPr>
            <w:tcW w:w="2060"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14:paraId="7D920059">
            <w:pPr>
              <w:pStyle w:val="10"/>
              <w:bidi w:val="0"/>
              <w:jc w:val="center"/>
              <w:rPr>
                <w:b/>
                <w:bCs/>
                <w:color w:val="000000"/>
              </w:rPr>
            </w:pPr>
            <w:r>
              <w:rPr>
                <w:rFonts w:hint="eastAsia"/>
                <w:b/>
                <w:bCs/>
                <w:color w:val="000000"/>
              </w:rPr>
              <w:t>地址</w:t>
            </w:r>
          </w:p>
        </w:tc>
        <w:tc>
          <w:tcPr>
            <w:tcW w:w="721"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14:paraId="744B96FA">
            <w:pPr>
              <w:pStyle w:val="10"/>
              <w:bidi w:val="0"/>
              <w:jc w:val="center"/>
              <w:rPr>
                <w:b/>
                <w:bCs/>
                <w:color w:val="000000"/>
              </w:rPr>
            </w:pPr>
            <w:r>
              <w:rPr>
                <w:rFonts w:hint="eastAsia"/>
                <w:b/>
                <w:bCs/>
                <w:color w:val="000000"/>
              </w:rPr>
              <w:t>电话</w:t>
            </w:r>
          </w:p>
        </w:tc>
        <w:tc>
          <w:tcPr>
            <w:tcW w:w="864" w:type="pct"/>
            <w:tcBorders>
              <w:top w:val="single" w:color="000000" w:sz="8" w:space="0"/>
              <w:left w:val="single" w:color="000000" w:sz="8" w:space="0"/>
              <w:bottom w:val="single" w:color="000000" w:sz="8" w:space="0"/>
              <w:right w:val="nil"/>
            </w:tcBorders>
            <w:shd w:val="clear" w:color="auto" w:fill="FFFFFF"/>
            <w:noWrap w:val="0"/>
            <w:tcMar>
              <w:top w:w="0" w:type="dxa"/>
              <w:left w:w="108" w:type="dxa"/>
              <w:bottom w:w="0" w:type="dxa"/>
              <w:right w:w="108" w:type="dxa"/>
            </w:tcMar>
            <w:vAlign w:val="center"/>
          </w:tcPr>
          <w:p w14:paraId="3425BE34">
            <w:pPr>
              <w:pStyle w:val="10"/>
              <w:bidi w:val="0"/>
              <w:jc w:val="center"/>
              <w:rPr>
                <w:b/>
                <w:bCs/>
                <w:color w:val="000000"/>
              </w:rPr>
            </w:pPr>
            <w:r>
              <w:rPr>
                <w:rFonts w:hint="eastAsia"/>
                <w:b/>
                <w:bCs/>
                <w:color w:val="000000"/>
              </w:rPr>
              <w:t>传真</w:t>
            </w:r>
          </w:p>
        </w:tc>
      </w:tr>
      <w:tr w14:paraId="24A46F97">
        <w:tblPrEx>
          <w:tblCellMar>
            <w:top w:w="0" w:type="dxa"/>
            <w:left w:w="0" w:type="dxa"/>
            <w:bottom w:w="0" w:type="dxa"/>
            <w:right w:w="0" w:type="dxa"/>
          </w:tblCellMar>
        </w:tblPrEx>
        <w:trPr>
          <w:trHeight w:val="680" w:hRule="atLeast"/>
          <w:jc w:val="center"/>
        </w:trPr>
        <w:tc>
          <w:tcPr>
            <w:tcW w:w="437" w:type="pct"/>
            <w:tcBorders>
              <w:top w:val="single" w:color="000000" w:sz="8" w:space="0"/>
              <w:left w:val="nil"/>
              <w:bottom w:val="single" w:color="000000" w:sz="8" w:space="0"/>
              <w:right w:val="single" w:color="000000" w:sz="8" w:space="0"/>
            </w:tcBorders>
            <w:shd w:val="clear" w:color="auto" w:fill="FFFFFF"/>
            <w:noWrap w:val="0"/>
            <w:tcMar>
              <w:top w:w="0" w:type="dxa"/>
              <w:left w:w="108" w:type="dxa"/>
              <w:bottom w:w="0" w:type="dxa"/>
              <w:right w:w="108" w:type="dxa"/>
            </w:tcMar>
            <w:vAlign w:val="center"/>
          </w:tcPr>
          <w:p w14:paraId="58FE19C0">
            <w:pPr>
              <w:pStyle w:val="10"/>
              <w:bidi w:val="0"/>
              <w:jc w:val="center"/>
              <w:rPr>
                <w:color w:val="000000"/>
              </w:rPr>
            </w:pPr>
            <w:r>
              <w:rPr>
                <w:color w:val="000000"/>
              </w:rPr>
              <w:t>1</w:t>
            </w:r>
          </w:p>
        </w:tc>
        <w:tc>
          <w:tcPr>
            <w:tcW w:w="916"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14:paraId="4CDD2B99">
            <w:pPr>
              <w:pStyle w:val="10"/>
              <w:bidi w:val="0"/>
              <w:jc w:val="center"/>
              <w:rPr>
                <w:color w:val="000000"/>
              </w:rPr>
            </w:pPr>
            <w:r>
              <w:rPr>
                <w:rFonts w:hint="eastAsia"/>
                <w:color w:val="000000"/>
              </w:rPr>
              <w:t>南雄市旅游公司</w:t>
            </w:r>
          </w:p>
        </w:tc>
        <w:tc>
          <w:tcPr>
            <w:tcW w:w="2060"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14:paraId="19097E43">
            <w:pPr>
              <w:pStyle w:val="10"/>
              <w:bidi w:val="0"/>
              <w:jc w:val="center"/>
              <w:rPr>
                <w:color w:val="000000"/>
              </w:rPr>
            </w:pPr>
            <w:r>
              <w:rPr>
                <w:rFonts w:hint="eastAsia"/>
                <w:color w:val="000000"/>
              </w:rPr>
              <w:t>南雄市雄州街道三影塔广场13栋7—8号</w:t>
            </w:r>
          </w:p>
        </w:tc>
        <w:tc>
          <w:tcPr>
            <w:tcW w:w="721"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14:paraId="6A671E2A">
            <w:pPr>
              <w:pStyle w:val="10"/>
              <w:bidi w:val="0"/>
              <w:jc w:val="center"/>
              <w:rPr>
                <w:color w:val="000000"/>
              </w:rPr>
            </w:pPr>
            <w:r>
              <w:rPr>
                <w:rFonts w:hint="eastAsia"/>
                <w:color w:val="000000"/>
              </w:rPr>
              <w:t>3835288</w:t>
            </w:r>
          </w:p>
        </w:tc>
        <w:tc>
          <w:tcPr>
            <w:tcW w:w="864" w:type="pct"/>
            <w:tcBorders>
              <w:top w:val="single" w:color="000000" w:sz="8" w:space="0"/>
              <w:left w:val="single" w:color="000000" w:sz="8" w:space="0"/>
              <w:bottom w:val="single" w:color="000000" w:sz="8" w:space="0"/>
              <w:right w:val="nil"/>
            </w:tcBorders>
            <w:shd w:val="clear" w:color="auto" w:fill="FFFFFF"/>
            <w:noWrap w:val="0"/>
            <w:tcMar>
              <w:top w:w="0" w:type="dxa"/>
              <w:left w:w="108" w:type="dxa"/>
              <w:bottom w:w="0" w:type="dxa"/>
              <w:right w:w="108" w:type="dxa"/>
            </w:tcMar>
            <w:vAlign w:val="center"/>
          </w:tcPr>
          <w:p w14:paraId="423A4526">
            <w:pPr>
              <w:pStyle w:val="10"/>
              <w:bidi w:val="0"/>
              <w:jc w:val="center"/>
              <w:rPr>
                <w:color w:val="000000"/>
              </w:rPr>
            </w:pPr>
            <w:r>
              <w:rPr>
                <w:rFonts w:hint="eastAsia"/>
                <w:color w:val="000000"/>
              </w:rPr>
              <w:t>3822909</w:t>
            </w:r>
          </w:p>
        </w:tc>
      </w:tr>
      <w:tr w14:paraId="4C044715">
        <w:tblPrEx>
          <w:tblCellMar>
            <w:top w:w="0" w:type="dxa"/>
            <w:left w:w="0" w:type="dxa"/>
            <w:bottom w:w="0" w:type="dxa"/>
            <w:right w:w="0" w:type="dxa"/>
          </w:tblCellMar>
        </w:tblPrEx>
        <w:trPr>
          <w:trHeight w:val="680" w:hRule="atLeast"/>
          <w:jc w:val="center"/>
        </w:trPr>
        <w:tc>
          <w:tcPr>
            <w:tcW w:w="437" w:type="pct"/>
            <w:tcBorders>
              <w:top w:val="single" w:color="000000" w:sz="8" w:space="0"/>
              <w:left w:val="nil"/>
              <w:bottom w:val="single" w:color="000000" w:sz="8" w:space="0"/>
              <w:right w:val="single" w:color="000000" w:sz="8" w:space="0"/>
            </w:tcBorders>
            <w:shd w:val="clear" w:color="auto" w:fill="FFFFFF"/>
            <w:noWrap w:val="0"/>
            <w:tcMar>
              <w:top w:w="0" w:type="dxa"/>
              <w:left w:w="108" w:type="dxa"/>
              <w:bottom w:w="0" w:type="dxa"/>
              <w:right w:w="108" w:type="dxa"/>
            </w:tcMar>
            <w:vAlign w:val="center"/>
          </w:tcPr>
          <w:p w14:paraId="4428B6EE">
            <w:pPr>
              <w:pStyle w:val="10"/>
              <w:bidi w:val="0"/>
              <w:jc w:val="center"/>
              <w:rPr>
                <w:color w:val="000000"/>
              </w:rPr>
            </w:pPr>
            <w:r>
              <w:rPr>
                <w:color w:val="000000"/>
              </w:rPr>
              <w:t>2</w:t>
            </w:r>
          </w:p>
        </w:tc>
        <w:tc>
          <w:tcPr>
            <w:tcW w:w="916"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14:paraId="0F6592F6">
            <w:pPr>
              <w:pStyle w:val="10"/>
              <w:bidi w:val="0"/>
              <w:jc w:val="center"/>
              <w:rPr>
                <w:color w:val="000000"/>
              </w:rPr>
            </w:pPr>
            <w:r>
              <w:rPr>
                <w:rFonts w:hint="eastAsia"/>
                <w:color w:val="000000"/>
              </w:rPr>
              <w:t>幸福旅行社</w:t>
            </w:r>
          </w:p>
        </w:tc>
        <w:tc>
          <w:tcPr>
            <w:tcW w:w="2060"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14:paraId="200CF587">
            <w:pPr>
              <w:pStyle w:val="10"/>
              <w:bidi w:val="0"/>
              <w:jc w:val="center"/>
              <w:rPr>
                <w:color w:val="000000"/>
              </w:rPr>
            </w:pPr>
            <w:r>
              <w:rPr>
                <w:rFonts w:hint="eastAsia"/>
                <w:color w:val="000000"/>
              </w:rPr>
              <w:t>南雄市雄州街道永康路4—5号</w:t>
            </w:r>
          </w:p>
        </w:tc>
        <w:tc>
          <w:tcPr>
            <w:tcW w:w="721"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14:paraId="40BEACE9">
            <w:pPr>
              <w:pStyle w:val="10"/>
              <w:bidi w:val="0"/>
              <w:jc w:val="center"/>
              <w:rPr>
                <w:color w:val="000000"/>
              </w:rPr>
            </w:pPr>
            <w:r>
              <w:rPr>
                <w:color w:val="000000"/>
              </w:rPr>
              <w:t>3881118</w:t>
            </w:r>
          </w:p>
        </w:tc>
        <w:tc>
          <w:tcPr>
            <w:tcW w:w="864" w:type="pct"/>
            <w:tcBorders>
              <w:top w:val="single" w:color="000000" w:sz="8" w:space="0"/>
              <w:left w:val="single" w:color="000000" w:sz="8" w:space="0"/>
              <w:bottom w:val="single" w:color="000000" w:sz="8" w:space="0"/>
              <w:right w:val="nil"/>
            </w:tcBorders>
            <w:shd w:val="clear" w:color="auto" w:fill="FFFFFF"/>
            <w:noWrap w:val="0"/>
            <w:tcMar>
              <w:top w:w="0" w:type="dxa"/>
              <w:left w:w="108" w:type="dxa"/>
              <w:bottom w:w="0" w:type="dxa"/>
              <w:right w:w="108" w:type="dxa"/>
            </w:tcMar>
            <w:vAlign w:val="center"/>
          </w:tcPr>
          <w:p w14:paraId="0EE8B708">
            <w:pPr>
              <w:pStyle w:val="10"/>
              <w:bidi w:val="0"/>
              <w:jc w:val="center"/>
              <w:rPr>
                <w:color w:val="000000"/>
              </w:rPr>
            </w:pPr>
            <w:r>
              <w:rPr>
                <w:color w:val="000000"/>
              </w:rPr>
              <w:t>3881118</w:t>
            </w:r>
          </w:p>
        </w:tc>
      </w:tr>
      <w:tr w14:paraId="438196D8">
        <w:tblPrEx>
          <w:tblCellMar>
            <w:top w:w="0" w:type="dxa"/>
            <w:left w:w="0" w:type="dxa"/>
            <w:bottom w:w="0" w:type="dxa"/>
            <w:right w:w="0" w:type="dxa"/>
          </w:tblCellMar>
        </w:tblPrEx>
        <w:trPr>
          <w:trHeight w:val="810" w:hRule="atLeast"/>
          <w:jc w:val="center"/>
        </w:trPr>
        <w:tc>
          <w:tcPr>
            <w:tcW w:w="437" w:type="pct"/>
            <w:tcBorders>
              <w:top w:val="single" w:color="000000" w:sz="8" w:space="0"/>
              <w:left w:val="nil"/>
              <w:bottom w:val="single" w:color="000000" w:sz="8" w:space="0"/>
              <w:right w:val="single" w:color="000000" w:sz="8" w:space="0"/>
            </w:tcBorders>
            <w:shd w:val="clear" w:color="auto" w:fill="FFFFFF"/>
            <w:noWrap w:val="0"/>
            <w:tcMar>
              <w:top w:w="0" w:type="dxa"/>
              <w:left w:w="108" w:type="dxa"/>
              <w:bottom w:w="0" w:type="dxa"/>
              <w:right w:w="108" w:type="dxa"/>
            </w:tcMar>
            <w:vAlign w:val="center"/>
          </w:tcPr>
          <w:p w14:paraId="0F4716B4">
            <w:pPr>
              <w:pStyle w:val="10"/>
              <w:bidi w:val="0"/>
              <w:jc w:val="center"/>
              <w:rPr>
                <w:color w:val="000000"/>
              </w:rPr>
            </w:pPr>
            <w:r>
              <w:rPr>
                <w:color w:val="000000"/>
              </w:rPr>
              <w:t>3</w:t>
            </w:r>
          </w:p>
        </w:tc>
        <w:tc>
          <w:tcPr>
            <w:tcW w:w="916"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14:paraId="59B8822B">
            <w:pPr>
              <w:pStyle w:val="10"/>
              <w:bidi w:val="0"/>
              <w:jc w:val="center"/>
              <w:rPr>
                <w:color w:val="000000"/>
              </w:rPr>
            </w:pPr>
            <w:r>
              <w:rPr>
                <w:rFonts w:hint="eastAsia"/>
                <w:color w:val="000000"/>
              </w:rPr>
              <w:t>华旅旅行社</w:t>
            </w:r>
          </w:p>
        </w:tc>
        <w:tc>
          <w:tcPr>
            <w:tcW w:w="2060"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14:paraId="2CE2794D">
            <w:pPr>
              <w:pStyle w:val="10"/>
              <w:bidi w:val="0"/>
              <w:jc w:val="center"/>
              <w:rPr>
                <w:color w:val="000000"/>
              </w:rPr>
            </w:pPr>
            <w:r>
              <w:rPr>
                <w:rFonts w:hint="eastAsia"/>
                <w:color w:val="000000"/>
              </w:rPr>
              <w:t>南雄市雄州街道永康路37号</w:t>
            </w:r>
          </w:p>
        </w:tc>
        <w:tc>
          <w:tcPr>
            <w:tcW w:w="721"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14:paraId="39CEA9D8">
            <w:pPr>
              <w:pStyle w:val="10"/>
              <w:bidi w:val="0"/>
              <w:jc w:val="center"/>
              <w:rPr>
                <w:color w:val="000000"/>
              </w:rPr>
            </w:pPr>
            <w:r>
              <w:rPr>
                <w:rFonts w:hint="eastAsia"/>
                <w:color w:val="000000"/>
              </w:rPr>
              <w:t>3865808</w:t>
            </w:r>
          </w:p>
        </w:tc>
        <w:tc>
          <w:tcPr>
            <w:tcW w:w="864" w:type="pct"/>
            <w:tcBorders>
              <w:top w:val="single" w:color="000000" w:sz="8" w:space="0"/>
              <w:left w:val="single" w:color="000000" w:sz="8" w:space="0"/>
              <w:bottom w:val="single" w:color="000000" w:sz="8" w:space="0"/>
              <w:right w:val="nil"/>
            </w:tcBorders>
            <w:shd w:val="clear" w:color="auto" w:fill="FFFFFF"/>
            <w:noWrap w:val="0"/>
            <w:tcMar>
              <w:top w:w="0" w:type="dxa"/>
              <w:left w:w="108" w:type="dxa"/>
              <w:bottom w:w="0" w:type="dxa"/>
              <w:right w:w="108" w:type="dxa"/>
            </w:tcMar>
            <w:vAlign w:val="center"/>
          </w:tcPr>
          <w:p w14:paraId="02E47719">
            <w:pPr>
              <w:pStyle w:val="10"/>
              <w:bidi w:val="0"/>
              <w:jc w:val="center"/>
              <w:rPr>
                <w:color w:val="000000"/>
              </w:rPr>
            </w:pPr>
            <w:r>
              <w:rPr>
                <w:rFonts w:hint="eastAsia"/>
                <w:color w:val="000000"/>
              </w:rPr>
              <w:t>3865808</w:t>
            </w:r>
          </w:p>
        </w:tc>
      </w:tr>
      <w:tr w14:paraId="5F53F1D5">
        <w:tblPrEx>
          <w:tblCellMar>
            <w:top w:w="0" w:type="dxa"/>
            <w:left w:w="0" w:type="dxa"/>
            <w:bottom w:w="0" w:type="dxa"/>
            <w:right w:w="0" w:type="dxa"/>
          </w:tblCellMar>
        </w:tblPrEx>
        <w:trPr>
          <w:trHeight w:val="465" w:hRule="atLeast"/>
          <w:jc w:val="center"/>
        </w:trPr>
        <w:tc>
          <w:tcPr>
            <w:tcW w:w="437" w:type="pct"/>
            <w:tcBorders>
              <w:top w:val="single" w:color="000000" w:sz="8" w:space="0"/>
              <w:left w:val="nil"/>
              <w:bottom w:val="single" w:color="000000" w:sz="8" w:space="0"/>
              <w:right w:val="single" w:color="000000" w:sz="8" w:space="0"/>
            </w:tcBorders>
            <w:shd w:val="clear" w:color="auto" w:fill="FFFFFF"/>
            <w:noWrap w:val="0"/>
            <w:tcMar>
              <w:top w:w="0" w:type="dxa"/>
              <w:left w:w="108" w:type="dxa"/>
              <w:bottom w:w="0" w:type="dxa"/>
              <w:right w:w="108" w:type="dxa"/>
            </w:tcMar>
            <w:vAlign w:val="center"/>
          </w:tcPr>
          <w:p w14:paraId="55D71C04">
            <w:pPr>
              <w:pStyle w:val="10"/>
              <w:bidi w:val="0"/>
              <w:jc w:val="center"/>
              <w:rPr>
                <w:color w:val="000000"/>
              </w:rPr>
            </w:pPr>
            <w:r>
              <w:rPr>
                <w:color w:val="000000"/>
              </w:rPr>
              <w:t>4</w:t>
            </w:r>
          </w:p>
        </w:tc>
        <w:tc>
          <w:tcPr>
            <w:tcW w:w="916"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14:paraId="63BEB918">
            <w:pPr>
              <w:pStyle w:val="10"/>
              <w:bidi w:val="0"/>
              <w:jc w:val="center"/>
              <w:rPr>
                <w:color w:val="000000"/>
              </w:rPr>
            </w:pPr>
            <w:r>
              <w:rPr>
                <w:rFonts w:hint="eastAsia"/>
                <w:color w:val="000000"/>
              </w:rPr>
              <w:t>韶关中旅</w:t>
            </w:r>
          </w:p>
          <w:p w14:paraId="7F8FDC01">
            <w:pPr>
              <w:pStyle w:val="10"/>
              <w:bidi w:val="0"/>
              <w:jc w:val="center"/>
              <w:rPr>
                <w:color w:val="000000"/>
              </w:rPr>
            </w:pPr>
            <w:r>
              <w:rPr>
                <w:rFonts w:hint="eastAsia"/>
                <w:color w:val="000000"/>
              </w:rPr>
              <w:t>南雄营业部</w:t>
            </w:r>
          </w:p>
        </w:tc>
        <w:tc>
          <w:tcPr>
            <w:tcW w:w="2060"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14:paraId="78FA8559">
            <w:pPr>
              <w:pStyle w:val="10"/>
              <w:bidi w:val="0"/>
              <w:jc w:val="center"/>
              <w:rPr>
                <w:color w:val="000000"/>
              </w:rPr>
            </w:pPr>
            <w:r>
              <w:rPr>
                <w:rFonts w:hint="eastAsia"/>
                <w:color w:val="000000"/>
              </w:rPr>
              <w:t>南雄市雄州街道永康路61号</w:t>
            </w:r>
          </w:p>
        </w:tc>
        <w:tc>
          <w:tcPr>
            <w:tcW w:w="721"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14:paraId="77A3D930">
            <w:pPr>
              <w:pStyle w:val="10"/>
              <w:bidi w:val="0"/>
              <w:jc w:val="center"/>
              <w:rPr>
                <w:color w:val="000000"/>
              </w:rPr>
            </w:pPr>
            <w:r>
              <w:rPr>
                <w:rFonts w:hint="eastAsia"/>
                <w:color w:val="000000"/>
              </w:rPr>
              <w:t>3885678</w:t>
            </w:r>
          </w:p>
        </w:tc>
        <w:tc>
          <w:tcPr>
            <w:tcW w:w="864" w:type="pct"/>
            <w:tcBorders>
              <w:top w:val="single" w:color="000000" w:sz="8" w:space="0"/>
              <w:left w:val="single" w:color="000000" w:sz="8" w:space="0"/>
              <w:bottom w:val="single" w:color="000000" w:sz="8" w:space="0"/>
              <w:right w:val="nil"/>
            </w:tcBorders>
            <w:shd w:val="clear" w:color="auto" w:fill="FFFFFF"/>
            <w:noWrap w:val="0"/>
            <w:tcMar>
              <w:top w:w="0" w:type="dxa"/>
              <w:left w:w="108" w:type="dxa"/>
              <w:bottom w:w="0" w:type="dxa"/>
              <w:right w:w="108" w:type="dxa"/>
            </w:tcMar>
            <w:vAlign w:val="center"/>
          </w:tcPr>
          <w:p w14:paraId="14D5A2CE">
            <w:pPr>
              <w:pStyle w:val="10"/>
              <w:bidi w:val="0"/>
              <w:jc w:val="center"/>
              <w:rPr>
                <w:color w:val="000000"/>
              </w:rPr>
            </w:pPr>
            <w:r>
              <w:rPr>
                <w:rFonts w:hint="eastAsia"/>
                <w:color w:val="000000"/>
              </w:rPr>
              <w:t>3885678</w:t>
            </w:r>
          </w:p>
        </w:tc>
      </w:tr>
    </w:tbl>
    <w:p w14:paraId="1928F504">
      <w:pPr>
        <w:pStyle w:val="10"/>
        <w:bidi w:val="0"/>
        <w:jc w:val="center"/>
        <w:rPr>
          <w:rFonts w:hint="eastAsia"/>
          <w:b/>
          <w:bCs/>
        </w:rPr>
      </w:pPr>
      <w:r>
        <w:rPr>
          <w:rFonts w:hint="eastAsia"/>
          <w:b/>
          <w:bCs/>
        </w:rPr>
        <w:t>南雄市星级酒店基本情况表</w:t>
      </w:r>
    </w:p>
    <w:p w14:paraId="0DD9186B">
      <w:pPr>
        <w:bidi w:val="0"/>
        <w:rPr>
          <w:rFonts w:hint="eastAsia"/>
        </w:rPr>
      </w:pPr>
      <w:r>
        <w:rPr>
          <w:rFonts w:hint="eastAsia"/>
        </w:rPr>
        <w:t>表30</w:t>
      </w:r>
    </w:p>
    <w:tbl>
      <w:tblPr>
        <w:tblStyle w:val="7"/>
        <w:tblW w:w="4997" w:type="pct"/>
        <w:jc w:val="center"/>
        <w:tblLayout w:type="autofit"/>
        <w:tblCellMar>
          <w:top w:w="0" w:type="dxa"/>
          <w:left w:w="0" w:type="dxa"/>
          <w:bottom w:w="0" w:type="dxa"/>
          <w:right w:w="0" w:type="dxa"/>
        </w:tblCellMar>
      </w:tblPr>
      <w:tblGrid>
        <w:gridCol w:w="873"/>
        <w:gridCol w:w="1052"/>
        <w:gridCol w:w="1606"/>
        <w:gridCol w:w="2811"/>
        <w:gridCol w:w="1807"/>
        <w:gridCol w:w="1807"/>
      </w:tblGrid>
      <w:tr w14:paraId="164D1A10">
        <w:tblPrEx>
          <w:tblCellMar>
            <w:top w:w="0" w:type="dxa"/>
            <w:left w:w="0" w:type="dxa"/>
            <w:bottom w:w="0" w:type="dxa"/>
            <w:right w:w="0" w:type="dxa"/>
          </w:tblCellMar>
        </w:tblPrEx>
        <w:trPr>
          <w:jc w:val="center"/>
        </w:trPr>
        <w:tc>
          <w:tcPr>
            <w:tcW w:w="438" w:type="pct"/>
            <w:tcBorders>
              <w:top w:val="single" w:color="000000" w:sz="8" w:space="0"/>
              <w:left w:val="nil"/>
              <w:bottom w:val="single" w:color="000000" w:sz="8" w:space="0"/>
              <w:right w:val="single" w:color="000000" w:sz="8" w:space="0"/>
            </w:tcBorders>
            <w:shd w:val="clear" w:color="auto" w:fill="FFFFFF"/>
            <w:noWrap w:val="0"/>
            <w:tcMar>
              <w:top w:w="0" w:type="dxa"/>
              <w:left w:w="108" w:type="dxa"/>
              <w:bottom w:w="0" w:type="dxa"/>
              <w:right w:w="108" w:type="dxa"/>
            </w:tcMar>
            <w:vAlign w:val="center"/>
          </w:tcPr>
          <w:p w14:paraId="3373A015">
            <w:pPr>
              <w:pStyle w:val="10"/>
              <w:bidi w:val="0"/>
              <w:jc w:val="center"/>
              <w:rPr>
                <w:b/>
                <w:bCs/>
                <w:color w:val="000000"/>
              </w:rPr>
            </w:pPr>
            <w:r>
              <w:rPr>
                <w:rFonts w:hint="eastAsia"/>
                <w:b/>
                <w:bCs/>
                <w:color w:val="000000"/>
              </w:rPr>
              <w:t>编号</w:t>
            </w:r>
          </w:p>
        </w:tc>
        <w:tc>
          <w:tcPr>
            <w:tcW w:w="528"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14:paraId="1C143DA8">
            <w:pPr>
              <w:pStyle w:val="10"/>
              <w:bidi w:val="0"/>
              <w:jc w:val="center"/>
              <w:rPr>
                <w:b/>
                <w:bCs/>
                <w:color w:val="000000"/>
              </w:rPr>
            </w:pPr>
            <w:r>
              <w:rPr>
                <w:rFonts w:hint="eastAsia"/>
                <w:b/>
                <w:bCs/>
                <w:color w:val="000000"/>
              </w:rPr>
              <w:t>星级</w:t>
            </w:r>
          </w:p>
        </w:tc>
        <w:tc>
          <w:tcPr>
            <w:tcW w:w="806"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14:paraId="7B6D60E2">
            <w:pPr>
              <w:pStyle w:val="10"/>
              <w:bidi w:val="0"/>
              <w:jc w:val="center"/>
              <w:rPr>
                <w:b/>
                <w:bCs/>
                <w:color w:val="000000"/>
              </w:rPr>
            </w:pPr>
            <w:r>
              <w:rPr>
                <w:rFonts w:hint="eastAsia"/>
                <w:b/>
                <w:bCs/>
                <w:color w:val="000000"/>
              </w:rPr>
              <w:t>酒店名称</w:t>
            </w:r>
          </w:p>
        </w:tc>
        <w:tc>
          <w:tcPr>
            <w:tcW w:w="1411"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14:paraId="17AAB245">
            <w:pPr>
              <w:pStyle w:val="10"/>
              <w:bidi w:val="0"/>
              <w:jc w:val="center"/>
              <w:rPr>
                <w:b/>
                <w:bCs/>
                <w:color w:val="000000"/>
              </w:rPr>
            </w:pPr>
            <w:r>
              <w:rPr>
                <w:rFonts w:hint="eastAsia"/>
                <w:b/>
                <w:bCs/>
                <w:color w:val="000000"/>
              </w:rPr>
              <w:t>地址</w:t>
            </w:r>
          </w:p>
        </w:tc>
        <w:tc>
          <w:tcPr>
            <w:tcW w:w="907"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14:paraId="6A834F13">
            <w:pPr>
              <w:pStyle w:val="10"/>
              <w:bidi w:val="0"/>
              <w:jc w:val="center"/>
              <w:rPr>
                <w:b/>
                <w:bCs/>
                <w:color w:val="000000"/>
              </w:rPr>
            </w:pPr>
            <w:r>
              <w:rPr>
                <w:rFonts w:hint="eastAsia"/>
                <w:b/>
                <w:bCs/>
                <w:color w:val="000000"/>
              </w:rPr>
              <w:t>电话</w:t>
            </w:r>
          </w:p>
        </w:tc>
        <w:tc>
          <w:tcPr>
            <w:tcW w:w="907" w:type="pct"/>
            <w:tcBorders>
              <w:top w:val="single" w:color="000000" w:sz="8" w:space="0"/>
              <w:left w:val="single" w:color="000000" w:sz="8" w:space="0"/>
              <w:bottom w:val="single" w:color="000000" w:sz="8" w:space="0"/>
              <w:right w:val="nil"/>
            </w:tcBorders>
            <w:shd w:val="clear" w:color="auto" w:fill="FFFFFF"/>
            <w:noWrap w:val="0"/>
            <w:tcMar>
              <w:top w:w="0" w:type="dxa"/>
              <w:left w:w="108" w:type="dxa"/>
              <w:bottom w:w="0" w:type="dxa"/>
              <w:right w:w="108" w:type="dxa"/>
            </w:tcMar>
            <w:vAlign w:val="center"/>
          </w:tcPr>
          <w:p w14:paraId="4CE69669">
            <w:pPr>
              <w:pStyle w:val="10"/>
              <w:bidi w:val="0"/>
              <w:jc w:val="center"/>
              <w:rPr>
                <w:b/>
                <w:bCs/>
                <w:color w:val="000000"/>
              </w:rPr>
            </w:pPr>
            <w:r>
              <w:rPr>
                <w:rFonts w:hint="eastAsia"/>
                <w:b/>
                <w:bCs/>
                <w:color w:val="000000"/>
              </w:rPr>
              <w:t>传真</w:t>
            </w:r>
          </w:p>
        </w:tc>
      </w:tr>
      <w:tr w14:paraId="3F46773B">
        <w:tblPrEx>
          <w:tblCellMar>
            <w:top w:w="0" w:type="dxa"/>
            <w:left w:w="0" w:type="dxa"/>
            <w:bottom w:w="0" w:type="dxa"/>
            <w:right w:w="0" w:type="dxa"/>
          </w:tblCellMar>
        </w:tblPrEx>
        <w:trPr>
          <w:jc w:val="center"/>
        </w:trPr>
        <w:tc>
          <w:tcPr>
            <w:tcW w:w="438" w:type="pct"/>
            <w:tcBorders>
              <w:top w:val="single" w:color="000000" w:sz="8" w:space="0"/>
              <w:left w:val="nil"/>
              <w:bottom w:val="single" w:color="000000" w:sz="8" w:space="0"/>
              <w:right w:val="single" w:color="000000" w:sz="8" w:space="0"/>
            </w:tcBorders>
            <w:shd w:val="clear" w:color="auto" w:fill="FFFFFF"/>
            <w:noWrap w:val="0"/>
            <w:tcMar>
              <w:top w:w="0" w:type="dxa"/>
              <w:left w:w="108" w:type="dxa"/>
              <w:bottom w:w="0" w:type="dxa"/>
              <w:right w:w="108" w:type="dxa"/>
            </w:tcMar>
            <w:vAlign w:val="center"/>
          </w:tcPr>
          <w:p w14:paraId="3EC7167F">
            <w:pPr>
              <w:pStyle w:val="10"/>
              <w:bidi w:val="0"/>
              <w:jc w:val="center"/>
              <w:rPr>
                <w:color w:val="000000"/>
              </w:rPr>
            </w:pPr>
            <w:r>
              <w:rPr>
                <w:color w:val="000000"/>
              </w:rPr>
              <w:t>1</w:t>
            </w:r>
          </w:p>
        </w:tc>
        <w:tc>
          <w:tcPr>
            <w:tcW w:w="528"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14:paraId="6B16CCD0">
            <w:pPr>
              <w:pStyle w:val="10"/>
              <w:bidi w:val="0"/>
              <w:jc w:val="center"/>
              <w:rPr>
                <w:color w:val="000000"/>
              </w:rPr>
            </w:pPr>
            <w:r>
              <w:rPr>
                <w:rFonts w:hint="eastAsia"/>
                <w:color w:val="000000"/>
              </w:rPr>
              <w:t>三星级</w:t>
            </w:r>
          </w:p>
        </w:tc>
        <w:tc>
          <w:tcPr>
            <w:tcW w:w="806"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14:paraId="262E932B">
            <w:pPr>
              <w:pStyle w:val="10"/>
              <w:bidi w:val="0"/>
              <w:jc w:val="center"/>
              <w:rPr>
                <w:color w:val="000000"/>
              </w:rPr>
            </w:pPr>
            <w:r>
              <w:rPr>
                <w:rFonts w:hint="eastAsia"/>
                <w:color w:val="000000"/>
              </w:rPr>
              <w:t>珠玑大酒店</w:t>
            </w:r>
          </w:p>
        </w:tc>
        <w:tc>
          <w:tcPr>
            <w:tcW w:w="1411"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14:paraId="07F0958B">
            <w:pPr>
              <w:pStyle w:val="10"/>
              <w:bidi w:val="0"/>
              <w:jc w:val="center"/>
              <w:rPr>
                <w:color w:val="000000"/>
              </w:rPr>
            </w:pPr>
            <w:r>
              <w:rPr>
                <w:rFonts w:hint="eastAsia"/>
                <w:color w:val="000000"/>
              </w:rPr>
              <w:t>南雄市雄州街道建设路12号</w:t>
            </w:r>
          </w:p>
        </w:tc>
        <w:tc>
          <w:tcPr>
            <w:tcW w:w="907"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14:paraId="2C1DF4C4">
            <w:pPr>
              <w:pStyle w:val="10"/>
              <w:bidi w:val="0"/>
              <w:jc w:val="center"/>
              <w:rPr>
                <w:color w:val="000000"/>
              </w:rPr>
            </w:pPr>
            <w:r>
              <w:rPr>
                <w:rFonts w:hint="eastAsia"/>
                <w:color w:val="000000"/>
              </w:rPr>
              <w:t>3876888</w:t>
            </w:r>
          </w:p>
        </w:tc>
        <w:tc>
          <w:tcPr>
            <w:tcW w:w="907" w:type="pct"/>
            <w:tcBorders>
              <w:top w:val="single" w:color="000000" w:sz="8" w:space="0"/>
              <w:left w:val="single" w:color="000000" w:sz="8" w:space="0"/>
              <w:bottom w:val="single" w:color="000000" w:sz="8" w:space="0"/>
              <w:right w:val="nil"/>
            </w:tcBorders>
            <w:shd w:val="clear" w:color="auto" w:fill="FFFFFF"/>
            <w:noWrap w:val="0"/>
            <w:tcMar>
              <w:top w:w="0" w:type="dxa"/>
              <w:left w:w="108" w:type="dxa"/>
              <w:bottom w:w="0" w:type="dxa"/>
              <w:right w:w="108" w:type="dxa"/>
            </w:tcMar>
            <w:vAlign w:val="center"/>
          </w:tcPr>
          <w:p w14:paraId="71F4EEFE">
            <w:pPr>
              <w:pStyle w:val="10"/>
              <w:bidi w:val="0"/>
              <w:jc w:val="center"/>
              <w:rPr>
                <w:color w:val="000000"/>
              </w:rPr>
            </w:pPr>
            <w:r>
              <w:rPr>
                <w:rFonts w:hint="eastAsia"/>
                <w:color w:val="000000"/>
              </w:rPr>
              <w:t>3822094</w:t>
            </w:r>
          </w:p>
        </w:tc>
      </w:tr>
      <w:tr w14:paraId="5987BECD">
        <w:tblPrEx>
          <w:tblCellMar>
            <w:top w:w="0" w:type="dxa"/>
            <w:left w:w="0" w:type="dxa"/>
            <w:bottom w:w="0" w:type="dxa"/>
            <w:right w:w="0" w:type="dxa"/>
          </w:tblCellMar>
        </w:tblPrEx>
        <w:trPr>
          <w:jc w:val="center"/>
        </w:trPr>
        <w:tc>
          <w:tcPr>
            <w:tcW w:w="438" w:type="pct"/>
            <w:tcBorders>
              <w:top w:val="single" w:color="000000" w:sz="8" w:space="0"/>
              <w:left w:val="nil"/>
              <w:bottom w:val="single" w:color="000000" w:sz="8" w:space="0"/>
              <w:right w:val="single" w:color="000000" w:sz="8" w:space="0"/>
            </w:tcBorders>
            <w:shd w:val="clear" w:color="auto" w:fill="FFFFFF"/>
            <w:noWrap w:val="0"/>
            <w:tcMar>
              <w:top w:w="0" w:type="dxa"/>
              <w:left w:w="108" w:type="dxa"/>
              <w:bottom w:w="0" w:type="dxa"/>
              <w:right w:w="108" w:type="dxa"/>
            </w:tcMar>
            <w:vAlign w:val="center"/>
          </w:tcPr>
          <w:p w14:paraId="0A9EF722">
            <w:pPr>
              <w:pStyle w:val="10"/>
              <w:bidi w:val="0"/>
              <w:jc w:val="center"/>
              <w:rPr>
                <w:color w:val="000000"/>
              </w:rPr>
            </w:pPr>
            <w:r>
              <w:rPr>
                <w:color w:val="000000"/>
              </w:rPr>
              <w:t>2</w:t>
            </w:r>
          </w:p>
        </w:tc>
        <w:tc>
          <w:tcPr>
            <w:tcW w:w="528"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14:paraId="2A3CFB52">
            <w:pPr>
              <w:pStyle w:val="10"/>
              <w:bidi w:val="0"/>
              <w:jc w:val="center"/>
              <w:rPr>
                <w:color w:val="000000"/>
              </w:rPr>
            </w:pPr>
            <w:r>
              <w:rPr>
                <w:rFonts w:hint="eastAsia"/>
                <w:color w:val="000000"/>
              </w:rPr>
              <w:t>三星级</w:t>
            </w:r>
          </w:p>
        </w:tc>
        <w:tc>
          <w:tcPr>
            <w:tcW w:w="806"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14:paraId="47D1E7D0">
            <w:pPr>
              <w:pStyle w:val="10"/>
              <w:bidi w:val="0"/>
              <w:jc w:val="center"/>
              <w:rPr>
                <w:color w:val="000000"/>
              </w:rPr>
            </w:pPr>
            <w:r>
              <w:rPr>
                <w:rFonts w:hint="eastAsia"/>
                <w:color w:val="000000"/>
              </w:rPr>
              <w:t>南雄迎宾馆</w:t>
            </w:r>
          </w:p>
        </w:tc>
        <w:tc>
          <w:tcPr>
            <w:tcW w:w="1411"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14:paraId="2C476D6A">
            <w:pPr>
              <w:pStyle w:val="10"/>
              <w:bidi w:val="0"/>
              <w:jc w:val="center"/>
              <w:rPr>
                <w:color w:val="000000"/>
              </w:rPr>
            </w:pPr>
            <w:r>
              <w:rPr>
                <w:rFonts w:hint="eastAsia"/>
                <w:color w:val="000000"/>
              </w:rPr>
              <w:t>南雄市雄州镇建设路6号</w:t>
            </w:r>
          </w:p>
        </w:tc>
        <w:tc>
          <w:tcPr>
            <w:tcW w:w="907"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14:paraId="29DF60D0">
            <w:pPr>
              <w:pStyle w:val="10"/>
              <w:bidi w:val="0"/>
              <w:jc w:val="center"/>
              <w:rPr>
                <w:color w:val="000000"/>
              </w:rPr>
            </w:pPr>
            <w:r>
              <w:rPr>
                <w:rFonts w:hint="eastAsia"/>
                <w:color w:val="000000"/>
              </w:rPr>
              <w:t>3822032</w:t>
            </w:r>
          </w:p>
        </w:tc>
        <w:tc>
          <w:tcPr>
            <w:tcW w:w="907" w:type="pct"/>
            <w:tcBorders>
              <w:top w:val="single" w:color="000000" w:sz="8" w:space="0"/>
              <w:left w:val="single" w:color="000000" w:sz="8" w:space="0"/>
              <w:bottom w:val="single" w:color="000000" w:sz="8" w:space="0"/>
              <w:right w:val="nil"/>
            </w:tcBorders>
            <w:shd w:val="clear" w:color="auto" w:fill="FFFFFF"/>
            <w:noWrap w:val="0"/>
            <w:tcMar>
              <w:top w:w="0" w:type="dxa"/>
              <w:left w:w="108" w:type="dxa"/>
              <w:bottom w:w="0" w:type="dxa"/>
              <w:right w:w="108" w:type="dxa"/>
            </w:tcMar>
            <w:vAlign w:val="center"/>
          </w:tcPr>
          <w:p w14:paraId="0DDECED9">
            <w:pPr>
              <w:pStyle w:val="10"/>
              <w:bidi w:val="0"/>
              <w:jc w:val="center"/>
              <w:rPr>
                <w:color w:val="000000"/>
              </w:rPr>
            </w:pPr>
            <w:r>
              <w:rPr>
                <w:rFonts w:hint="eastAsia"/>
                <w:color w:val="000000"/>
              </w:rPr>
              <w:t>3823215</w:t>
            </w:r>
          </w:p>
        </w:tc>
      </w:tr>
      <w:tr w14:paraId="693E7042">
        <w:tblPrEx>
          <w:tblCellMar>
            <w:top w:w="0" w:type="dxa"/>
            <w:left w:w="0" w:type="dxa"/>
            <w:bottom w:w="0" w:type="dxa"/>
            <w:right w:w="0" w:type="dxa"/>
          </w:tblCellMar>
        </w:tblPrEx>
        <w:trPr>
          <w:jc w:val="center"/>
        </w:trPr>
        <w:tc>
          <w:tcPr>
            <w:tcW w:w="438" w:type="pct"/>
            <w:tcBorders>
              <w:top w:val="single" w:color="000000" w:sz="8" w:space="0"/>
              <w:left w:val="nil"/>
              <w:bottom w:val="single" w:color="000000" w:sz="8" w:space="0"/>
              <w:right w:val="single" w:color="000000" w:sz="8" w:space="0"/>
            </w:tcBorders>
            <w:shd w:val="clear" w:color="auto" w:fill="FFFFFF"/>
            <w:noWrap w:val="0"/>
            <w:tcMar>
              <w:top w:w="0" w:type="dxa"/>
              <w:left w:w="108" w:type="dxa"/>
              <w:bottom w:w="0" w:type="dxa"/>
              <w:right w:w="108" w:type="dxa"/>
            </w:tcMar>
            <w:vAlign w:val="center"/>
          </w:tcPr>
          <w:p w14:paraId="6345DCF9">
            <w:pPr>
              <w:pStyle w:val="10"/>
              <w:bidi w:val="0"/>
              <w:jc w:val="center"/>
              <w:rPr>
                <w:color w:val="000000"/>
              </w:rPr>
            </w:pPr>
            <w:r>
              <w:rPr>
                <w:color w:val="000000"/>
              </w:rPr>
              <w:t>3</w:t>
            </w:r>
          </w:p>
        </w:tc>
        <w:tc>
          <w:tcPr>
            <w:tcW w:w="528"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14:paraId="65E4CE74">
            <w:pPr>
              <w:pStyle w:val="10"/>
              <w:bidi w:val="0"/>
              <w:jc w:val="center"/>
              <w:rPr>
                <w:color w:val="000000"/>
              </w:rPr>
            </w:pPr>
            <w:r>
              <w:rPr>
                <w:rFonts w:hint="eastAsia"/>
                <w:color w:val="000000"/>
              </w:rPr>
              <w:t>三星级</w:t>
            </w:r>
          </w:p>
        </w:tc>
        <w:tc>
          <w:tcPr>
            <w:tcW w:w="806"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14:paraId="3F021186">
            <w:pPr>
              <w:pStyle w:val="10"/>
              <w:bidi w:val="0"/>
              <w:jc w:val="center"/>
              <w:rPr>
                <w:color w:val="000000"/>
              </w:rPr>
            </w:pPr>
            <w:r>
              <w:rPr>
                <w:rFonts w:hint="eastAsia"/>
                <w:color w:val="000000"/>
              </w:rPr>
              <w:t>金雄鹰宾馆</w:t>
            </w:r>
          </w:p>
        </w:tc>
        <w:tc>
          <w:tcPr>
            <w:tcW w:w="1411"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14:paraId="1DC7803C">
            <w:pPr>
              <w:pStyle w:val="10"/>
              <w:bidi w:val="0"/>
              <w:jc w:val="center"/>
              <w:rPr>
                <w:color w:val="000000"/>
              </w:rPr>
            </w:pPr>
            <w:r>
              <w:rPr>
                <w:rFonts w:hint="eastAsia"/>
                <w:color w:val="000000"/>
              </w:rPr>
              <w:t>南雄市雄中路55号</w:t>
            </w:r>
          </w:p>
        </w:tc>
        <w:tc>
          <w:tcPr>
            <w:tcW w:w="907"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14:paraId="11E97ADA">
            <w:pPr>
              <w:pStyle w:val="10"/>
              <w:bidi w:val="0"/>
              <w:jc w:val="center"/>
              <w:rPr>
                <w:color w:val="000000"/>
              </w:rPr>
            </w:pPr>
            <w:r>
              <w:rPr>
                <w:rFonts w:hint="eastAsia"/>
                <w:color w:val="000000"/>
              </w:rPr>
              <w:t>3868888</w:t>
            </w:r>
          </w:p>
        </w:tc>
        <w:tc>
          <w:tcPr>
            <w:tcW w:w="907" w:type="pct"/>
            <w:tcBorders>
              <w:top w:val="single" w:color="000000" w:sz="8" w:space="0"/>
              <w:left w:val="single" w:color="000000" w:sz="8" w:space="0"/>
              <w:bottom w:val="single" w:color="000000" w:sz="8" w:space="0"/>
              <w:right w:val="nil"/>
            </w:tcBorders>
            <w:shd w:val="clear" w:color="auto" w:fill="FFFFFF"/>
            <w:noWrap w:val="0"/>
            <w:tcMar>
              <w:top w:w="0" w:type="dxa"/>
              <w:left w:w="108" w:type="dxa"/>
              <w:bottom w:w="0" w:type="dxa"/>
              <w:right w:w="108" w:type="dxa"/>
            </w:tcMar>
            <w:vAlign w:val="center"/>
          </w:tcPr>
          <w:p w14:paraId="7AB4F1F3">
            <w:pPr>
              <w:pStyle w:val="10"/>
              <w:bidi w:val="0"/>
              <w:jc w:val="center"/>
              <w:rPr>
                <w:color w:val="000000"/>
              </w:rPr>
            </w:pPr>
            <w:r>
              <w:rPr>
                <w:rFonts w:hint="eastAsia"/>
                <w:color w:val="000000"/>
              </w:rPr>
              <w:t>3868889</w:t>
            </w:r>
          </w:p>
        </w:tc>
      </w:tr>
      <w:tr w14:paraId="7BA4A414">
        <w:tblPrEx>
          <w:tblCellMar>
            <w:top w:w="0" w:type="dxa"/>
            <w:left w:w="0" w:type="dxa"/>
            <w:bottom w:w="0" w:type="dxa"/>
            <w:right w:w="0" w:type="dxa"/>
          </w:tblCellMar>
        </w:tblPrEx>
        <w:trPr>
          <w:jc w:val="center"/>
        </w:trPr>
        <w:tc>
          <w:tcPr>
            <w:tcW w:w="438" w:type="pct"/>
            <w:tcBorders>
              <w:top w:val="single" w:color="000000" w:sz="8" w:space="0"/>
              <w:left w:val="nil"/>
              <w:bottom w:val="single" w:color="000000" w:sz="8" w:space="0"/>
              <w:right w:val="single" w:color="000000" w:sz="8" w:space="0"/>
            </w:tcBorders>
            <w:shd w:val="clear" w:color="auto" w:fill="FFFFFF"/>
            <w:noWrap w:val="0"/>
            <w:tcMar>
              <w:top w:w="0" w:type="dxa"/>
              <w:left w:w="108" w:type="dxa"/>
              <w:bottom w:w="0" w:type="dxa"/>
              <w:right w:w="108" w:type="dxa"/>
            </w:tcMar>
            <w:vAlign w:val="center"/>
          </w:tcPr>
          <w:p w14:paraId="76484A6E">
            <w:pPr>
              <w:pStyle w:val="10"/>
              <w:bidi w:val="0"/>
              <w:jc w:val="center"/>
              <w:rPr>
                <w:color w:val="000000"/>
              </w:rPr>
            </w:pPr>
            <w:r>
              <w:rPr>
                <w:color w:val="000000"/>
              </w:rPr>
              <w:t>4</w:t>
            </w:r>
          </w:p>
        </w:tc>
        <w:tc>
          <w:tcPr>
            <w:tcW w:w="528"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14:paraId="2C5F57A7">
            <w:pPr>
              <w:pStyle w:val="10"/>
              <w:bidi w:val="0"/>
              <w:jc w:val="center"/>
              <w:rPr>
                <w:color w:val="000000"/>
              </w:rPr>
            </w:pPr>
            <w:r>
              <w:rPr>
                <w:rFonts w:hint="eastAsia"/>
                <w:color w:val="000000"/>
              </w:rPr>
              <w:t>三星级</w:t>
            </w:r>
          </w:p>
        </w:tc>
        <w:tc>
          <w:tcPr>
            <w:tcW w:w="806"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14:paraId="50C2CBA5">
            <w:pPr>
              <w:pStyle w:val="10"/>
              <w:bidi w:val="0"/>
              <w:jc w:val="center"/>
              <w:rPr>
                <w:color w:val="000000"/>
              </w:rPr>
            </w:pPr>
            <w:r>
              <w:rPr>
                <w:rFonts w:hint="eastAsia"/>
                <w:color w:val="000000"/>
              </w:rPr>
              <w:t>雄州大酒店</w:t>
            </w:r>
          </w:p>
        </w:tc>
        <w:tc>
          <w:tcPr>
            <w:tcW w:w="1411"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14:paraId="66213ECF">
            <w:pPr>
              <w:pStyle w:val="10"/>
              <w:bidi w:val="0"/>
              <w:jc w:val="center"/>
              <w:rPr>
                <w:color w:val="000000"/>
              </w:rPr>
            </w:pPr>
            <w:r>
              <w:rPr>
                <w:rFonts w:hint="eastAsia"/>
                <w:color w:val="000000"/>
              </w:rPr>
              <w:t>南雄市雄中路马鞍山</w:t>
            </w:r>
          </w:p>
        </w:tc>
        <w:tc>
          <w:tcPr>
            <w:tcW w:w="907"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14:paraId="618A410D">
            <w:pPr>
              <w:pStyle w:val="10"/>
              <w:bidi w:val="0"/>
              <w:jc w:val="center"/>
              <w:rPr>
                <w:color w:val="000000"/>
              </w:rPr>
            </w:pPr>
            <w:r>
              <w:rPr>
                <w:rFonts w:hint="eastAsia"/>
                <w:color w:val="000000"/>
              </w:rPr>
              <w:t>3861533</w:t>
            </w:r>
          </w:p>
        </w:tc>
        <w:tc>
          <w:tcPr>
            <w:tcW w:w="907" w:type="pct"/>
            <w:tcBorders>
              <w:top w:val="single" w:color="000000" w:sz="8" w:space="0"/>
              <w:left w:val="single" w:color="000000" w:sz="8" w:space="0"/>
              <w:bottom w:val="single" w:color="000000" w:sz="8" w:space="0"/>
              <w:right w:val="nil"/>
            </w:tcBorders>
            <w:shd w:val="clear" w:color="auto" w:fill="FFFFFF"/>
            <w:noWrap w:val="0"/>
            <w:tcMar>
              <w:top w:w="0" w:type="dxa"/>
              <w:left w:w="108" w:type="dxa"/>
              <w:bottom w:w="0" w:type="dxa"/>
              <w:right w:w="108" w:type="dxa"/>
            </w:tcMar>
            <w:vAlign w:val="center"/>
          </w:tcPr>
          <w:p w14:paraId="1243F254">
            <w:pPr>
              <w:pStyle w:val="10"/>
              <w:bidi w:val="0"/>
              <w:jc w:val="center"/>
              <w:rPr>
                <w:color w:val="000000"/>
              </w:rPr>
            </w:pPr>
            <w:r>
              <w:rPr>
                <w:rFonts w:hint="eastAsia"/>
                <w:color w:val="000000"/>
              </w:rPr>
              <w:t>3861533</w:t>
            </w:r>
          </w:p>
        </w:tc>
      </w:tr>
    </w:tbl>
    <w:p w14:paraId="0CA0D708">
      <w:pPr>
        <w:pStyle w:val="10"/>
        <w:bidi w:val="0"/>
        <w:rPr>
          <w:b/>
          <w:bCs/>
        </w:rPr>
      </w:pPr>
      <w:r>
        <w:rPr>
          <w:rFonts w:hint="eastAsia"/>
          <w:b/>
          <w:bCs/>
        </w:rPr>
        <w:t>附：</w:t>
      </w:r>
      <w:r>
        <w:rPr>
          <w:b/>
          <w:bCs/>
        </w:rPr>
        <w:t>2013年市旅游局领导班子成员名单</w:t>
      </w:r>
    </w:p>
    <w:p w14:paraId="3505F4D3">
      <w:pPr>
        <w:pStyle w:val="10"/>
        <w:bidi w:val="0"/>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邓朝东</w:t>
      </w:r>
    </w:p>
    <w:p w14:paraId="51F00728">
      <w:pPr>
        <w:pStyle w:val="10"/>
        <w:bidi w:val="0"/>
        <w:rPr>
          <w:rFonts w:hint="eastAsia"/>
        </w:rPr>
      </w:pPr>
      <w:r>
        <w:rPr>
          <w:rFonts w:hint="eastAsia"/>
          <w:b/>
          <w:bCs/>
        </w:rPr>
        <w:t>副</w:t>
      </w:r>
      <w:r>
        <w:rPr>
          <w:rFonts w:hint="eastAsia"/>
          <w:b/>
          <w:bCs/>
          <w:lang w:val="en-US" w:eastAsia="zh-CN"/>
        </w:rPr>
        <w:t xml:space="preserve"> </w:t>
      </w:r>
      <w:r>
        <w:rPr>
          <w:rFonts w:hint="eastAsia"/>
          <w:b/>
          <w:bCs/>
        </w:rPr>
        <w:t>局</w:t>
      </w:r>
      <w:r>
        <w:rPr>
          <w:rFonts w:hint="eastAsia"/>
          <w:b/>
          <w:bCs/>
          <w:lang w:val="en-US" w:eastAsia="zh-CN"/>
        </w:rPr>
        <w:t xml:space="preserve"> </w:t>
      </w:r>
      <w:r>
        <w:rPr>
          <w:rFonts w:hint="eastAsia"/>
          <w:b/>
          <w:bCs/>
        </w:rPr>
        <w:t>长：</w:t>
      </w:r>
      <w:r>
        <w:rPr>
          <w:rFonts w:hint="eastAsia"/>
        </w:rPr>
        <w:t>温世雄</w:t>
      </w:r>
      <w:r>
        <w:rPr>
          <w:rFonts w:hint="eastAsia"/>
          <w:lang w:val="en-US" w:eastAsia="zh-CN"/>
        </w:rPr>
        <w:t xml:space="preserve">   </w:t>
      </w:r>
      <w:r>
        <w:rPr>
          <w:rFonts w:hint="eastAsia"/>
        </w:rPr>
        <w:t>郭秀丽</w:t>
      </w:r>
    </w:p>
    <w:p w14:paraId="6C03372C">
      <w:pPr>
        <w:pStyle w:val="10"/>
        <w:bidi w:val="0"/>
        <w:rPr>
          <w:rFonts w:hint="eastAsia"/>
        </w:rPr>
      </w:pPr>
      <w:r>
        <w:rPr>
          <w:rFonts w:hint="eastAsia"/>
          <w:b/>
          <w:bCs/>
        </w:rPr>
        <w:t>纪检组长：</w:t>
      </w:r>
      <w:r>
        <w:rPr>
          <w:rFonts w:hint="eastAsia"/>
        </w:rPr>
        <w:t>戴卫芳</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2AECC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7D5F033">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1090" cy="4057650"/>
                  <wp:effectExtent l="0" t="0" r="10160" b="0"/>
                  <wp:docPr id="56" name="图片 56" descr="南雄年鉴2014-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南雄年鉴2014-056"/>
                          <pic:cNvPicPr>
                            <a:picLocks noChangeAspect="1"/>
                          </pic:cNvPicPr>
                        </pic:nvPicPr>
                        <pic:blipFill>
                          <a:blip r:embed="rId126"/>
                          <a:stretch>
                            <a:fillRect/>
                          </a:stretch>
                        </pic:blipFill>
                        <pic:spPr>
                          <a:xfrm>
                            <a:off x="0" y="0"/>
                            <a:ext cx="6181090" cy="4057650"/>
                          </a:xfrm>
                          <a:prstGeom prst="rect">
                            <a:avLst/>
                          </a:prstGeom>
                        </pic:spPr>
                      </pic:pic>
                    </a:graphicData>
                  </a:graphic>
                </wp:inline>
              </w:drawing>
            </w:r>
          </w:p>
        </w:tc>
      </w:tr>
    </w:tbl>
    <w:p w14:paraId="4EBECAE8">
      <w:pPr>
        <w:pStyle w:val="2"/>
        <w:bidi w:val="0"/>
        <w:rPr>
          <w:rFonts w:hint="default"/>
          <w:lang w:val="en-US" w:eastAsia="zh-CN"/>
        </w:rPr>
      </w:pPr>
      <w:r>
        <w:rPr>
          <w:rFonts w:hint="eastAsia"/>
        </w:rPr>
        <w:t>财政</w:t>
      </w:r>
      <w:r>
        <w:rPr>
          <w:rFonts w:hint="eastAsia"/>
          <w:lang w:val="en-US" w:eastAsia="zh-CN"/>
        </w:rPr>
        <w:t>·金融</w:t>
      </w:r>
    </w:p>
    <w:p w14:paraId="21873948">
      <w:pPr>
        <w:pStyle w:val="3"/>
        <w:bidi w:val="0"/>
        <w:rPr>
          <w:rFonts w:hint="eastAsia"/>
          <w:lang w:val="en-US" w:eastAsia="zh-CN"/>
        </w:rPr>
      </w:pPr>
      <w:r>
        <w:rPr>
          <w:rFonts w:hint="eastAsia"/>
          <w:lang w:val="en-US" w:eastAsia="zh-CN"/>
        </w:rPr>
        <w:t>财政</w:t>
      </w:r>
    </w:p>
    <w:p w14:paraId="18B8820C">
      <w:pPr>
        <w:pStyle w:val="4"/>
        <w:bidi w:val="0"/>
        <w:rPr>
          <w:rFonts w:hint="eastAsia"/>
        </w:rPr>
      </w:pPr>
      <w:r>
        <w:rPr>
          <w:rFonts w:hint="eastAsia"/>
        </w:rPr>
        <w:t>【概况】</w:t>
      </w:r>
    </w:p>
    <w:p w14:paraId="56A62ACF">
      <w:pPr>
        <w:rPr>
          <w:rFonts w:hint="eastAsia"/>
        </w:rPr>
      </w:pPr>
      <w:r>
        <w:rPr>
          <w:rFonts w:hint="eastAsia"/>
        </w:rPr>
        <w:t>南雄市财政局内设办公室、预算股、国库股等</w:t>
      </w:r>
      <w:r>
        <w:t>16个股室，下设政府采购办、国库支付中</w:t>
      </w:r>
      <w:r>
        <w:rPr>
          <w:rFonts w:hint="eastAsia"/>
        </w:rPr>
        <w:t>心、公共资产管理中心、投资评审中心等四个副</w:t>
      </w:r>
      <w:r>
        <w:rPr>
          <w:rFonts w:hint="eastAsia"/>
          <w:lang w:val="en-US" w:eastAsia="zh-CN"/>
        </w:rPr>
        <w:t>科</w:t>
      </w:r>
      <w:r>
        <w:rPr>
          <w:rFonts w:hint="eastAsia"/>
        </w:rPr>
        <w:t>级事业单位。政府采购办、国库支付中心、公共资</w:t>
      </w:r>
      <w:r>
        <w:rPr>
          <w:rFonts w:hint="eastAsia"/>
          <w:lang w:val="en-US" w:eastAsia="zh-CN"/>
        </w:rPr>
        <w:t>产</w:t>
      </w:r>
      <w:r>
        <w:rPr>
          <w:rFonts w:hint="eastAsia"/>
        </w:rPr>
        <w:t>管理中心参照公务员管理。管辖雄州、珠玑等</w:t>
      </w:r>
      <w:r>
        <w:t>18</w:t>
      </w:r>
      <w:r>
        <w:rPr>
          <w:rFonts w:hint="eastAsia"/>
        </w:rPr>
        <w:t>个镇（街道）财政所。财政局党总支下设局机关党支部、国库支付中心党支部、公共资产管理中心党支部、政府采购办党支部、老干部党支部等</w:t>
      </w:r>
      <w:r>
        <w:t>5个党</w:t>
      </w:r>
      <w:r>
        <w:rPr>
          <w:rFonts w:hint="eastAsia"/>
        </w:rPr>
        <w:t>支部。</w:t>
      </w:r>
    </w:p>
    <w:p w14:paraId="126B0289">
      <w:pPr>
        <w:rPr>
          <w:rFonts w:hint="eastAsia"/>
        </w:rPr>
      </w:pPr>
      <w:r>
        <w:t>2013年，荣获韶关市扶贫开发“规划到户、责</w:t>
      </w:r>
      <w:r>
        <w:rPr>
          <w:rFonts w:hint="eastAsia"/>
        </w:rPr>
        <w:t>任到人”工作优秀单位、被南雄市委评为“</w:t>
      </w:r>
      <w:r>
        <w:t>2012</w:t>
      </w:r>
      <w:r>
        <w:rPr>
          <w:rFonts w:hint="eastAsia"/>
        </w:rPr>
        <w:t>年度人民代表满意单位”、荣获“</w:t>
      </w:r>
      <w:r>
        <w:t>2011-2012年度</w:t>
      </w:r>
      <w:r>
        <w:rPr>
          <w:rFonts w:hint="eastAsia"/>
        </w:rPr>
        <w:t>南雄市常见廉政建设先进单位”、荣获“</w:t>
      </w:r>
      <w:r>
        <w:t>2012年度</w:t>
      </w:r>
      <w:r>
        <w:rPr>
          <w:rFonts w:hint="eastAsia"/>
        </w:rPr>
        <w:t>人口与计划生育综合治理工作先进单位”、荣获“南雄市</w:t>
      </w:r>
      <w:r>
        <w:t>2012年经济社会突出贡献奖”等先进</w:t>
      </w:r>
      <w:r>
        <w:rPr>
          <w:rFonts w:hint="eastAsia"/>
        </w:rPr>
        <w:t>称号。</w:t>
      </w:r>
    </w:p>
    <w:p w14:paraId="2A9306AD">
      <w:pPr>
        <w:pStyle w:val="4"/>
        <w:bidi w:val="0"/>
        <w:rPr>
          <w:rFonts w:hint="eastAsia"/>
        </w:rPr>
      </w:pPr>
      <w:r>
        <w:rPr>
          <w:rFonts w:hint="eastAsia"/>
        </w:rPr>
        <w:t>【财税征管新举措】</w:t>
      </w:r>
    </w:p>
    <w:p w14:paraId="0CE3B222">
      <w:pPr>
        <w:rPr>
          <w:rFonts w:hint="eastAsia"/>
          <w:lang w:eastAsia="zh-CN"/>
        </w:rPr>
      </w:pPr>
      <w:r>
        <w:t>2013年，南雄市公共财政预</w:t>
      </w:r>
      <w:r>
        <w:rPr>
          <w:rFonts w:hint="eastAsia"/>
        </w:rPr>
        <w:t>算收入完成</w:t>
      </w:r>
      <w:r>
        <w:t>47568万元，同比增长18.87%</w:t>
      </w:r>
      <w:r>
        <w:rPr>
          <w:rFonts w:hint="eastAsia"/>
          <w:lang w:eastAsia="zh-CN"/>
        </w:rPr>
        <w:t>。</w:t>
      </w:r>
    </w:p>
    <w:p w14:paraId="1A957B58">
      <w:r>
        <w:rPr>
          <w:rFonts w:hint="eastAsia"/>
          <w:lang w:eastAsia="zh-CN"/>
        </w:rPr>
        <w:t>一</w:t>
      </w:r>
      <w:r>
        <w:rPr>
          <w:rFonts w:hint="eastAsia"/>
        </w:rPr>
        <w:t>是实施“主题”式挖掘税源，增强税收征管的针对性和效率性。在会同税务部门深入开展调</w:t>
      </w:r>
      <w:r>
        <w:rPr>
          <w:rFonts w:hint="eastAsia"/>
          <w:lang w:eastAsia="zh-CN"/>
        </w:rPr>
        <w:t>查</w:t>
      </w:r>
      <w:r>
        <w:rPr>
          <w:rFonts w:hint="eastAsia"/>
        </w:rPr>
        <w:t>研究，抓好主要税种征收的基础，确定城镇土地使用税为征收重点税种，实施主题突破，以此带动房地产相关税种的征收，重点加强工业园区土地用地</w:t>
      </w:r>
      <w:r>
        <w:rPr>
          <w:rFonts w:hint="eastAsia"/>
          <w:lang w:eastAsia="zh-CN"/>
        </w:rPr>
        <w:t>税</w:t>
      </w:r>
      <w:r>
        <w:rPr>
          <w:rFonts w:hint="eastAsia"/>
        </w:rPr>
        <w:t>收征管，进一步挖掘地方税源潜力。</w:t>
      </w:r>
      <w:r>
        <w:t>2013年，城</w:t>
      </w:r>
      <w:r>
        <w:rPr>
          <w:rFonts w:hint="eastAsia"/>
        </w:rPr>
        <w:t>镇土地使用税完成</w:t>
      </w:r>
      <w:r>
        <w:t>4984万元，同比增长161.9%。</w:t>
      </w:r>
    </w:p>
    <w:p w14:paraId="0DA9C581">
      <w:pPr>
        <w:rPr>
          <w:rFonts w:hint="eastAsia"/>
        </w:rPr>
      </w:pPr>
      <w:r>
        <w:rPr>
          <w:rFonts w:hint="eastAsia"/>
        </w:rPr>
        <w:t>二是强化财税部门等相关的沟通协调和配合，形成工作合力。一方面，坚持财税工作联席会议制度，实行每月的月中和月末都召开一次财税等部门的碰头会，建立信息沟通、数据交流、情况通报的工作机制，实行</w:t>
      </w:r>
      <w:r>
        <w:rPr>
          <w:rFonts w:hint="eastAsia"/>
          <w:lang w:eastAsia="zh-CN"/>
        </w:rPr>
        <w:t>收入</w:t>
      </w:r>
      <w:r>
        <w:rPr>
          <w:rFonts w:hint="eastAsia"/>
        </w:rPr>
        <w:t>进度跟踪督</w:t>
      </w:r>
      <w:r>
        <w:rPr>
          <w:rFonts w:hint="eastAsia"/>
          <w:lang w:eastAsia="zh-CN"/>
        </w:rPr>
        <w:t>查</w:t>
      </w:r>
      <w:r>
        <w:rPr>
          <w:rFonts w:hint="eastAsia"/>
        </w:rPr>
        <w:t>制度，抓好重点</w:t>
      </w:r>
      <w:r>
        <w:rPr>
          <w:rFonts w:hint="eastAsia"/>
          <w:lang w:val="en-US" w:eastAsia="zh-CN"/>
        </w:rPr>
        <w:t>金融</w:t>
      </w:r>
      <w:r>
        <w:rPr>
          <w:rFonts w:hint="eastAsia"/>
        </w:rPr>
        <w:t>税源、重点企业的税收完成情况分析，健全和完善财税收入增长监控、分析、预测新机制。另一方面，充分发挥市协税护税工作领导小组的综合协调能力，加强税收征管过程中的协调工作，加大征管力度，做到应收尽收。</w:t>
      </w:r>
    </w:p>
    <w:p w14:paraId="48C6968A">
      <w:pPr>
        <w:rPr>
          <w:rFonts w:hint="eastAsia"/>
          <w:lang w:eastAsia="zh-CN"/>
        </w:rPr>
      </w:pPr>
      <w:r>
        <w:rPr>
          <w:rFonts w:hint="eastAsia"/>
        </w:rPr>
        <w:t>三是加强非税收入征管，实行政府统一预算。强化非税收入信息化管理，对非税收入实行实时监控，规范非税收入征收行为。同时，把行政事业性收费和罚没收入纳入财政预算管理，确保非税收入及时足额上缴入库，做到预算内外“一盘棋”，做大财政“蛋糕”</w:t>
      </w:r>
      <w:r>
        <w:rPr>
          <w:rFonts w:hint="eastAsia"/>
          <w:lang w:eastAsia="zh-CN"/>
        </w:rPr>
        <w:t>。</w:t>
      </w:r>
    </w:p>
    <w:p w14:paraId="044D055B">
      <w:pPr>
        <w:pStyle w:val="4"/>
        <w:bidi w:val="0"/>
        <w:rPr>
          <w:rFonts w:hint="eastAsia"/>
        </w:rPr>
      </w:pPr>
      <w:r>
        <w:rPr>
          <w:rFonts w:hint="eastAsia"/>
        </w:rPr>
        <w:t>【理财理念新突破】</w:t>
      </w:r>
    </w:p>
    <w:p w14:paraId="14576F86">
      <w:pPr>
        <w:rPr>
          <w:rFonts w:hint="eastAsia"/>
        </w:rPr>
      </w:pPr>
      <w:r>
        <w:rPr>
          <w:rFonts w:hint="eastAsia"/>
        </w:rPr>
        <w:t>一是加大跑项目争资金力度，增加地方可用财力。紧紧抓住省委省政府关于进</w:t>
      </w:r>
      <w:r>
        <w:rPr>
          <w:rFonts w:hint="eastAsia"/>
          <w:lang w:val="en-US" w:eastAsia="zh-CN"/>
        </w:rPr>
        <w:t>一</w:t>
      </w:r>
      <w:r>
        <w:rPr>
          <w:rFonts w:hint="eastAsia"/>
        </w:rPr>
        <w:t>步促进粤东西北地区振兴发展的战略部署，结合南雄中央苏区县、国家限制开发的重点生态功能区</w:t>
      </w:r>
      <w:r>
        <w:rPr>
          <w:rFonts w:hint="eastAsia"/>
          <w:lang w:eastAsia="zh-CN"/>
        </w:rPr>
        <w:t>、</w:t>
      </w:r>
      <w:r>
        <w:rPr>
          <w:rFonts w:hint="eastAsia"/>
        </w:rPr>
        <w:t>省扶贫重点县、省重点产业转移园区等资源优势，领会和把握政策内涵，全面科学分析政策，用好用活用足政策。配合相关部门做好项目申报和项目储备工作，千方百计争取工业化、城镇化建设相关项目资金。</w:t>
      </w:r>
      <w:r>
        <w:t>2013年，争取水利、农业、教育等方面建</w:t>
      </w:r>
      <w:r>
        <w:rPr>
          <w:rFonts w:hint="eastAsia"/>
        </w:rPr>
        <w:t>设资金达</w:t>
      </w:r>
      <w:r>
        <w:t>6亿元，为全市经济社会发展提供有力的</w:t>
      </w:r>
      <w:r>
        <w:rPr>
          <w:rFonts w:hint="eastAsia"/>
        </w:rPr>
        <w:t>财力保障。</w:t>
      </w:r>
    </w:p>
    <w:p w14:paraId="5CC6504A">
      <w:pPr>
        <w:rPr>
          <w:rFonts w:hint="eastAsia"/>
        </w:rPr>
      </w:pPr>
      <w:r>
        <w:rPr>
          <w:rFonts w:hint="eastAsia"/>
          <w:lang w:eastAsia="zh-CN"/>
        </w:rPr>
        <w:t>二</w:t>
      </w:r>
      <w:r>
        <w:rPr>
          <w:rFonts w:hint="eastAsia"/>
        </w:rPr>
        <w:t>是以工业园建设为重点，加大企业支持力度。在招商引资预算安排和资金拨付上，实行无障碍“绿色通道”，在资金拨付上优先保障第二次招商引资高潮掀起，全年对园区投入</w:t>
      </w:r>
      <w:r>
        <w:t>1亿多元，用于</w:t>
      </w:r>
      <w:r>
        <w:rPr>
          <w:rFonts w:hint="eastAsia"/>
        </w:rPr>
        <w:t>完善园区一期配套基础设施和园区二期开发建设，提升园区承载能力，改善投资环境，大力支持产业转移园区建设；在加大企业发展投入支持力度上，投入节能减排和技改资金资金</w:t>
      </w:r>
      <w:r>
        <w:t>1800多万元，重点</w:t>
      </w:r>
      <w:r>
        <w:rPr>
          <w:rFonts w:hint="eastAsia"/>
        </w:rPr>
        <w:t>对金叶包装公司、康绿宝、阳普医疗等企业进行技改，加快转型升级，提升产业效能。对省级重点农业龙头企业韶能南雄珠玑纸业公司、金友集团公司贷款贴息，支付企业做大做强做优。</w:t>
      </w:r>
    </w:p>
    <w:p w14:paraId="349F90A1">
      <w:pPr>
        <w:rPr>
          <w:rFonts w:hint="eastAsia"/>
          <w:lang w:eastAsia="zh-CN"/>
        </w:rPr>
      </w:pPr>
      <w:r>
        <w:rPr>
          <w:rFonts w:hint="eastAsia"/>
          <w:lang w:val="en-US" w:eastAsia="zh-CN"/>
        </w:rPr>
        <w:t>三</w:t>
      </w:r>
      <w:r>
        <w:rPr>
          <w:rFonts w:hint="eastAsia"/>
        </w:rPr>
        <w:t>是加强同金融机构的沟通和协调，争取更多的信贷投放指标。专门召开金融工作会议，部署放大金融机构放贷额，支持南雄经济发展工作。以财政一次性投入</w:t>
      </w:r>
      <w:r>
        <w:t>1000万元作为启动资金，建立中小</w:t>
      </w:r>
      <w:r>
        <w:rPr>
          <w:rFonts w:hint="eastAsia"/>
        </w:rPr>
        <w:t>企业贷款风险补偿基金，鼓励金融机构加大对中小微企业的信贷投放力度，发挥金融资本杠杆效应，促进中小微企业健康发展。</w:t>
      </w:r>
      <w:r>
        <w:t>2013年，全市金融机构</w:t>
      </w:r>
      <w:r>
        <w:rPr>
          <w:rFonts w:hint="eastAsia"/>
        </w:rPr>
        <w:t>各项贷款余额</w:t>
      </w:r>
      <w:r>
        <w:t>37.5亿元，增加14.4亿元，增长62.5%，较好地解决企业发展融资难这一瓶颈问</w:t>
      </w:r>
      <w:r>
        <w:rPr>
          <w:rFonts w:hint="eastAsia"/>
        </w:rPr>
        <w:t>题，有力地支持和推动南雄工业、建筑业等行业的发展</w:t>
      </w:r>
      <w:r>
        <w:rPr>
          <w:rFonts w:hint="eastAsia"/>
          <w:lang w:eastAsia="zh-CN"/>
        </w:rPr>
        <w:t>。</w:t>
      </w:r>
    </w:p>
    <w:p w14:paraId="0C48005D">
      <w:r>
        <w:rPr>
          <w:rFonts w:hint="eastAsia"/>
        </w:rPr>
        <w:t>四是用活企业养老保险基金，确保基金保值增值。把南雄企业养老保险基金由韶关管理划归到南雄自主管理，一方面，企业基础养老金基金结余</w:t>
      </w:r>
      <w:r>
        <w:t>5000万元存放南雄，可作为投放增值，增加支持地</w:t>
      </w:r>
      <w:r>
        <w:rPr>
          <w:rFonts w:hint="eastAsia"/>
        </w:rPr>
        <w:t>方企业建设增量资金；另一方面，对结余</w:t>
      </w:r>
      <w:r>
        <w:t>5000万</w:t>
      </w:r>
      <w:r>
        <w:rPr>
          <w:rFonts w:hint="eastAsia"/>
        </w:rPr>
        <w:t>元进行定期存放，每年为南雄新增基金增值收益</w:t>
      </w:r>
      <w:r>
        <w:t>170多万元。</w:t>
      </w:r>
    </w:p>
    <w:p w14:paraId="039F4AD0">
      <w:pPr>
        <w:pStyle w:val="4"/>
        <w:bidi w:val="0"/>
        <w:rPr>
          <w:rFonts w:hint="eastAsia"/>
        </w:rPr>
      </w:pPr>
      <w:r>
        <w:rPr>
          <w:rFonts w:hint="eastAsia"/>
        </w:rPr>
        <w:t>【投入模式新转变】</w:t>
      </w:r>
    </w:p>
    <w:p w14:paraId="590081BB">
      <w:r>
        <w:rPr>
          <w:rFonts w:hint="eastAsia"/>
        </w:rPr>
        <w:t>坚持以公共教育、医疗卫生、社会保障等重点民生领域为突破口，逐步建立和完善基本公共服务均等化长效机制。</w:t>
      </w:r>
      <w:r>
        <w:t>2013年，民生资</w:t>
      </w:r>
      <w:r>
        <w:rPr>
          <w:rFonts w:hint="eastAsia"/>
        </w:rPr>
        <w:t>金类资金支出完成</w:t>
      </w:r>
      <w:r>
        <w:t>113948万元，占公共财政预算</w:t>
      </w:r>
      <w:r>
        <w:rPr>
          <w:rFonts w:hint="eastAsia"/>
        </w:rPr>
        <w:t>支出的</w:t>
      </w:r>
      <w:r>
        <w:t>71.2%。</w:t>
      </w:r>
    </w:p>
    <w:p w14:paraId="2B4AC2FA">
      <w:r>
        <w:rPr>
          <w:rFonts w:hint="eastAsia"/>
          <w:lang w:val="en-US" w:eastAsia="zh-CN"/>
        </w:rPr>
        <w:t>一</w:t>
      </w:r>
      <w:r>
        <w:rPr>
          <w:rFonts w:hint="eastAsia"/>
        </w:rPr>
        <w:t>是落实好提标工作，提高待遇和保障水平。从</w:t>
      </w:r>
      <w:r>
        <w:t>2013年1月起企业退休人员社保待遇总体提高10%，对农村集中供养和分散供养五保户发放标准</w:t>
      </w:r>
      <w:r>
        <w:rPr>
          <w:rFonts w:hint="eastAsia"/>
        </w:rPr>
        <w:t>分别提高到</w:t>
      </w:r>
      <w:r>
        <w:t>510元和410元，农村低保补助标准从</w:t>
      </w:r>
      <w:r>
        <w:rPr>
          <w:rFonts w:hint="eastAsia"/>
        </w:rPr>
        <w:t>人均每月</w:t>
      </w:r>
      <w:r>
        <w:t>80元提高到109元，城市低保补助标准</w:t>
      </w:r>
      <w:r>
        <w:rPr>
          <w:rFonts w:hint="eastAsia"/>
        </w:rPr>
        <w:t>从人均每月</w:t>
      </w:r>
      <w:r>
        <w:t>135元提高到242元，城乡居民基本医</w:t>
      </w:r>
      <w:r>
        <w:rPr>
          <w:rFonts w:hint="eastAsia"/>
        </w:rPr>
        <w:t>疗保险财政补助标准从每人每年</w:t>
      </w:r>
      <w:r>
        <w:t>240元提高到280</w:t>
      </w:r>
      <w:r>
        <w:rPr>
          <w:rFonts w:hint="eastAsia"/>
        </w:rPr>
        <w:t>元，基本公共卫生服务标准从人均每年</w:t>
      </w:r>
      <w:r>
        <w:t>25元提高</w:t>
      </w:r>
      <w:r>
        <w:rPr>
          <w:rFonts w:hint="eastAsia"/>
        </w:rPr>
        <w:t>到</w:t>
      </w:r>
      <w:r>
        <w:t>30元。</w:t>
      </w:r>
    </w:p>
    <w:p w14:paraId="165D3121">
      <w:pPr>
        <w:rPr>
          <w:rFonts w:hint="eastAsia"/>
        </w:rPr>
      </w:pPr>
      <w:r>
        <w:rPr>
          <w:rFonts w:hint="eastAsia"/>
        </w:rPr>
        <w:t>二是制定惠民政策，实施民生财政。投入</w:t>
      </w:r>
      <w:r>
        <w:t>1500</w:t>
      </w:r>
      <w:r>
        <w:rPr>
          <w:rFonts w:hint="eastAsia"/>
        </w:rPr>
        <w:t>多万元，为边远山区</w:t>
      </w:r>
      <w:r>
        <w:t>2700多名教师发放人均500</w:t>
      </w:r>
      <w:r>
        <w:rPr>
          <w:rFonts w:hint="eastAsia"/>
        </w:rPr>
        <w:t>元山区补助，落实边远山区教师补助政策，每年拨付</w:t>
      </w:r>
      <w:r>
        <w:t>2200多万元为广大教师缴纳住房公积金，把全</w:t>
      </w:r>
      <w:r>
        <w:rPr>
          <w:rFonts w:hint="eastAsia"/>
        </w:rPr>
        <w:t>市教师队伍纳入住房公积金管理，为</w:t>
      </w:r>
      <w:r>
        <w:t>80岁以上高</w:t>
      </w:r>
      <w:r>
        <w:rPr>
          <w:rFonts w:hint="eastAsia"/>
        </w:rPr>
        <w:t>龄老人发放高龄津贴，为全市</w:t>
      </w:r>
      <w:r>
        <w:t>1670多名离任村干</w:t>
      </w:r>
      <w:r>
        <w:rPr>
          <w:rFonts w:hint="eastAsia"/>
        </w:rPr>
        <w:t>部发放生活补助，落实隔层保障政策，提高村级办公经费和人员补贴，全年安排农村基层组织工作经费保障资金</w:t>
      </w:r>
      <w:r>
        <w:t>1940万元。从2013年起，连续3年每</w:t>
      </w:r>
      <w:r>
        <w:rPr>
          <w:rFonts w:hint="eastAsia"/>
        </w:rPr>
        <w:t>年安排</w:t>
      </w:r>
      <w:r>
        <w:t>60万元对村委会进行修缮，保障基层组织</w:t>
      </w:r>
      <w:r>
        <w:rPr>
          <w:rFonts w:hint="eastAsia"/>
        </w:rPr>
        <w:t>正常运转和改善村级办公条件。</w:t>
      </w:r>
    </w:p>
    <w:p w14:paraId="0D2C9B2A">
      <w:pPr>
        <w:rPr>
          <w:rFonts w:hint="eastAsia" w:eastAsia="宋体"/>
          <w:lang w:eastAsia="zh-CN"/>
        </w:rPr>
      </w:pPr>
      <w:r>
        <w:rPr>
          <w:rFonts w:hint="eastAsia"/>
        </w:rPr>
        <w:t>三是落实保障资金，确保政策落实到位。发放困难群众生活补贴</w:t>
      </w:r>
      <w:r>
        <w:t>300万元，困难群众临时性价格</w:t>
      </w:r>
      <w:r>
        <w:rPr>
          <w:rFonts w:hint="eastAsia"/>
        </w:rPr>
        <w:t>补贴</w:t>
      </w:r>
      <w:r>
        <w:t>470万元，安排城乡低保财政配套资金3178</w:t>
      </w:r>
      <w:r>
        <w:rPr>
          <w:rFonts w:hint="eastAsia"/>
        </w:rPr>
        <w:t>万元，落实社会保障配套资金</w:t>
      </w:r>
      <w:r>
        <w:t>3294万元，安排城</w:t>
      </w:r>
      <w:r>
        <w:rPr>
          <w:rFonts w:hint="eastAsia"/>
        </w:rPr>
        <w:t>乡居民基本医疗保险补助资金</w:t>
      </w:r>
      <w:r>
        <w:t>10800万元，基本公</w:t>
      </w:r>
      <w:r>
        <w:rPr>
          <w:rFonts w:hint="eastAsia"/>
        </w:rPr>
        <w:t>共卫生服务和重大公共卫生资金</w:t>
      </w:r>
      <w:r>
        <w:t>907万元，乡镇卫</w:t>
      </w:r>
      <w:r>
        <w:rPr>
          <w:rFonts w:hint="eastAsia"/>
        </w:rPr>
        <w:t>生院经费保障体制补助资金</w:t>
      </w:r>
      <w:r>
        <w:t>2280万元</w:t>
      </w:r>
      <w:r>
        <w:rPr>
          <w:rFonts w:hint="eastAsia"/>
          <w:lang w:eastAsia="zh-CN"/>
        </w:rPr>
        <w:t>。</w:t>
      </w:r>
    </w:p>
    <w:p w14:paraId="28BB5220">
      <w:pPr>
        <w:rPr>
          <w:rFonts w:hint="eastAsia"/>
        </w:rPr>
      </w:pPr>
      <w:r>
        <w:rPr>
          <w:rFonts w:hint="eastAsia"/>
        </w:rPr>
        <w:t>四是落实惠农强农富农政策，支持农业生产。全年发放粮食直补、农资综合补贴</w:t>
      </w:r>
      <w:r>
        <w:t>3300万元，良</w:t>
      </w:r>
      <w:r>
        <w:rPr>
          <w:rFonts w:hint="eastAsia"/>
        </w:rPr>
        <w:t>种补贴</w:t>
      </w:r>
      <w:r>
        <w:t>675万元，农机具购置补贴808万元，发放</w:t>
      </w:r>
      <w:r>
        <w:rPr>
          <w:rFonts w:hint="eastAsia"/>
        </w:rPr>
        <w:t>能繁母猪饲养补贴资金</w:t>
      </w:r>
      <w:r>
        <w:t>350万元。统筹安排资金500万元，用于农技推广与培训，集中支持禽畜养</w:t>
      </w:r>
      <w:r>
        <w:rPr>
          <w:rFonts w:hint="eastAsia"/>
        </w:rPr>
        <w:t>殖、优质米生产、油茶生产、现代烟草农业、中药材种植和农土特生产加工销售六大农业产业，加快农业产业化发展步伐。</w:t>
      </w:r>
    </w:p>
    <w:p w14:paraId="12EB0DCA">
      <w:pPr>
        <w:rPr>
          <w:rFonts w:hint="eastAsia"/>
        </w:rPr>
      </w:pPr>
      <w:r>
        <w:rPr>
          <w:rFonts w:hint="eastAsia"/>
        </w:rPr>
        <w:t>五是推动教育“四大民生工程”建设，支持教育创强。全年拨付资金</w:t>
      </w:r>
      <w:r>
        <w:t>5700万元，用于教育创强</w:t>
      </w:r>
      <w:r>
        <w:rPr>
          <w:rFonts w:hint="eastAsia"/>
          <w:lang w:eastAsia="zh-CN"/>
        </w:rPr>
        <w:t>、</w:t>
      </w:r>
      <w:r>
        <w:rPr>
          <w:rFonts w:hint="eastAsia"/>
        </w:rPr>
        <w:t>义务教育阶段公用经费，拨付资金</w:t>
      </w:r>
      <w:r>
        <w:t>720万元，加强</w:t>
      </w:r>
      <w:r>
        <w:rPr>
          <w:rFonts w:hint="eastAsia"/>
        </w:rPr>
        <w:t>对普及高中及职业教育支持力度。</w:t>
      </w:r>
    </w:p>
    <w:p w14:paraId="2C24EFA6">
      <w:pPr>
        <w:rPr>
          <w:rFonts w:hint="eastAsia"/>
        </w:rPr>
      </w:pPr>
      <w:r>
        <w:rPr>
          <w:rFonts w:hint="eastAsia"/>
        </w:rPr>
        <w:t>六是加大农村基础设施建设投入，改善农村生产生活条件。全年安排新农村公路路面硬化建设资金</w:t>
      </w:r>
      <w:r>
        <w:t>1400万元，高标准基本农田建设360万元，邓</w:t>
      </w:r>
      <w:r>
        <w:rPr>
          <w:rFonts w:hint="eastAsia"/>
        </w:rPr>
        <w:t>坊农业综合开发土地治理项目财政增量资金</w:t>
      </w:r>
      <w:r>
        <w:t>952万</w:t>
      </w:r>
      <w:r>
        <w:rPr>
          <w:rFonts w:hint="eastAsia"/>
        </w:rPr>
        <w:t>元，农村饮水安全工程资金</w:t>
      </w:r>
      <w:r>
        <w:t>672万元，小型水利示</w:t>
      </w:r>
      <w:r>
        <w:rPr>
          <w:rFonts w:hint="eastAsia"/>
        </w:rPr>
        <w:t>范镇建设</w:t>
      </w:r>
      <w:r>
        <w:t>803万元，水库移民后期扶持资金740万</w:t>
      </w:r>
      <w:r>
        <w:rPr>
          <w:rFonts w:hint="eastAsia"/>
        </w:rPr>
        <w:t>元，扶持不具备生产生活条件贫困村庄搬迁</w:t>
      </w:r>
      <w:r>
        <w:t>193万</w:t>
      </w:r>
      <w:r>
        <w:rPr>
          <w:rFonts w:hint="eastAsia"/>
        </w:rPr>
        <w:t>元，农村低收入住房困难户住房改造建设</w:t>
      </w:r>
      <w:r>
        <w:t>373万</w:t>
      </w:r>
      <w:r>
        <w:rPr>
          <w:rFonts w:hint="eastAsia"/>
        </w:rPr>
        <w:t>元，拨付扶贫开发“双到”专项资金</w:t>
      </w:r>
      <w:r>
        <w:t>3570万元，</w:t>
      </w:r>
      <w:r>
        <w:rPr>
          <w:rFonts w:hint="eastAsia"/>
        </w:rPr>
        <w:t>不断改善农民生产生活条件。</w:t>
      </w:r>
    </w:p>
    <w:p w14:paraId="18462501">
      <w:pPr>
        <w:rPr>
          <w:rFonts w:hint="eastAsia"/>
        </w:rPr>
      </w:pPr>
      <w:r>
        <w:rPr>
          <w:rFonts w:hint="eastAsia"/>
        </w:rPr>
        <w:t>七是加大生态投入力度，推动生态文明建设。</w:t>
      </w:r>
      <w:r>
        <w:t>2013年，发放生态公益林补偿资金2241万元，拨</w:t>
      </w:r>
      <w:r>
        <w:rPr>
          <w:rFonts w:hint="eastAsia"/>
        </w:rPr>
        <w:t>付森林碳汇重点工程建设资金</w:t>
      </w:r>
      <w:r>
        <w:t>751万，投入旅游基</w:t>
      </w:r>
      <w:r>
        <w:rPr>
          <w:rFonts w:hint="eastAsia"/>
        </w:rPr>
        <w:t>础设施建设资金和宣传推介资金</w:t>
      </w:r>
      <w:r>
        <w:t>500多万元，促进</w:t>
      </w:r>
      <w:r>
        <w:rPr>
          <w:rFonts w:hint="eastAsia"/>
        </w:rPr>
        <w:t>以旅游业为龙头的第三产业发展，推动生态文明建设。</w:t>
      </w:r>
    </w:p>
    <w:p w14:paraId="11BC251B">
      <w:pPr>
        <w:rPr>
          <w:rFonts w:hint="eastAsia"/>
          <w:lang w:eastAsia="zh-CN"/>
        </w:rPr>
      </w:pPr>
      <w:r>
        <w:rPr>
          <w:rFonts w:hint="eastAsia"/>
        </w:rPr>
        <w:t>八是支持新型城镇化建设，建设宜居宜业粤北城市。重点支持新雄州公园、新图书馆、中医院住院综合大楼等利民工程建设；投入资金</w:t>
      </w:r>
      <w:r>
        <w:t>3000万元，</w:t>
      </w:r>
      <w:r>
        <w:rPr>
          <w:rFonts w:hint="eastAsia"/>
        </w:rPr>
        <w:t>加快污水处理厂、城市污水排污管网、生活垃圾等基础设施建设；投入资金</w:t>
      </w:r>
      <w:r>
        <w:t>500万元，以城区和珠</w:t>
      </w:r>
      <w:r>
        <w:rPr>
          <w:rFonts w:hint="eastAsia"/>
        </w:rPr>
        <w:t>玑、乌迳、黄坑等中心镇为重点，做好空心村改造和新农村建设</w:t>
      </w:r>
      <w:r>
        <w:rPr>
          <w:rFonts w:hint="eastAsia"/>
          <w:lang w:eastAsia="zh-CN"/>
        </w:rPr>
        <w:t>。</w:t>
      </w:r>
    </w:p>
    <w:p w14:paraId="55BA4A13">
      <w:pPr>
        <w:pStyle w:val="4"/>
        <w:bidi w:val="0"/>
        <w:rPr>
          <w:rFonts w:hint="eastAsia"/>
        </w:rPr>
      </w:pPr>
      <w:r>
        <w:rPr>
          <w:rFonts w:hint="eastAsia"/>
        </w:rPr>
        <w:t>【绩效财政新推进】</w:t>
      </w:r>
    </w:p>
    <w:p w14:paraId="77CF2CF9">
      <w:pPr>
        <w:rPr>
          <w:rFonts w:hint="eastAsia"/>
        </w:rPr>
      </w:pPr>
      <w:r>
        <w:rPr>
          <w:rFonts w:hint="eastAsia"/>
        </w:rPr>
        <w:t>一是进一步深化部门预算改革，硬化刚化预算执行，严格执行市人大《关于加强预算审</w:t>
      </w:r>
      <w:r>
        <w:rPr>
          <w:rFonts w:hint="eastAsia"/>
          <w:lang w:eastAsia="zh-CN"/>
        </w:rPr>
        <w:t>查</w:t>
      </w:r>
      <w:r>
        <w:rPr>
          <w:rFonts w:hint="eastAsia"/>
        </w:rPr>
        <w:t>监督的决定》，加强预算审</w:t>
      </w:r>
      <w:r>
        <w:rPr>
          <w:rFonts w:hint="eastAsia"/>
          <w:lang w:eastAsia="zh-CN"/>
        </w:rPr>
        <w:t>查</w:t>
      </w:r>
      <w:r>
        <w:rPr>
          <w:rFonts w:hint="eastAsia"/>
        </w:rPr>
        <w:t>，规范预算追加程序。</w:t>
      </w:r>
    </w:p>
    <w:p w14:paraId="6DE0009A">
      <w:pPr>
        <w:rPr>
          <w:rFonts w:hint="eastAsia"/>
          <w:lang w:eastAsia="zh-CN"/>
        </w:rPr>
      </w:pPr>
      <w:r>
        <w:rPr>
          <w:rFonts w:hint="eastAsia"/>
        </w:rPr>
        <w:t>二是继续深化国库集中支付改革，扩大直接支付，减少授权支付。</w:t>
      </w:r>
      <w:r>
        <w:t>2013年，全市国库集中支付资</w:t>
      </w:r>
      <w:r>
        <w:rPr>
          <w:rFonts w:hint="eastAsia"/>
        </w:rPr>
        <w:t>金为</w:t>
      </w:r>
      <w:r>
        <w:t>202668万元，直接支付170936万元，授权支</w:t>
      </w:r>
      <w:r>
        <w:rPr>
          <w:rFonts w:hint="eastAsia"/>
        </w:rPr>
        <w:t>付</w:t>
      </w:r>
      <w:r>
        <w:t>31732万元，直接支付率达84.3%</w:t>
      </w:r>
      <w:r>
        <w:rPr>
          <w:rFonts w:hint="eastAsia"/>
          <w:lang w:eastAsia="zh-CN"/>
        </w:rPr>
        <w:t>。</w:t>
      </w:r>
    </w:p>
    <w:p w14:paraId="56B81AF0">
      <w:pPr>
        <w:rPr>
          <w:rFonts w:hint="eastAsia"/>
          <w:lang w:eastAsia="zh-CN"/>
        </w:rPr>
      </w:pPr>
      <w:r>
        <w:rPr>
          <w:rFonts w:hint="eastAsia"/>
        </w:rPr>
        <w:t>三是建立政府采购人才库，实行采购人选派采购员制度，做到公开透明阳光采购。</w:t>
      </w:r>
      <w:r>
        <w:t>2013年，完成</w:t>
      </w:r>
      <w:r>
        <w:rPr>
          <w:rFonts w:hint="eastAsia"/>
        </w:rPr>
        <w:t>政府采购</w:t>
      </w:r>
      <w:r>
        <w:t>520宗，采购预算42580万元，实际采购</w:t>
      </w:r>
      <w:r>
        <w:rPr>
          <w:rFonts w:hint="eastAsia"/>
        </w:rPr>
        <w:t>金额</w:t>
      </w:r>
      <w:r>
        <w:t>37340万元，节约资金5240万元，节约率</w:t>
      </w:r>
      <w:r>
        <w:rPr>
          <w:rFonts w:hint="eastAsia"/>
        </w:rPr>
        <w:t>为</w:t>
      </w:r>
      <w:r>
        <w:t>12.3%</w:t>
      </w:r>
      <w:r>
        <w:rPr>
          <w:rFonts w:hint="eastAsia"/>
          <w:lang w:eastAsia="zh-CN"/>
        </w:rPr>
        <w:t>。</w:t>
      </w:r>
    </w:p>
    <w:p w14:paraId="4EE60D41">
      <w:pPr>
        <w:rPr>
          <w:rFonts w:hint="eastAsia"/>
        </w:rPr>
      </w:pPr>
      <w:r>
        <w:rPr>
          <w:rFonts w:hint="eastAsia"/>
        </w:rPr>
        <w:t>四是成立市投资评审领导小组，规范投资评审行为，提高评审效率。</w:t>
      </w:r>
      <w:r>
        <w:t>2013年，完成预结算评审项</w:t>
      </w:r>
      <w:r>
        <w:rPr>
          <w:rFonts w:hint="eastAsia"/>
        </w:rPr>
        <w:t>目</w:t>
      </w:r>
      <w:r>
        <w:t>438个，送审金额7.7亿元，核减金额1.14亿</w:t>
      </w:r>
      <w:r>
        <w:rPr>
          <w:rFonts w:hint="eastAsia"/>
        </w:rPr>
        <w:t>元，核减率达</w:t>
      </w:r>
      <w:r>
        <w:t>14.8%。</w:t>
      </w:r>
      <w:r>
        <w:rPr>
          <w:rFonts w:hint="eastAsia"/>
        </w:rPr>
        <w:t>五是实施行政事业单位资产管理信息系统使用，搭建财政部门</w:t>
      </w:r>
      <w:r>
        <w:t>-主管部门-行政事业单位管理</w:t>
      </w:r>
      <w:r>
        <w:rPr>
          <w:rFonts w:hint="eastAsia"/>
        </w:rPr>
        <w:t>架构，实行行政事业单位资产动态化、精细化管理。</w:t>
      </w:r>
    </w:p>
    <w:p w14:paraId="47FA477B">
      <w:pPr>
        <w:pStyle w:val="4"/>
        <w:bidi w:val="0"/>
        <w:rPr>
          <w:rFonts w:hint="eastAsia"/>
        </w:rPr>
      </w:pPr>
      <w:r>
        <w:rPr>
          <w:rFonts w:hint="eastAsia"/>
          <w:lang w:eastAsia="zh-CN"/>
        </w:rPr>
        <w:t>【</w:t>
      </w:r>
      <w:r>
        <w:rPr>
          <w:rFonts w:hint="eastAsia"/>
        </w:rPr>
        <w:t>财政监管新拓展】</w:t>
      </w:r>
    </w:p>
    <w:p w14:paraId="23BBE716">
      <w:pPr>
        <w:rPr>
          <w:rFonts w:hint="eastAsia"/>
        </w:rPr>
      </w:pPr>
      <w:r>
        <w:rPr>
          <w:rFonts w:hint="eastAsia"/>
        </w:rPr>
        <w:t>是开展强农惠农专项资金自</w:t>
      </w:r>
      <w:r>
        <w:rPr>
          <w:rFonts w:hint="eastAsia"/>
          <w:lang w:eastAsia="zh-CN"/>
        </w:rPr>
        <w:t>查</w:t>
      </w:r>
      <w:r>
        <w:rPr>
          <w:rFonts w:hint="eastAsia"/>
        </w:rPr>
        <w:t>自纠和重点检</w:t>
      </w:r>
      <w:r>
        <w:rPr>
          <w:rFonts w:hint="eastAsia"/>
          <w:lang w:eastAsia="zh-CN"/>
        </w:rPr>
        <w:t>查</w:t>
      </w:r>
      <w:r>
        <w:rPr>
          <w:rFonts w:hint="eastAsia"/>
        </w:rPr>
        <w:t>。</w:t>
      </w:r>
      <w:r>
        <w:t>4月份，对种粮补贴、农机</w:t>
      </w:r>
      <w:r>
        <w:rPr>
          <w:rFonts w:hint="eastAsia"/>
        </w:rPr>
        <w:t>购置补贴等惠农政策落实情况等强农惠农专项资金进行检</w:t>
      </w:r>
      <w:r>
        <w:rPr>
          <w:rFonts w:hint="eastAsia"/>
          <w:lang w:eastAsia="zh-CN"/>
        </w:rPr>
        <w:t>查</w:t>
      </w:r>
      <w:r>
        <w:rPr>
          <w:rFonts w:hint="eastAsia"/>
        </w:rPr>
        <w:t>，落实好强农惠农政策。</w:t>
      </w:r>
    </w:p>
    <w:p w14:paraId="6181B058">
      <w:pPr>
        <w:rPr>
          <w:rFonts w:hint="eastAsia"/>
        </w:rPr>
      </w:pPr>
      <w:r>
        <w:rPr>
          <w:rFonts w:hint="eastAsia"/>
          <w:lang w:eastAsia="zh-CN"/>
        </w:rPr>
        <w:t>二</w:t>
      </w:r>
      <w:r>
        <w:rPr>
          <w:rFonts w:hint="eastAsia"/>
        </w:rPr>
        <w:t>是开展村账镇代记检</w:t>
      </w:r>
      <w:r>
        <w:rPr>
          <w:rFonts w:hint="eastAsia"/>
          <w:lang w:eastAsia="zh-CN"/>
        </w:rPr>
        <w:t>查</w:t>
      </w:r>
      <w:r>
        <w:rPr>
          <w:rFonts w:hint="eastAsia"/>
        </w:rPr>
        <w:t>工作，规范村账管理。</w:t>
      </w:r>
      <w:r>
        <w:t>6月份，会同纪检、监察、农业等部门，深入18个乡镇，开展村账镇代记检</w:t>
      </w:r>
      <w:r>
        <w:rPr>
          <w:rFonts w:hint="eastAsia"/>
          <w:lang w:eastAsia="zh-CN"/>
        </w:rPr>
        <w:t>查</w:t>
      </w:r>
      <w:r>
        <w:t>工作，对村级账务</w:t>
      </w:r>
      <w:r>
        <w:rPr>
          <w:rFonts w:hint="eastAsia"/>
        </w:rPr>
        <w:t>公开情况、规范情况、强农惠民资金落实情况等进行检</w:t>
      </w:r>
      <w:r>
        <w:rPr>
          <w:rFonts w:hint="eastAsia"/>
          <w:lang w:eastAsia="zh-CN"/>
        </w:rPr>
        <w:t>查</w:t>
      </w:r>
      <w:r>
        <w:rPr>
          <w:rFonts w:hint="eastAsia"/>
        </w:rPr>
        <w:t>。</w:t>
      </w:r>
    </w:p>
    <w:p w14:paraId="320C89FC">
      <w:pPr>
        <w:rPr>
          <w:rFonts w:hint="eastAsia"/>
          <w:lang w:eastAsia="zh-CN"/>
        </w:rPr>
      </w:pPr>
      <w:r>
        <w:rPr>
          <w:rFonts w:hint="eastAsia"/>
        </w:rPr>
        <w:t>三是开展会计信息质量检</w:t>
      </w:r>
      <w:r>
        <w:rPr>
          <w:rFonts w:hint="eastAsia"/>
          <w:lang w:eastAsia="zh-CN"/>
        </w:rPr>
        <w:t>查</w:t>
      </w:r>
      <w:r>
        <w:rPr>
          <w:rFonts w:hint="eastAsia"/>
        </w:rPr>
        <w:t>，确保会计信息的真实性和可靠性。从</w:t>
      </w:r>
      <w:r>
        <w:t>6月份起，对会计信息质量以</w:t>
      </w:r>
      <w:r>
        <w:rPr>
          <w:rFonts w:hint="eastAsia"/>
        </w:rPr>
        <w:t>及“小金库”开展全面自</w:t>
      </w:r>
      <w:r>
        <w:rPr>
          <w:rFonts w:hint="eastAsia"/>
          <w:lang w:eastAsia="zh-CN"/>
        </w:rPr>
        <w:t>查</w:t>
      </w:r>
      <w:r>
        <w:rPr>
          <w:rFonts w:hint="eastAsia"/>
        </w:rPr>
        <w:t>工作。</w:t>
      </w:r>
      <w:r>
        <w:t>9月份，对职</w:t>
      </w:r>
      <w:r>
        <w:rPr>
          <w:rFonts w:hint="eastAsia"/>
        </w:rPr>
        <w:t>中、黄坑中学、江头中学、全安中心小学等</w:t>
      </w:r>
      <w:r>
        <w:t>4间学</w:t>
      </w:r>
      <w:r>
        <w:rPr>
          <w:rFonts w:hint="eastAsia"/>
        </w:rPr>
        <w:t>校进行义务教育、困难学生补贴等涉及群众利益的专项资金重点检</w:t>
      </w:r>
      <w:r>
        <w:rPr>
          <w:rFonts w:hint="eastAsia"/>
          <w:lang w:eastAsia="zh-CN"/>
        </w:rPr>
        <w:t>查</w:t>
      </w:r>
      <w:r>
        <w:rPr>
          <w:rFonts w:hint="eastAsia"/>
        </w:rPr>
        <w:t>，对档案局进行会计信息质量检</w:t>
      </w:r>
      <w:r>
        <w:rPr>
          <w:rFonts w:hint="eastAsia"/>
          <w:lang w:eastAsia="zh-CN"/>
        </w:rPr>
        <w:t>查。</w:t>
      </w:r>
    </w:p>
    <w:p w14:paraId="59C79872">
      <w:pPr>
        <w:rPr>
          <w:rFonts w:hint="eastAsia"/>
        </w:rPr>
      </w:pPr>
      <w:r>
        <w:rPr>
          <w:rFonts w:hint="eastAsia"/>
        </w:rPr>
        <w:t>四是会同粮食、物价部门，对湖口、大塘、全安等粮所本级储备粮分库点和古市粮所本级食用植物油储备点进行全面核实检</w:t>
      </w:r>
      <w:r>
        <w:rPr>
          <w:rFonts w:hint="eastAsia"/>
          <w:lang w:eastAsia="zh-CN"/>
        </w:rPr>
        <w:t>查</w:t>
      </w:r>
      <w:r>
        <w:rPr>
          <w:rFonts w:hint="eastAsia"/>
        </w:rPr>
        <w:t>。</w:t>
      </w:r>
    </w:p>
    <w:p w14:paraId="17E381DE">
      <w:pPr>
        <w:rPr>
          <w:rFonts w:hint="eastAsia"/>
        </w:rPr>
      </w:pPr>
      <w:r>
        <w:rPr>
          <w:rFonts w:hint="eastAsia"/>
        </w:rPr>
        <w:t>五是开展警示教育，加强财政资金监管。</w:t>
      </w:r>
      <w:r>
        <w:t>7月</w:t>
      </w:r>
      <w:r>
        <w:rPr>
          <w:rFonts w:hint="eastAsia"/>
        </w:rPr>
        <w:t>份，组织召开财政所长所长、各镇管财领导等有关人员参加的警示教育会议，对各乡镇财务开展为期</w:t>
      </w:r>
      <w:r>
        <w:t>15天的自</w:t>
      </w:r>
      <w:r>
        <w:rPr>
          <w:rFonts w:hint="eastAsia"/>
          <w:lang w:eastAsia="zh-CN"/>
        </w:rPr>
        <w:t>查</w:t>
      </w:r>
      <w:r>
        <w:t>活动，并由纪检监察组织人员对12个</w:t>
      </w:r>
      <w:r>
        <w:rPr>
          <w:rFonts w:hint="eastAsia"/>
        </w:rPr>
        <w:t>财政所进行抽</w:t>
      </w:r>
      <w:r>
        <w:rPr>
          <w:rFonts w:hint="eastAsia"/>
          <w:lang w:eastAsia="zh-CN"/>
        </w:rPr>
        <w:t>查</w:t>
      </w:r>
      <w:r>
        <w:rPr>
          <w:rFonts w:hint="eastAsia"/>
        </w:rPr>
        <w:t>，加强财政资金监管，做到防患于未然，确保资金、干部“双安全”。</w:t>
      </w:r>
    </w:p>
    <w:p w14:paraId="7A38EA12">
      <w:pPr>
        <w:rPr>
          <w:rFonts w:hint="eastAsia"/>
        </w:rPr>
      </w:pPr>
      <w:r>
        <w:rPr>
          <w:rFonts w:hint="eastAsia"/>
        </w:rPr>
        <w:t>六是做好中央省强农惠民专项资金检</w:t>
      </w:r>
      <w:r>
        <w:rPr>
          <w:rFonts w:hint="eastAsia"/>
          <w:lang w:eastAsia="zh-CN"/>
        </w:rPr>
        <w:t>查</w:t>
      </w:r>
      <w:r>
        <w:rPr>
          <w:rFonts w:hint="eastAsia"/>
        </w:rPr>
        <w:t>工作，保障资金的安全、有效。</w:t>
      </w:r>
      <w:r>
        <w:t>10月份，从业务股室着</w:t>
      </w:r>
      <w:r>
        <w:rPr>
          <w:rFonts w:hint="eastAsia"/>
        </w:rPr>
        <w:t>手，延伸至各业务主管部门以及各镇财政所，认真开展中央省强农惠民专项资金检</w:t>
      </w:r>
      <w:r>
        <w:rPr>
          <w:rFonts w:hint="eastAsia"/>
          <w:lang w:eastAsia="zh-CN"/>
        </w:rPr>
        <w:t>查</w:t>
      </w:r>
      <w:r>
        <w:rPr>
          <w:rFonts w:hint="eastAsia"/>
        </w:rPr>
        <w:t>工作，对社会保障、义务教育、医疗卫生、农田水利、交通道路等涉及群众利益的专项资金进行重点检</w:t>
      </w:r>
      <w:r>
        <w:rPr>
          <w:rFonts w:hint="eastAsia"/>
          <w:lang w:eastAsia="zh-CN"/>
        </w:rPr>
        <w:t>查</w:t>
      </w:r>
      <w:r>
        <w:rPr>
          <w:rFonts w:hint="eastAsia"/>
        </w:rPr>
        <w:t>。</w:t>
      </w:r>
    </w:p>
    <w:p w14:paraId="0F58882D">
      <w:pPr>
        <w:pStyle w:val="4"/>
        <w:bidi w:val="0"/>
        <w:rPr>
          <w:rFonts w:hint="eastAsia"/>
        </w:rPr>
      </w:pPr>
      <w:r>
        <w:rPr>
          <w:rFonts w:hint="eastAsia"/>
        </w:rPr>
        <w:t>【队伍建设新提升】</w:t>
      </w:r>
    </w:p>
    <w:p w14:paraId="745F6F75">
      <w:pPr>
        <w:rPr>
          <w:rFonts w:hint="eastAsia"/>
        </w:rPr>
      </w:pPr>
      <w:r>
        <w:rPr>
          <w:rFonts w:hint="eastAsia"/>
        </w:rPr>
        <w:t>一是深入开展“面向基层、整顿作风、服务群众”和民主评议政风行风活动，整顿工作作风和工作纪律，强化组织纪律，提高办事效率、服务质量和执行力，打造“服务型”财政。</w:t>
      </w:r>
    </w:p>
    <w:p w14:paraId="3DBABBFA">
      <w:pPr>
        <w:rPr>
          <w:rFonts w:hint="eastAsia"/>
        </w:rPr>
      </w:pPr>
      <w:r>
        <w:rPr>
          <w:rFonts w:hint="eastAsia"/>
        </w:rPr>
        <w:t>二是执行中央八项规定和“六条禁令”</w:t>
      </w:r>
      <w:r>
        <w:rPr>
          <w:rFonts w:hint="eastAsia"/>
          <w:lang w:eastAsia="zh-CN"/>
        </w:rPr>
        <w:t>，</w:t>
      </w:r>
      <w:r>
        <w:rPr>
          <w:rFonts w:hint="eastAsia"/>
        </w:rPr>
        <w:t>坚决反对“四风”，严控“三公”经费支出，坚决杜绝吃拿卡要等违规违纪行为，主动接受群众监督，做到公开透明，勤俭节约办事业。</w:t>
      </w:r>
    </w:p>
    <w:p w14:paraId="03477F20">
      <w:r>
        <w:rPr>
          <w:rFonts w:hint="eastAsia"/>
        </w:rPr>
        <w:t>三是加强业务学习和培训，提高业务素质，着力打造“学习型”财政。</w:t>
      </w:r>
      <w:r>
        <w:t>5月份，通过自主选学的</w:t>
      </w:r>
      <w:r>
        <w:rPr>
          <w:rFonts w:hint="eastAsia"/>
        </w:rPr>
        <w:t>方式，邀请市党校老师给干部职工授课，重点学习党的十八大精神和城镇化建设有关精神，组织参加各项培训</w:t>
      </w:r>
      <w:r>
        <w:rPr>
          <w:rFonts w:hint="eastAsia"/>
          <w:lang w:eastAsia="zh-CN"/>
        </w:rPr>
        <w:t>11</w:t>
      </w:r>
      <w:r>
        <w:t>258人次。</w:t>
      </w:r>
    </w:p>
    <w:p w14:paraId="38A0A213">
      <w:pPr>
        <w:rPr>
          <w:rFonts w:hint="eastAsia"/>
        </w:rPr>
      </w:pPr>
      <w:r>
        <w:rPr>
          <w:rFonts w:hint="eastAsia"/>
        </w:rPr>
        <w:t>四是加强党风廉政建设和反腐败工作，着力打造“廉洁型”财政。</w:t>
      </w:r>
      <w:r>
        <w:t>4月份，组织干部职工到检察</w:t>
      </w:r>
      <w:r>
        <w:rPr>
          <w:rFonts w:hint="eastAsia"/>
        </w:rPr>
        <w:t>院接受廉政从政警示教育，增强财政干部职工预防职务犯罪的意识。组织公务员参加《为民务实清廉》专题培训和“严纪律、正作风、促廉洁”党课活动，加强党风廉政建设，打造廉洁奉公，勤政为民“廉洁型”财政队伍。</w:t>
      </w:r>
    </w:p>
    <w:p w14:paraId="2DCB04CA">
      <w:pPr>
        <w:jc w:val="right"/>
        <w:rPr>
          <w:rFonts w:hint="eastAsia"/>
          <w:b/>
          <w:bCs/>
        </w:rPr>
      </w:pPr>
      <w:r>
        <w:rPr>
          <w:rFonts w:hint="eastAsia"/>
          <w:b/>
          <w:bCs/>
        </w:rPr>
        <w:t>（邓志翔）</w:t>
      </w:r>
    </w:p>
    <w:p w14:paraId="0F01C3AA">
      <w:pPr>
        <w:pStyle w:val="10"/>
        <w:bidi w:val="0"/>
        <w:rPr>
          <w:b/>
          <w:bCs/>
        </w:rPr>
      </w:pPr>
      <w:r>
        <w:rPr>
          <w:rFonts w:hint="eastAsia"/>
          <w:b/>
          <w:bCs/>
        </w:rPr>
        <w:t>附：</w:t>
      </w:r>
      <w:r>
        <w:rPr>
          <w:b/>
          <w:bCs/>
        </w:rPr>
        <w:t>2013年市财政局领导班子成员名单</w:t>
      </w:r>
    </w:p>
    <w:p w14:paraId="5966B044">
      <w:pPr>
        <w:pStyle w:val="10"/>
        <w:bidi w:val="0"/>
      </w:pPr>
      <w:r>
        <w:rPr>
          <w:rFonts w:hint="eastAsia"/>
          <w:b/>
          <w:bCs/>
        </w:rPr>
        <w:t>局</w:t>
      </w:r>
      <w:r>
        <w:rPr>
          <w:rFonts w:hint="eastAsia"/>
          <w:b/>
          <w:bCs/>
          <w:lang w:val="en-US" w:eastAsia="zh-CN"/>
        </w:rPr>
        <w:t xml:space="preserve">    </w:t>
      </w:r>
      <w:r>
        <w:rPr>
          <w:rFonts w:hint="eastAsia"/>
          <w:b/>
          <w:bCs/>
        </w:rPr>
        <w:t>长：</w:t>
      </w:r>
      <w:r>
        <w:rPr>
          <w:rFonts w:hint="eastAsia"/>
        </w:rPr>
        <w:t>袁元桃（任至</w:t>
      </w:r>
      <w:r>
        <w:t>8月）</w:t>
      </w:r>
      <w:r>
        <w:rPr>
          <w:rFonts w:hint="eastAsia"/>
          <w:lang w:val="en-US" w:eastAsia="zh-CN"/>
        </w:rPr>
        <w:t xml:space="preserve">   </w:t>
      </w:r>
      <w:r>
        <w:t>李传忠（9月任）</w:t>
      </w:r>
    </w:p>
    <w:p w14:paraId="6B9ADBA3">
      <w:pPr>
        <w:pStyle w:val="10"/>
        <w:bidi w:val="0"/>
      </w:pPr>
      <w:r>
        <w:rPr>
          <w:rFonts w:hint="eastAsia"/>
          <w:b/>
          <w:bCs/>
        </w:rPr>
        <w:t>党组书记：</w:t>
      </w:r>
      <w:r>
        <w:rPr>
          <w:rFonts w:hint="eastAsia"/>
        </w:rPr>
        <w:t>张海林（任至</w:t>
      </w:r>
      <w:r>
        <w:t>6月）</w:t>
      </w:r>
      <w:r>
        <w:rPr>
          <w:rFonts w:hint="eastAsia"/>
          <w:lang w:val="en-US" w:eastAsia="zh-CN"/>
        </w:rPr>
        <w:t xml:space="preserve">   </w:t>
      </w:r>
      <w:r>
        <w:rPr>
          <w:rFonts w:hint="eastAsia"/>
        </w:rPr>
        <w:t>李传忠（</w:t>
      </w:r>
      <w:r>
        <w:t>9月任）</w:t>
      </w:r>
    </w:p>
    <w:p w14:paraId="1783D795">
      <w:pPr>
        <w:pStyle w:val="10"/>
        <w:bidi w:val="0"/>
        <w:rPr>
          <w:rFonts w:hint="eastAsia"/>
        </w:rPr>
      </w:pPr>
      <w:r>
        <w:rPr>
          <w:rFonts w:hint="eastAsia"/>
          <w:b/>
          <w:bCs/>
        </w:rPr>
        <w:t>经贸中心纪检监察组长、财政局纪检组长：</w:t>
      </w:r>
      <w:r>
        <w:rPr>
          <w:rFonts w:hint="eastAsia"/>
        </w:rPr>
        <w:t>曾冠华</w:t>
      </w:r>
    </w:p>
    <w:p w14:paraId="6AA0A50D">
      <w:pPr>
        <w:pStyle w:val="10"/>
        <w:bidi w:val="0"/>
        <w:rPr>
          <w:rFonts w:hint="eastAsia"/>
        </w:rPr>
      </w:pPr>
      <w:r>
        <w:rPr>
          <w:rFonts w:hint="eastAsia"/>
          <w:b/>
          <w:bCs/>
        </w:rPr>
        <w:t>副</w:t>
      </w:r>
      <w:r>
        <w:rPr>
          <w:rFonts w:hint="eastAsia"/>
          <w:b/>
          <w:bCs/>
          <w:lang w:val="en-US" w:eastAsia="zh-CN"/>
        </w:rPr>
        <w:t xml:space="preserve"> </w:t>
      </w:r>
      <w:r>
        <w:rPr>
          <w:rFonts w:hint="eastAsia"/>
          <w:b/>
          <w:bCs/>
        </w:rPr>
        <w:t>局</w:t>
      </w:r>
      <w:r>
        <w:rPr>
          <w:rFonts w:hint="eastAsia"/>
          <w:b/>
          <w:bCs/>
          <w:lang w:val="en-US" w:eastAsia="zh-CN"/>
        </w:rPr>
        <w:t xml:space="preserve"> </w:t>
      </w:r>
      <w:r>
        <w:rPr>
          <w:rFonts w:hint="eastAsia"/>
          <w:b/>
          <w:bCs/>
        </w:rPr>
        <w:t>长：</w:t>
      </w:r>
      <w:r>
        <w:rPr>
          <w:rFonts w:hint="eastAsia"/>
        </w:rPr>
        <w:t>邱隆全</w:t>
      </w:r>
      <w:r>
        <w:rPr>
          <w:rFonts w:hint="eastAsia"/>
          <w:lang w:val="en-US" w:eastAsia="zh-CN"/>
        </w:rPr>
        <w:t xml:space="preserve">   </w:t>
      </w:r>
      <w:r>
        <w:rPr>
          <w:rFonts w:hint="eastAsia"/>
        </w:rPr>
        <w:t>杨建雄</w:t>
      </w:r>
      <w:r>
        <w:rPr>
          <w:rFonts w:hint="eastAsia"/>
          <w:lang w:val="en-US" w:eastAsia="zh-CN"/>
        </w:rPr>
        <w:t xml:space="preserve">   </w:t>
      </w:r>
      <w:r>
        <w:rPr>
          <w:rFonts w:hint="eastAsia"/>
        </w:rPr>
        <w:t>马新路</w:t>
      </w:r>
    </w:p>
    <w:p w14:paraId="4B746A22">
      <w:pPr>
        <w:pStyle w:val="10"/>
        <w:bidi w:val="0"/>
      </w:pPr>
      <w:r>
        <w:rPr>
          <w:rFonts w:hint="eastAsia"/>
          <w:b/>
          <w:bCs/>
        </w:rPr>
        <w:t>工会主席：</w:t>
      </w:r>
      <w:r>
        <w:rPr>
          <w:rFonts w:hint="eastAsia"/>
        </w:rPr>
        <w:t>王功林（任至</w:t>
      </w:r>
      <w:r>
        <w:t>6月）</w:t>
      </w:r>
    </w:p>
    <w:p w14:paraId="49BA70B8">
      <w:pPr>
        <w:pStyle w:val="10"/>
        <w:bidi w:val="0"/>
        <w:rPr>
          <w:rFonts w:hint="eastAsia"/>
        </w:rPr>
      </w:pPr>
      <w:r>
        <w:rPr>
          <w:rFonts w:hint="eastAsia"/>
          <w:b/>
          <w:bCs/>
        </w:rPr>
        <w:t>总会计师：</w:t>
      </w:r>
      <w:r>
        <w:rPr>
          <w:rFonts w:hint="eastAsia"/>
        </w:rPr>
        <w:t>张成林</w:t>
      </w:r>
    </w:p>
    <w:p w14:paraId="4D2B2424">
      <w:pPr>
        <w:pStyle w:val="10"/>
        <w:bidi w:val="0"/>
        <w:rPr>
          <w:rFonts w:hint="eastAsia"/>
        </w:rPr>
      </w:pPr>
      <w:r>
        <w:rPr>
          <w:rFonts w:hint="eastAsia"/>
          <w:b/>
          <w:bCs/>
        </w:rPr>
        <w:t>经贸中心纪检监察副组长：</w:t>
      </w:r>
      <w:r>
        <w:rPr>
          <w:rFonts w:hint="eastAsia"/>
        </w:rPr>
        <w:t>刘宗煌</w:t>
      </w:r>
    </w:p>
    <w:p w14:paraId="2358CC5C">
      <w:pPr>
        <w:pStyle w:val="3"/>
        <w:bidi w:val="0"/>
        <w:rPr>
          <w:rFonts w:hint="default"/>
          <w:lang w:val="en-US" w:eastAsia="zh-CN"/>
        </w:rPr>
      </w:pPr>
      <w:r>
        <w:rPr>
          <w:rFonts w:hint="eastAsia"/>
          <w:lang w:val="en-US" w:eastAsia="zh-CN"/>
        </w:rPr>
        <w:t>国家税务</w:t>
      </w:r>
    </w:p>
    <w:p w14:paraId="273AFC17">
      <w:pPr>
        <w:pStyle w:val="4"/>
        <w:bidi w:val="0"/>
        <w:rPr>
          <w:rFonts w:hint="eastAsia"/>
        </w:rPr>
      </w:pPr>
      <w:r>
        <w:rPr>
          <w:rFonts w:hint="eastAsia"/>
        </w:rPr>
        <w:t>【概况】</w:t>
      </w:r>
    </w:p>
    <w:p w14:paraId="5D0C5E3B">
      <w:r>
        <w:rPr>
          <w:rFonts w:hint="eastAsia"/>
        </w:rPr>
        <w:t>南雄市国家税务局成立于</w:t>
      </w:r>
      <w:r>
        <w:t>1994年，是南</w:t>
      </w:r>
      <w:r>
        <w:rPr>
          <w:rFonts w:hint="eastAsia"/>
        </w:rPr>
        <w:t>雄市主管国家税收工作的职能部门，为正科级全职能局，系驻南雄市垂直管理单位。下设</w:t>
      </w:r>
      <w:r>
        <w:t>9个职能部</w:t>
      </w:r>
      <w:r>
        <w:rPr>
          <w:rFonts w:hint="eastAsia"/>
        </w:rPr>
        <w:t>门：办公室、人事教育科、监察室、征收管理科</w:t>
      </w:r>
      <w:r>
        <w:rPr>
          <w:rFonts w:hint="eastAsia"/>
          <w:lang w:eastAsia="zh-CN"/>
        </w:rPr>
        <w:t>、</w:t>
      </w:r>
      <w:r>
        <w:rPr>
          <w:rFonts w:hint="eastAsia"/>
        </w:rPr>
        <w:t>政策法规科、收入核算科、纳税服务科、税源管理</w:t>
      </w:r>
      <w:r>
        <w:rPr>
          <w:rFonts w:hint="eastAsia"/>
          <w:lang w:eastAsia="zh-CN"/>
        </w:rPr>
        <w:t>一</w:t>
      </w:r>
      <w:r>
        <w:rPr>
          <w:rFonts w:hint="eastAsia"/>
        </w:rPr>
        <w:t>科、税源管理二科；</w:t>
      </w:r>
      <w:r>
        <w:t>1个直属机构：稽</w:t>
      </w:r>
      <w:r>
        <w:rPr>
          <w:rFonts w:hint="eastAsia"/>
          <w:lang w:eastAsia="zh-CN"/>
        </w:rPr>
        <w:t>查</w:t>
      </w:r>
      <w:r>
        <w:t>局；3</w:t>
      </w:r>
      <w:r>
        <w:rPr>
          <w:rFonts w:hint="eastAsia"/>
        </w:rPr>
        <w:t>个派出机构：</w:t>
      </w:r>
      <w:r>
        <w:rPr>
          <w:rFonts w:hint="eastAsia"/>
          <w:lang w:eastAsia="zh-CN"/>
        </w:rPr>
        <w:t>全</w:t>
      </w:r>
      <w:r>
        <w:rPr>
          <w:rFonts w:hint="eastAsia"/>
        </w:rPr>
        <w:t>安税务分局、珠玑税务分局、黄坑税务分局；</w:t>
      </w:r>
      <w:r>
        <w:t>1个事业单位：信息中心。共有在职人</w:t>
      </w:r>
      <w:r>
        <w:rPr>
          <w:rFonts w:hint="eastAsia"/>
        </w:rPr>
        <w:t>员</w:t>
      </w:r>
      <w:r>
        <w:t>115人，离退休人员34人。其中：在职人员中，</w:t>
      </w:r>
      <w:r>
        <w:rPr>
          <w:rFonts w:hint="eastAsia"/>
        </w:rPr>
        <w:t>大专以上</w:t>
      </w:r>
      <w:r>
        <w:t>110人，占在职总人数的95.6%；党员人</w:t>
      </w:r>
      <w:r>
        <w:rPr>
          <w:rFonts w:hint="eastAsia"/>
        </w:rPr>
        <w:t>数</w:t>
      </w:r>
      <w:r>
        <w:t>92人，占在职总人数的80%，共青团员4人。</w:t>
      </w:r>
    </w:p>
    <w:p w14:paraId="3DA59D5E">
      <w:pPr>
        <w:rPr>
          <w:rFonts w:hint="eastAsia"/>
        </w:rPr>
      </w:pPr>
      <w:r>
        <w:t>2013年，南雄市国税局各项工作稳步发展，得</w:t>
      </w:r>
      <w:r>
        <w:rPr>
          <w:rFonts w:hint="eastAsia"/>
        </w:rPr>
        <w:t>到有关部门的一致肯定。南雄市局纳税服务厅的</w:t>
      </w:r>
      <w:r>
        <w:rPr>
          <w:rFonts w:hint="eastAsia"/>
          <w:lang w:val="en-US" w:eastAsia="zh-CN"/>
        </w:rPr>
        <w:t>一</w:t>
      </w:r>
      <w:r>
        <w:rPr>
          <w:rFonts w:hint="eastAsia"/>
        </w:rPr>
        <w:t>名同志被南雄市妇联评为“巾帼建功”先进个人；派驻在行政服务中心的国税窗口被服务中心评为了“优质服务窗口”；在韶关市局开展的信访、保密、公文、人事档案管理、票证管理、车辆购置税、综合办公系统推广应用等各项检</w:t>
      </w:r>
      <w:r>
        <w:rPr>
          <w:rFonts w:hint="eastAsia"/>
          <w:lang w:eastAsia="zh-CN"/>
        </w:rPr>
        <w:t>查</w:t>
      </w:r>
      <w:r>
        <w:rPr>
          <w:rFonts w:hint="eastAsia"/>
        </w:rPr>
        <w:t>工作中，均获得检</w:t>
      </w:r>
      <w:r>
        <w:rPr>
          <w:rFonts w:hint="eastAsia"/>
          <w:lang w:eastAsia="zh-CN"/>
        </w:rPr>
        <w:t>查</w:t>
      </w:r>
      <w:r>
        <w:rPr>
          <w:rFonts w:hint="eastAsia"/>
        </w:rPr>
        <w:t>组的好评。</w:t>
      </w:r>
    </w:p>
    <w:p w14:paraId="31C43D1A">
      <w:pPr>
        <w:pStyle w:val="4"/>
        <w:bidi w:val="0"/>
        <w:rPr>
          <w:rFonts w:hint="eastAsia"/>
        </w:rPr>
      </w:pPr>
      <w:r>
        <w:rPr>
          <w:rFonts w:hint="eastAsia"/>
        </w:rPr>
        <w:t>【税源情况】</w:t>
      </w:r>
    </w:p>
    <w:p w14:paraId="40059A95">
      <w:r>
        <w:rPr>
          <w:rFonts w:hint="eastAsia"/>
        </w:rPr>
        <w:t>南雄市国税局主要负责增值税、消费税、企业所得税、个人储蓄利息所得税、机动车辆购置税等税种的征收。南雄市整体税源结构单</w:t>
      </w:r>
      <w:r>
        <w:rPr>
          <w:rFonts w:hint="eastAsia"/>
          <w:lang w:val="en-US" w:eastAsia="zh-CN"/>
        </w:rPr>
        <w:t>一</w:t>
      </w:r>
      <w:r>
        <w:rPr>
          <w:rFonts w:hint="eastAsia"/>
        </w:rPr>
        <w:t>，税种以增值税为主，支柱企业少，除税收上千万元的烟草公司和电力工业局两家企业外，“两税”在</w:t>
      </w:r>
      <w:r>
        <w:t>100万元以上的企业仅13户。随着南雄招商</w:t>
      </w:r>
      <w:r>
        <w:rPr>
          <w:rFonts w:hint="eastAsia"/>
          <w:lang w:val="en-US" w:eastAsia="zh-CN"/>
        </w:rPr>
        <w:t>引</w:t>
      </w:r>
      <w:r>
        <w:rPr>
          <w:rFonts w:hint="eastAsia"/>
        </w:rPr>
        <w:t>资工作的不断深入，精细化工业园作为南雄市新兴的税源，税收收入在逐年递增，但就税收情况来看，主业园区税收占全局比重仍然较低。</w:t>
      </w:r>
      <w:r>
        <w:t>2013年园</w:t>
      </w:r>
      <w:r>
        <w:rPr>
          <w:rFonts w:hint="eastAsia"/>
        </w:rPr>
        <w:t>区发生经营行为的企业有</w:t>
      </w:r>
      <w:r>
        <w:t>61户，申报销售收入132255.85万元，其中：应税收入76736.16万元，</w:t>
      </w:r>
      <w:r>
        <w:rPr>
          <w:rFonts w:hint="eastAsia"/>
        </w:rPr>
        <w:t>免税收入</w:t>
      </w:r>
      <w:r>
        <w:t>55519.69万元，</w:t>
      </w:r>
      <w:r>
        <w:rPr>
          <w:rFonts w:hint="eastAsia"/>
          <w:lang w:val="en-US" w:eastAsia="zh-CN"/>
        </w:rPr>
        <w:t>入</w:t>
      </w:r>
      <w:r>
        <w:t>库税款1534.06万元，</w:t>
      </w:r>
      <w:r>
        <w:rPr>
          <w:rFonts w:hint="eastAsia"/>
        </w:rPr>
        <w:t>占南雄国税税收收入总额的</w:t>
      </w:r>
      <w:r>
        <w:t>7.67%，其中：</w:t>
      </w:r>
      <w:r>
        <w:rPr>
          <w:rFonts w:hint="eastAsia"/>
          <w:lang w:val="en-US" w:eastAsia="zh-CN"/>
        </w:rPr>
        <w:t>入</w:t>
      </w:r>
      <w:r>
        <w:t>库增</w:t>
      </w:r>
      <w:r>
        <w:rPr>
          <w:rFonts w:hint="eastAsia"/>
        </w:rPr>
        <w:t>值税</w:t>
      </w:r>
      <w:r>
        <w:t>1387.61万元，入库企业所得税146.45万元。</w:t>
      </w:r>
    </w:p>
    <w:p w14:paraId="7033B86D">
      <w:pPr>
        <w:pStyle w:val="4"/>
        <w:bidi w:val="0"/>
        <w:rPr>
          <w:rFonts w:hint="eastAsia"/>
        </w:rPr>
      </w:pPr>
      <w:r>
        <w:rPr>
          <w:rFonts w:hint="eastAsia"/>
        </w:rPr>
        <w:t>【税收收入】</w:t>
      </w:r>
    </w:p>
    <w:p w14:paraId="2DD134DB">
      <w:pPr>
        <w:rPr>
          <w:rFonts w:hint="eastAsia"/>
        </w:rPr>
      </w:pPr>
      <w:r>
        <w:t>2013年，南雄市国税局狠抓税收中</w:t>
      </w:r>
      <w:r>
        <w:rPr>
          <w:rFonts w:hint="eastAsia"/>
        </w:rPr>
        <w:t>心工作，在加强税收征管、强化纳税评估，提升稽</w:t>
      </w:r>
      <w:r>
        <w:rPr>
          <w:rFonts w:hint="eastAsia"/>
          <w:lang w:eastAsia="zh-CN"/>
        </w:rPr>
        <w:t>查</w:t>
      </w:r>
      <w:r>
        <w:rPr>
          <w:rFonts w:hint="eastAsia"/>
        </w:rPr>
        <w:t>效能等方面下功夫，圆满完成韶关市局和</w:t>
      </w:r>
      <w:r>
        <w:rPr>
          <w:rFonts w:hint="eastAsia"/>
          <w:lang w:eastAsia="zh-CN"/>
        </w:rPr>
        <w:t>市委市政府</w:t>
      </w:r>
      <w:r>
        <w:rPr>
          <w:rFonts w:hint="eastAsia"/>
        </w:rPr>
        <w:t>下达的税收收入任务，全年组织税收收入</w:t>
      </w:r>
      <w:r>
        <w:t>20001</w:t>
      </w:r>
      <w:r>
        <w:rPr>
          <w:rFonts w:hint="eastAsia"/>
        </w:rPr>
        <w:t>万元，同比增收</w:t>
      </w:r>
      <w:r>
        <w:t>3642万元，增长22.3%，完成全</w:t>
      </w:r>
      <w:r>
        <w:rPr>
          <w:rFonts w:hint="eastAsia"/>
        </w:rPr>
        <w:t>年市局调整后计划任务的</w:t>
      </w:r>
      <w:r>
        <w:t>104.18%；实现本级税收</w:t>
      </w:r>
      <w:r>
        <w:rPr>
          <w:rFonts w:hint="eastAsia"/>
          <w:lang w:eastAsia="zh-CN"/>
        </w:rPr>
        <w:t>收入</w:t>
      </w:r>
      <w:r>
        <w:t>4274万元，同比增收894万元，增长26.5%，</w:t>
      </w:r>
      <w:r>
        <w:rPr>
          <w:rFonts w:hint="eastAsia"/>
        </w:rPr>
        <w:t>完成当地政府任务的</w:t>
      </w:r>
      <w:r>
        <w:t>101.8%，税收收入首次突破2亿元大关，实现历史性突破。其中增值税收入15124万元，同比增收2320万元，增长18.1%；消</w:t>
      </w:r>
      <w:r>
        <w:rPr>
          <w:rFonts w:hint="eastAsia"/>
        </w:rPr>
        <w:t>费税收入</w:t>
      </w:r>
      <w:r>
        <w:t>1573万元，同比增收39万元，增长2.5%；企业所得税1898万元，同比增收1050万</w:t>
      </w:r>
      <w:r>
        <w:rPr>
          <w:rFonts w:hint="eastAsia"/>
        </w:rPr>
        <w:t>元，增长</w:t>
      </w:r>
      <w:r>
        <w:t>123.7%；车辆购置税1402万元，同比增</w:t>
      </w:r>
      <w:r>
        <w:rPr>
          <w:rFonts w:hint="eastAsia"/>
        </w:rPr>
        <w:t>收</w:t>
      </w:r>
      <w:r>
        <w:t>241万元，增长20.7%。税收收入实现历史性</w:t>
      </w:r>
      <w:r>
        <w:rPr>
          <w:rFonts w:hint="eastAsia"/>
        </w:rPr>
        <w:t>突破。</w:t>
      </w:r>
    </w:p>
    <w:p w14:paraId="69B002B7">
      <w:pPr>
        <w:pStyle w:val="4"/>
        <w:bidi w:val="0"/>
        <w:rPr>
          <w:rFonts w:hint="eastAsia"/>
        </w:rPr>
      </w:pPr>
      <w:r>
        <w:rPr>
          <w:rFonts w:hint="eastAsia"/>
        </w:rPr>
        <w:t>【征管工作】</w:t>
      </w:r>
    </w:p>
    <w:p w14:paraId="3D7DF3ED">
      <w:pPr>
        <w:rPr>
          <w:rFonts w:hint="eastAsia"/>
        </w:rPr>
      </w:pPr>
      <w:r>
        <w:rPr>
          <w:rFonts w:hint="eastAsia"/>
        </w:rPr>
        <w:t>一是成立税收征管工作领导小组，认真落实税收管理员岗位轮岗制度，加强对征管工作的组织协调。二是合理配置征管资源，不断完善重点税源监控管理制度，切实抓好重点税源企业收入入库工作。三是加大纳税评估力度，全年完成纳税评估</w:t>
      </w:r>
      <w:r>
        <w:t>117户，</w:t>
      </w:r>
      <w:r>
        <w:rPr>
          <w:rFonts w:hint="eastAsia"/>
          <w:lang w:eastAsia="zh-CN"/>
        </w:rPr>
        <w:t>查</w:t>
      </w:r>
      <w:r>
        <w:t>补税款505.37万元，其中，已入</w:t>
      </w:r>
      <w:r>
        <w:rPr>
          <w:rFonts w:hint="eastAsia"/>
        </w:rPr>
        <w:t>库税款</w:t>
      </w:r>
      <w:r>
        <w:t>452.8万元。四是推动RED系统上线运行</w:t>
      </w:r>
      <w:r>
        <w:rPr>
          <w:rFonts w:hint="eastAsia"/>
        </w:rPr>
        <w:t>开展全员培训，</w:t>
      </w:r>
      <w:r>
        <w:t>6月顺利实现系统提前上线，后期</w:t>
      </w:r>
      <w:r>
        <w:rPr>
          <w:rFonts w:hint="eastAsia"/>
        </w:rPr>
        <w:t>运行顺利，为局内控机制建设打下了良好基础。五是稳步推进“金税三期”上线工作，组织全体干部职工参与培训，为金税三期的上线运行打下基础。六是深化征管改革。不断推进“营改增”工作的深入发展，做好“营改增”试点扩大的准备工作。按照省市局工作部署，进一步深化征管改革，探索“征、管、评、</w:t>
      </w:r>
      <w:r>
        <w:rPr>
          <w:rFonts w:hint="eastAsia"/>
          <w:lang w:eastAsia="zh-CN"/>
        </w:rPr>
        <w:t>查</w:t>
      </w:r>
      <w:r>
        <w:rPr>
          <w:rFonts w:hint="eastAsia"/>
        </w:rPr>
        <w:t>”的税收征管模式，制定南雄市国家税务局深化税收征管改革方案（草案）。七是加强税收分析工作，多次组织业务骨干深入重点税源企业进行调研，准确掌握企业生产经营及税源变化情况，不断提高收入预测准确度。</w:t>
      </w:r>
    </w:p>
    <w:p w14:paraId="3980C47F">
      <w:pPr>
        <w:pStyle w:val="4"/>
        <w:bidi w:val="0"/>
        <w:rPr>
          <w:rFonts w:hint="eastAsia"/>
        </w:rPr>
      </w:pPr>
      <w:r>
        <w:rPr>
          <w:rFonts w:hint="eastAsia"/>
        </w:rPr>
        <w:t>【依法治税】</w:t>
      </w:r>
    </w:p>
    <w:p w14:paraId="566D5D54">
      <w:pPr>
        <w:rPr>
          <w:rFonts w:hint="eastAsia"/>
        </w:rPr>
      </w:pPr>
      <w:r>
        <w:rPr>
          <w:rFonts w:hint="eastAsia"/>
        </w:rPr>
        <w:t>坚持依法征收、依法行政。严格落实各项税收方针政策，始终坚持“聚财为国、执法为民”的工作宗旨，坚持以“依法征收、应收尽收，坚决不收过头税，坚决防止和制止越权减免税”为组</w:t>
      </w:r>
      <w:r>
        <w:rPr>
          <w:rFonts w:hint="eastAsia"/>
          <w:lang w:val="en-US" w:eastAsia="zh-CN"/>
        </w:rPr>
        <w:t>织</w:t>
      </w:r>
      <w:r>
        <w:rPr>
          <w:rFonts w:hint="eastAsia"/>
        </w:rPr>
        <w:t>收入原则。一是围绕促进经济发展的战略目标，用足用活各项税收优惠政策，全年为纳税人办理出口退税</w:t>
      </w:r>
      <w:r>
        <w:t>3091</w:t>
      </w:r>
      <w:r>
        <w:rPr>
          <w:rFonts w:hint="eastAsia"/>
          <w:lang w:val="en-US" w:eastAsia="zh-CN"/>
        </w:rPr>
        <w:t>.</w:t>
      </w:r>
      <w:r>
        <w:t>56万元、免抵调库税款702.8万元。二是精心组</w:t>
      </w:r>
      <w:r>
        <w:rPr>
          <w:rFonts w:hint="eastAsia"/>
        </w:rPr>
        <w:t>织企业所得税汇算清缴工作，实际参加企业所得税汇算清缴企业</w:t>
      </w:r>
      <w:r>
        <w:t>342户，汇算清缴面达100%</w:t>
      </w:r>
      <w:r>
        <w:rPr>
          <w:rFonts w:hint="eastAsia"/>
          <w:lang w:eastAsia="zh-CN"/>
        </w:rPr>
        <w:t>。</w:t>
      </w:r>
      <w:r>
        <w:t>2013年度企</w:t>
      </w:r>
      <w:r>
        <w:rPr>
          <w:rFonts w:hint="eastAsia"/>
        </w:rPr>
        <w:t>业所得税</w:t>
      </w:r>
      <w:r>
        <w:rPr>
          <w:rFonts w:hint="eastAsia"/>
          <w:lang w:eastAsia="zh-CN"/>
        </w:rPr>
        <w:t>收入</w:t>
      </w:r>
      <w:r>
        <w:t>16</w:t>
      </w:r>
      <w:r>
        <w:rPr>
          <w:rFonts w:hint="eastAsia"/>
          <w:lang w:val="en-US" w:eastAsia="zh-CN"/>
        </w:rPr>
        <w:t>4</w:t>
      </w:r>
      <w:r>
        <w:t>4.79万元，同比上年增加1124.78万</w:t>
      </w:r>
      <w:r>
        <w:rPr>
          <w:rFonts w:hint="eastAsia"/>
        </w:rPr>
        <w:t>元，增长</w:t>
      </w:r>
      <w:r>
        <w:t>216.30%。三是强化稽</w:t>
      </w:r>
      <w:r>
        <w:rPr>
          <w:rFonts w:hint="eastAsia"/>
          <w:lang w:eastAsia="zh-CN"/>
        </w:rPr>
        <w:t>查</w:t>
      </w:r>
      <w:r>
        <w:t>力度，抽调业务骨</w:t>
      </w:r>
      <w:r>
        <w:rPr>
          <w:rFonts w:hint="eastAsia"/>
        </w:rPr>
        <w:t>干充实稽</w:t>
      </w:r>
      <w:r>
        <w:rPr>
          <w:rFonts w:hint="eastAsia"/>
          <w:lang w:eastAsia="zh-CN"/>
        </w:rPr>
        <w:t>查</w:t>
      </w:r>
      <w:r>
        <w:rPr>
          <w:rFonts w:hint="eastAsia"/>
        </w:rPr>
        <w:t>力量，调整党组成员分工，加强稽</w:t>
      </w:r>
      <w:r>
        <w:rPr>
          <w:rFonts w:hint="eastAsia"/>
          <w:lang w:eastAsia="zh-CN"/>
        </w:rPr>
        <w:t>查</w:t>
      </w:r>
      <w:r>
        <w:rPr>
          <w:rFonts w:hint="eastAsia"/>
        </w:rPr>
        <w:t>工作的管理。以税收专项检</w:t>
      </w:r>
      <w:r>
        <w:rPr>
          <w:rFonts w:hint="eastAsia"/>
          <w:lang w:eastAsia="zh-CN"/>
        </w:rPr>
        <w:t>查</w:t>
      </w:r>
      <w:r>
        <w:rPr>
          <w:rFonts w:hint="eastAsia"/>
        </w:rPr>
        <w:t>、打击发票违法活动和重大案件</w:t>
      </w:r>
      <w:r>
        <w:rPr>
          <w:rFonts w:hint="eastAsia"/>
          <w:lang w:eastAsia="zh-CN"/>
        </w:rPr>
        <w:t>查</w:t>
      </w:r>
      <w:r>
        <w:rPr>
          <w:rFonts w:hint="eastAsia"/>
        </w:rPr>
        <w:t>处为工作重点，加大税收执法检</w:t>
      </w:r>
      <w:r>
        <w:rPr>
          <w:rFonts w:hint="eastAsia"/>
          <w:lang w:eastAsia="zh-CN"/>
        </w:rPr>
        <w:t>查</w:t>
      </w:r>
      <w:r>
        <w:rPr>
          <w:rFonts w:hint="eastAsia"/>
        </w:rPr>
        <w:t>力度，严厉打击涉税违法行为，不断规范税收执法行为。全年共</w:t>
      </w:r>
      <w:r>
        <w:rPr>
          <w:rFonts w:hint="eastAsia"/>
          <w:lang w:val="en-US" w:eastAsia="zh-CN"/>
        </w:rPr>
        <w:t>检</w:t>
      </w:r>
      <w:r>
        <w:rPr>
          <w:rFonts w:hint="eastAsia"/>
          <w:lang w:eastAsia="zh-CN"/>
        </w:rPr>
        <w:t>查</w:t>
      </w:r>
      <w:r>
        <w:rPr>
          <w:rFonts w:hint="eastAsia"/>
        </w:rPr>
        <w:t>企业</w:t>
      </w:r>
      <w:r>
        <w:t>8户，组织企业自</w:t>
      </w:r>
      <w:r>
        <w:rPr>
          <w:rFonts w:hint="eastAsia"/>
          <w:lang w:eastAsia="zh-CN"/>
        </w:rPr>
        <w:t>查</w:t>
      </w:r>
      <w:r>
        <w:t>6户，累计</w:t>
      </w:r>
      <w:r>
        <w:rPr>
          <w:rFonts w:hint="eastAsia"/>
          <w:lang w:eastAsia="zh-CN"/>
        </w:rPr>
        <w:t>查</w:t>
      </w:r>
      <w:r>
        <w:t>补收入477</w:t>
      </w:r>
      <w:r>
        <w:rPr>
          <w:rFonts w:hint="eastAsia"/>
        </w:rPr>
        <w:t>万元，已入库收入</w:t>
      </w:r>
      <w:r>
        <w:t>477万元，完成全年稽</w:t>
      </w:r>
      <w:r>
        <w:rPr>
          <w:rFonts w:hint="eastAsia"/>
          <w:lang w:eastAsia="zh-CN"/>
        </w:rPr>
        <w:t>查</w:t>
      </w:r>
      <w:r>
        <w:t>收入任务</w:t>
      </w:r>
      <w:r>
        <w:rPr>
          <w:rFonts w:hint="eastAsia"/>
        </w:rPr>
        <w:t>的</w:t>
      </w:r>
      <w:r>
        <w:t>273.51%，超额完成全年的税收稽</w:t>
      </w:r>
      <w:r>
        <w:rPr>
          <w:rFonts w:hint="eastAsia"/>
          <w:lang w:eastAsia="zh-CN"/>
        </w:rPr>
        <w:t>查</w:t>
      </w:r>
      <w:r>
        <w:t>收入任务。严</w:t>
      </w:r>
      <w:r>
        <w:rPr>
          <w:rFonts w:hint="eastAsia"/>
        </w:rPr>
        <w:t>厉打击税收违法行为，维护税收公平。四是配合车辆购置税专项交叉检</w:t>
      </w:r>
      <w:r>
        <w:rPr>
          <w:rFonts w:hint="eastAsia"/>
          <w:lang w:eastAsia="zh-CN"/>
        </w:rPr>
        <w:t>查</w:t>
      </w:r>
      <w:r>
        <w:rPr>
          <w:rFonts w:hint="eastAsia"/>
        </w:rPr>
        <w:t>工作，及时做出整改，有效提升车购税征管质量。</w:t>
      </w:r>
    </w:p>
    <w:p w14:paraId="3CBE398C">
      <w:pPr>
        <w:pStyle w:val="4"/>
        <w:bidi w:val="0"/>
        <w:rPr>
          <w:rFonts w:hint="eastAsia"/>
        </w:rPr>
      </w:pPr>
      <w:r>
        <w:rPr>
          <w:rFonts w:hint="eastAsia"/>
        </w:rPr>
        <w:t>【纳税服务】</w:t>
      </w:r>
    </w:p>
    <w:p w14:paraId="333FEAB2">
      <w:pPr>
        <w:rPr>
          <w:rFonts w:hint="eastAsia"/>
        </w:rPr>
      </w:pPr>
      <w:r>
        <w:rPr>
          <w:rFonts w:hint="eastAsia"/>
        </w:rPr>
        <w:t>一是创新服务形式。充分发挥自助办税终端的效用，安排专人对纳税人进行辅导，方便纳税人，提高了纳税服务效率。同时，加大培训力度，多次组织纳税人进行增值税电子申报软件等业务工作的培训。二是强化税宣力度。各部门统</w:t>
      </w:r>
      <w:r>
        <w:rPr>
          <w:rFonts w:hint="eastAsia"/>
          <w:lang w:eastAsia="zh-CN"/>
        </w:rPr>
        <w:t>一</w:t>
      </w:r>
      <w:r>
        <w:rPr>
          <w:rFonts w:hint="eastAsia"/>
        </w:rPr>
        <w:t>协调，与地税联合行动，举办大型的税收宣传仪式和税收宣传活动，以多种形式深入开展税收宣传</w:t>
      </w:r>
      <w:r>
        <w:rPr>
          <w:rFonts w:hint="eastAsia"/>
          <w:lang w:eastAsia="zh-CN"/>
        </w:rPr>
        <w:t>。</w:t>
      </w:r>
      <w:r>
        <w:rPr>
          <w:rFonts w:hint="eastAsia"/>
        </w:rPr>
        <w:t>同时，按照市局要求推选模范纳税户，带动全市纳税人的积极性。三是提升服务质量。结合当地政府关于作风</w:t>
      </w:r>
      <w:r>
        <w:rPr>
          <w:rFonts w:hint="eastAsia"/>
          <w:lang w:eastAsia="zh-CN"/>
        </w:rPr>
        <w:t>查</w:t>
      </w:r>
      <w:r>
        <w:rPr>
          <w:rFonts w:hint="eastAsia"/>
        </w:rPr>
        <w:t>摆的活动，加强对窗口人员的纪律教育，规范办税服务厅各项服务和管理制度，合理安排窗口人员设置，对业务比较多的窗口实行双</w:t>
      </w:r>
      <w:r>
        <w:rPr>
          <w:rFonts w:hint="eastAsia"/>
          <w:lang w:val="en-US" w:eastAsia="zh-CN"/>
        </w:rPr>
        <w:t>岗</w:t>
      </w:r>
      <w:r>
        <w:rPr>
          <w:rFonts w:hint="eastAsia"/>
        </w:rPr>
        <w:t>制或多</w:t>
      </w:r>
      <w:r>
        <w:rPr>
          <w:rFonts w:hint="eastAsia"/>
          <w:lang w:val="en-US" w:eastAsia="zh-CN"/>
        </w:rPr>
        <w:t>岗</w:t>
      </w:r>
      <w:r>
        <w:rPr>
          <w:rFonts w:hint="eastAsia"/>
        </w:rPr>
        <w:t>制，减少纳税人排队时间；在现有条件下尽量完善硬件条件，提高了办税效率，纳税服务工作深受纳税人好评。四是深化工业园区服务工作。成立由局党组成员直接负责，税源管理部门深入园区，纳税服务等部门协调配合的工作机制，促进了园区企业的健康发展。</w:t>
      </w:r>
    </w:p>
    <w:p w14:paraId="1549770F">
      <w:pPr>
        <w:pStyle w:val="4"/>
        <w:bidi w:val="0"/>
        <w:rPr>
          <w:rFonts w:hint="eastAsia"/>
        </w:rPr>
      </w:pPr>
      <w:r>
        <w:rPr>
          <w:rFonts w:hint="eastAsia"/>
        </w:rPr>
        <w:t>【科技兴税】</w:t>
      </w:r>
    </w:p>
    <w:p w14:paraId="08812F2E">
      <w:pPr>
        <w:rPr>
          <w:rFonts w:hint="eastAsia"/>
        </w:rPr>
      </w:pPr>
      <w:r>
        <w:rPr>
          <w:rFonts w:hint="eastAsia"/>
        </w:rPr>
        <w:t>科技兴税取得重大进展，信息化在征管工作中快速发展并普及应用，税收征管辅助系统、个体工商户计算机核定定额系统、税收执法管理信息系统、网上办税系统、办公自动化系统等应用软件在税收工作中得到充分运用，逐步实现办公自动化、办公无纸化。普通发票网上验旧和网上申报工作得到推广应用，税收现代化进程不断推进，税收提高了税收征管效率。</w:t>
      </w:r>
    </w:p>
    <w:p w14:paraId="1DA9D1BE">
      <w:pPr>
        <w:pStyle w:val="4"/>
        <w:bidi w:val="0"/>
        <w:rPr>
          <w:rFonts w:hint="eastAsia"/>
        </w:rPr>
      </w:pPr>
      <w:r>
        <w:rPr>
          <w:rFonts w:hint="eastAsia"/>
        </w:rPr>
        <w:t>【</w:t>
      </w:r>
      <w:r>
        <w:rPr>
          <w:rFonts w:hint="eastAsia"/>
          <w:lang w:val="en-US" w:eastAsia="zh-CN"/>
        </w:rPr>
        <w:t>廉</w:t>
      </w:r>
      <w:r>
        <w:rPr>
          <w:rFonts w:hint="eastAsia"/>
        </w:rPr>
        <w:t>政建设】</w:t>
      </w:r>
    </w:p>
    <w:p w14:paraId="3580F219">
      <w:pPr>
        <w:rPr>
          <w:rFonts w:hint="eastAsia"/>
        </w:rPr>
      </w:pPr>
      <w:r>
        <w:rPr>
          <w:rFonts w:hint="eastAsia"/>
        </w:rPr>
        <w:t>党风廉政建设有待进一步增强。在落实反腐倡廉工作时，在执行上还有待加强。同时，反腐倡廉监督管理机制还有待完善，对领导干部的监督管理还有待加强，风险预控管理措施也有待进一步强化。</w:t>
      </w:r>
      <w:r>
        <w:t>2013年7月，南雄市国税局原局长</w:t>
      </w:r>
      <w:r>
        <w:rPr>
          <w:rFonts w:hint="eastAsia"/>
        </w:rPr>
        <w:t>陈彝连涉嫌违纪，</w:t>
      </w:r>
      <w:r>
        <w:t>7月停职检</w:t>
      </w:r>
      <w:r>
        <w:rPr>
          <w:rFonts w:hint="eastAsia"/>
          <w:lang w:eastAsia="zh-CN"/>
        </w:rPr>
        <w:t>查</w:t>
      </w:r>
      <w:r>
        <w:t>，10月行政开除。</w:t>
      </w:r>
      <w:r>
        <w:rPr>
          <w:rFonts w:hint="eastAsia"/>
        </w:rPr>
        <w:t>围绕于此，南雄市国税局认真反思，开展一系列党风廉政教育工作。根据中央及省市局工作要求，结合民主评议政风行风活动及纪律教育学习月活动，组织干部职工开展预防职务犯罪警示教育活动及</w:t>
      </w:r>
      <w:r>
        <w:rPr>
          <w:rFonts w:hint="eastAsia"/>
          <w:lang w:val="en-US" w:eastAsia="zh-CN"/>
        </w:rPr>
        <w:t>一</w:t>
      </w:r>
      <w:r>
        <w:rPr>
          <w:rFonts w:hint="eastAsia"/>
        </w:rPr>
        <w:t>把手讲党课活动。狠抓党风廉政及民主集中制建设，强化风险预控，不断增强干部职工廉政意识。制定《南雄市国家税务局重大行政决策管理制度》，有力推动局内民主。</w:t>
      </w:r>
    </w:p>
    <w:p w14:paraId="0E3B1E11">
      <w:pPr>
        <w:pStyle w:val="4"/>
        <w:bidi w:val="0"/>
        <w:rPr>
          <w:rFonts w:hint="eastAsia"/>
        </w:rPr>
      </w:pPr>
      <w:r>
        <w:rPr>
          <w:rFonts w:hint="eastAsia"/>
        </w:rPr>
        <w:t>【税收环境】</w:t>
      </w:r>
    </w:p>
    <w:p w14:paraId="3FB4B6EF">
      <w:pPr>
        <w:rPr>
          <w:rFonts w:hint="eastAsia"/>
        </w:rPr>
      </w:pPr>
      <w:r>
        <w:rPr>
          <w:rFonts w:hint="eastAsia"/>
        </w:rPr>
        <w:t>政府对国税工作的支持力度和关注力度不断加大，外部协税护税环境不断优化，税收工作环境明显改善，同时，国税的形象和地位逐步提升，促进了各项工作的顺利开展。在南雄市委</w:t>
      </w:r>
      <w:r>
        <w:rPr>
          <w:rFonts w:hint="eastAsia"/>
          <w:lang w:eastAsia="zh-CN"/>
        </w:rPr>
        <w:t>、</w:t>
      </w:r>
      <w:r>
        <w:rPr>
          <w:rFonts w:hint="eastAsia"/>
        </w:rPr>
        <w:t>政府和上级局的关心和支持下，该局严格按照有关规定和程序办理新办公大楼基建工作的各项手续，各项前期工作顺利开展，为早日改善办公环境奠定基础。</w:t>
      </w:r>
    </w:p>
    <w:p w14:paraId="6982B0AA">
      <w:pPr>
        <w:jc w:val="right"/>
        <w:rPr>
          <w:rFonts w:hint="eastAsia"/>
          <w:b/>
          <w:bCs/>
        </w:rPr>
      </w:pPr>
      <w:r>
        <w:rPr>
          <w:rFonts w:hint="eastAsia"/>
          <w:b/>
          <w:bCs/>
        </w:rPr>
        <w:t>（钟娇娇）</w:t>
      </w:r>
    </w:p>
    <w:p w14:paraId="11873167">
      <w:pPr>
        <w:pStyle w:val="10"/>
        <w:bidi w:val="0"/>
        <w:rPr>
          <w:b/>
          <w:bCs/>
        </w:rPr>
      </w:pPr>
      <w:r>
        <w:rPr>
          <w:rFonts w:hint="eastAsia"/>
          <w:b/>
          <w:bCs/>
        </w:rPr>
        <w:t>附：</w:t>
      </w:r>
      <w:r>
        <w:rPr>
          <w:b/>
          <w:bCs/>
        </w:rPr>
        <w:t>2013年市国税局领导班子成员名单</w:t>
      </w:r>
    </w:p>
    <w:p w14:paraId="309E94C8">
      <w:pPr>
        <w:pStyle w:val="10"/>
        <w:bidi w:val="0"/>
        <w:rPr>
          <w:rFonts w:hint="eastAsia"/>
        </w:rPr>
      </w:pPr>
      <w:r>
        <w:rPr>
          <w:rFonts w:hint="eastAsia"/>
          <w:b/>
          <w:bCs/>
        </w:rPr>
        <w:t>副</w:t>
      </w:r>
      <w:r>
        <w:rPr>
          <w:rFonts w:hint="eastAsia"/>
          <w:b/>
          <w:bCs/>
          <w:lang w:val="en-US" w:eastAsia="zh-CN"/>
        </w:rPr>
        <w:t xml:space="preserve"> </w:t>
      </w:r>
      <w:r>
        <w:rPr>
          <w:rFonts w:hint="eastAsia"/>
          <w:b/>
          <w:bCs/>
        </w:rPr>
        <w:t>局</w:t>
      </w:r>
      <w:r>
        <w:rPr>
          <w:rFonts w:hint="eastAsia"/>
          <w:b/>
          <w:bCs/>
          <w:lang w:val="en-US" w:eastAsia="zh-CN"/>
        </w:rPr>
        <w:t xml:space="preserve"> </w:t>
      </w:r>
      <w:r>
        <w:rPr>
          <w:rFonts w:hint="eastAsia"/>
          <w:b/>
          <w:bCs/>
        </w:rPr>
        <w:t>长：</w:t>
      </w:r>
      <w:r>
        <w:rPr>
          <w:rFonts w:hint="eastAsia"/>
        </w:rPr>
        <w:t>李贤明</w:t>
      </w:r>
      <w:r>
        <w:rPr>
          <w:rFonts w:hint="eastAsia"/>
          <w:lang w:val="en-US" w:eastAsia="zh-CN"/>
        </w:rPr>
        <w:t xml:space="preserve">   </w:t>
      </w:r>
      <w:r>
        <w:rPr>
          <w:rFonts w:hint="eastAsia"/>
        </w:rPr>
        <w:t>凌寿青</w:t>
      </w:r>
      <w:r>
        <w:rPr>
          <w:rFonts w:hint="eastAsia"/>
          <w:lang w:val="en-US" w:eastAsia="zh-CN"/>
        </w:rPr>
        <w:t xml:space="preserve">   </w:t>
      </w:r>
      <w:r>
        <w:rPr>
          <w:rFonts w:hint="eastAsia"/>
        </w:rPr>
        <w:t>梁高明</w:t>
      </w:r>
    </w:p>
    <w:p w14:paraId="0E18DCC7">
      <w:pPr>
        <w:pStyle w:val="10"/>
        <w:bidi w:val="0"/>
        <w:rPr>
          <w:rFonts w:hint="eastAsia"/>
        </w:rPr>
      </w:pPr>
      <w:r>
        <w:rPr>
          <w:rFonts w:hint="eastAsia"/>
          <w:b/>
          <w:bCs/>
        </w:rPr>
        <w:t>纪检组长：</w:t>
      </w:r>
      <w:r>
        <w:rPr>
          <w:rFonts w:hint="eastAsia"/>
        </w:rPr>
        <w:t>董绳南</w:t>
      </w:r>
    </w:p>
    <w:p w14:paraId="080ADE73">
      <w:pPr>
        <w:pStyle w:val="3"/>
        <w:bidi w:val="0"/>
        <w:rPr>
          <w:rFonts w:hint="eastAsia"/>
        </w:rPr>
      </w:pPr>
      <w:r>
        <w:t>地方税务</w:t>
      </w:r>
    </w:p>
    <w:p w14:paraId="3B677A9B">
      <w:pPr>
        <w:pStyle w:val="4"/>
        <w:bidi w:val="0"/>
        <w:rPr>
          <w:rFonts w:hint="eastAsia"/>
        </w:rPr>
      </w:pPr>
      <w:r>
        <w:rPr>
          <w:rFonts w:hint="eastAsia"/>
        </w:rPr>
        <w:t>【概况】</w:t>
      </w:r>
    </w:p>
    <w:p w14:paraId="76D65236">
      <w:pPr>
        <w:rPr>
          <w:rFonts w:hint="eastAsia"/>
        </w:rPr>
      </w:pPr>
      <w:r>
        <w:t>2013年，南雄市地方税务局坚持以组织</w:t>
      </w:r>
      <w:r>
        <w:rPr>
          <w:rFonts w:hint="eastAsia"/>
        </w:rPr>
        <w:t>收入为中心，狠抓税收和社保费以及其他规费的征管，提升依法治税水平，强化纳税服务，加强队伍建设和党风廉政建设，扎实开展“面向基层、整顿作风、服务群众”活动，较好的完成各项工作任务。</w:t>
      </w:r>
    </w:p>
    <w:p w14:paraId="4924A477">
      <w:pPr>
        <w:pStyle w:val="4"/>
        <w:bidi w:val="0"/>
        <w:rPr>
          <w:rFonts w:hint="eastAsia"/>
        </w:rPr>
      </w:pPr>
      <w:r>
        <w:rPr>
          <w:rFonts w:hint="eastAsia"/>
        </w:rPr>
        <w:t>【税费收入】</w:t>
      </w:r>
    </w:p>
    <w:p w14:paraId="08DF946F">
      <w:r>
        <w:t>2013年，南雄市组织税费收入68916万元，再创历史新高。税收收入（不含省级</w:t>
      </w:r>
      <w:r>
        <w:rPr>
          <w:rFonts w:hint="eastAsia"/>
        </w:rPr>
        <w:t>固定）</w:t>
      </w:r>
      <w:r>
        <w:t>38888万元，与上年12月底对比增加3888</w:t>
      </w:r>
      <w:r>
        <w:rPr>
          <w:rFonts w:hint="eastAsia"/>
        </w:rPr>
        <w:t>万元，同比增长</w:t>
      </w:r>
      <w:r>
        <w:t>11.1%。其中：中央级5585万元，</w:t>
      </w:r>
      <w:r>
        <w:rPr>
          <w:rFonts w:hint="eastAsia"/>
        </w:rPr>
        <w:t>与上年</w:t>
      </w:r>
      <w:r>
        <w:t>12月底对比增加1546万元，同比增长38.28%；省级共享6269万元，与上年12月底对比</w:t>
      </w:r>
      <w:r>
        <w:rPr>
          <w:rFonts w:hint="eastAsia"/>
        </w:rPr>
        <w:t>相差</w:t>
      </w:r>
      <w:r>
        <w:t>336万元，同比相差5.09%；市县级收入27034万元，与上年12月底对比增加2678万元，</w:t>
      </w:r>
      <w:r>
        <w:rPr>
          <w:rFonts w:hint="eastAsia"/>
        </w:rPr>
        <w:t>同比增长</w:t>
      </w:r>
      <w:r>
        <w:t>11%。征收社会保险费27146万元，同比</w:t>
      </w:r>
      <w:r>
        <w:rPr>
          <w:rFonts w:hint="eastAsia"/>
        </w:rPr>
        <w:t>增收</w:t>
      </w:r>
      <w:r>
        <w:t>2839万元，增长11.68%。</w:t>
      </w:r>
    </w:p>
    <w:p w14:paraId="24CBA574">
      <w:pPr>
        <w:pStyle w:val="4"/>
        <w:bidi w:val="0"/>
        <w:rPr>
          <w:rFonts w:hint="eastAsia"/>
        </w:rPr>
      </w:pPr>
      <w:r>
        <w:rPr>
          <w:rFonts w:hint="eastAsia"/>
        </w:rPr>
        <w:t>【税种收入】</w:t>
      </w:r>
    </w:p>
    <w:p w14:paraId="663551E0">
      <w:r>
        <w:rPr>
          <w:rFonts w:hint="eastAsia"/>
        </w:rPr>
        <w:t>从各税种来看，除营业税、耕地占用税、车船税与上年同期收入对比有所下降外，其它各税种收入与上年同期收入对比都有较大增长其中：营业税收入</w:t>
      </w:r>
      <w:r>
        <w:t>8513万元，同比减收1527万元，</w:t>
      </w:r>
      <w:r>
        <w:rPr>
          <w:rFonts w:hint="eastAsia"/>
        </w:rPr>
        <w:t>下降</w:t>
      </w:r>
      <w:r>
        <w:t>15.21%；企业所得税</w:t>
      </w:r>
      <w:r>
        <w:rPr>
          <w:rFonts w:hint="eastAsia"/>
          <w:lang w:eastAsia="zh-CN"/>
        </w:rPr>
        <w:t>收入</w:t>
      </w:r>
      <w:r>
        <w:t>6298万元，同比增</w:t>
      </w:r>
      <w:r>
        <w:rPr>
          <w:rFonts w:hint="eastAsia"/>
        </w:rPr>
        <w:t>收</w:t>
      </w:r>
      <w:r>
        <w:t>1734万元，增长37.9</w:t>
      </w:r>
      <w:r>
        <w:rPr>
          <w:rFonts w:hint="eastAsia"/>
          <w:lang w:val="en-US" w:eastAsia="zh-CN"/>
        </w:rPr>
        <w:t>9</w:t>
      </w:r>
      <w:r>
        <w:t>%；个人所得税收入3010</w:t>
      </w:r>
      <w:r>
        <w:rPr>
          <w:rFonts w:hint="eastAsia"/>
        </w:rPr>
        <w:t>万元，同比增收</w:t>
      </w:r>
      <w:r>
        <w:t>841万元，增长38.77%；资源税</w:t>
      </w:r>
      <w:r>
        <w:rPr>
          <w:rFonts w:hint="eastAsia"/>
          <w:lang w:eastAsia="zh-CN"/>
        </w:rPr>
        <w:t>收入</w:t>
      </w:r>
      <w:r>
        <w:t>472万元，同比减收42万元，下降8.17%；</w:t>
      </w:r>
      <w:r>
        <w:rPr>
          <w:rFonts w:hint="eastAsia"/>
        </w:rPr>
        <w:t>城建税收入</w:t>
      </w:r>
      <w:r>
        <w:t>1600万元，同比减收26万元，下降1.60%；房产税收入1323万元，同比增收341万</w:t>
      </w:r>
      <w:r>
        <w:rPr>
          <w:rFonts w:hint="eastAsia"/>
        </w:rPr>
        <w:t>元，增长</w:t>
      </w:r>
      <w:r>
        <w:t>34.73%；印花税收入353万元，同比增</w:t>
      </w:r>
      <w:r>
        <w:rPr>
          <w:rFonts w:hint="eastAsia"/>
        </w:rPr>
        <w:t>收</w:t>
      </w:r>
      <w:r>
        <w:t>153万元，增长76.88%；土地使用税收入4984</w:t>
      </w:r>
      <w:r>
        <w:rPr>
          <w:rFonts w:hint="eastAsia"/>
        </w:rPr>
        <w:t>万元，同比增收</w:t>
      </w:r>
      <w:r>
        <w:t>3081万元，增长161.90%；土地</w:t>
      </w:r>
      <w:r>
        <w:rPr>
          <w:rFonts w:hint="eastAsia"/>
        </w:rPr>
        <w:t>增值税</w:t>
      </w:r>
      <w:r>
        <w:rPr>
          <w:rFonts w:hint="eastAsia"/>
          <w:lang w:eastAsia="zh-CN"/>
        </w:rPr>
        <w:t>收入</w:t>
      </w:r>
      <w:r>
        <w:t>1128万元，同比减收256万元，下降18.50%；车船使用税收入273万元，同比减收1万</w:t>
      </w:r>
      <w:r>
        <w:rPr>
          <w:rFonts w:hint="eastAsia"/>
        </w:rPr>
        <w:t>元，下降</w:t>
      </w:r>
      <w:r>
        <w:t>0.36%；契税收</w:t>
      </w:r>
      <w:r>
        <w:rPr>
          <w:rFonts w:hint="eastAsia"/>
          <w:lang w:val="en-US" w:eastAsia="zh-CN"/>
        </w:rPr>
        <w:t>入</w:t>
      </w:r>
      <w:r>
        <w:t>2455万元，同比增收1038万元，增长73.25%；耕地占用税收入1658万</w:t>
      </w:r>
      <w:r>
        <w:rPr>
          <w:rFonts w:hint="eastAsia"/>
        </w:rPr>
        <w:t>元，同比减收</w:t>
      </w:r>
      <w:r>
        <w:t>1822万元，下降52.36%；烟叶税收</w:t>
      </w:r>
      <w:r>
        <w:rPr>
          <w:rFonts w:hint="eastAsia"/>
        </w:rPr>
        <w:t>入</w:t>
      </w:r>
      <w:r>
        <w:t>7646万元，同比增收288万元，增长3.91%。</w:t>
      </w:r>
      <w:r>
        <w:rPr>
          <w:rFonts w:hint="eastAsia"/>
        </w:rPr>
        <w:t>其他收入中的教育费附加</w:t>
      </w:r>
      <w:r>
        <w:t>717万元，同比减收9万</w:t>
      </w:r>
      <w:r>
        <w:rPr>
          <w:rFonts w:hint="eastAsia"/>
        </w:rPr>
        <w:t>元，下降</w:t>
      </w:r>
      <w:r>
        <w:t>1.24%；罚没收入4万元，同比减收1万</w:t>
      </w:r>
      <w:r>
        <w:rPr>
          <w:rFonts w:hint="eastAsia"/>
        </w:rPr>
        <w:t>元；堤围费</w:t>
      </w:r>
      <w:r>
        <w:t>665万元，同比增收11万元，增长1.68%；残保金69万元，同比增收37万元；价格</w:t>
      </w:r>
      <w:r>
        <w:rPr>
          <w:rFonts w:hint="eastAsia"/>
        </w:rPr>
        <w:t>调节金</w:t>
      </w:r>
      <w:r>
        <w:t>114万元，同比减收14万元，下降10.94%；地方教育费附加479万元，同比增收13</w:t>
      </w:r>
      <w:r>
        <w:rPr>
          <w:rFonts w:hint="eastAsia"/>
        </w:rPr>
        <w:t>万元，增长</w:t>
      </w:r>
      <w:r>
        <w:t>2.79%。从各产业来看：第一产业税收</w:t>
      </w:r>
      <w:r>
        <w:rPr>
          <w:rFonts w:hint="eastAsia"/>
        </w:rPr>
        <w:t>收入</w:t>
      </w:r>
      <w:r>
        <w:t>253万元，比上年同期增收61万元，增收31.77%；第二产业税收9121万元，同比减收853</w:t>
      </w:r>
      <w:r>
        <w:rPr>
          <w:rFonts w:hint="eastAsia"/>
        </w:rPr>
        <w:t>万元，下降</w:t>
      </w:r>
      <w:r>
        <w:t>8.55万元%；第三产业税收30339万</w:t>
      </w:r>
      <w:r>
        <w:rPr>
          <w:rFonts w:hint="eastAsia"/>
        </w:rPr>
        <w:t>元，同比增收</w:t>
      </w:r>
      <w:r>
        <w:t>4595万元，增收17.85%。</w:t>
      </w:r>
    </w:p>
    <w:p w14:paraId="26377C18">
      <w:pPr>
        <w:pStyle w:val="4"/>
        <w:bidi w:val="0"/>
        <w:rPr>
          <w:rFonts w:hint="eastAsia"/>
        </w:rPr>
      </w:pPr>
      <w:r>
        <w:rPr>
          <w:rFonts w:hint="eastAsia"/>
        </w:rPr>
        <w:t>【税收征管】</w:t>
      </w:r>
    </w:p>
    <w:p w14:paraId="4C6E4072">
      <w:pPr>
        <w:rPr>
          <w:rFonts w:hint="eastAsia"/>
        </w:rPr>
      </w:pPr>
      <w:r>
        <w:rPr>
          <w:rFonts w:hint="eastAsia"/>
        </w:rPr>
        <w:t>一是严格组织收入目标责任制考核。年初，早计划、早安排、及时把税收任务分解到各基层分局。党组成员到各分局亲自督导，把年度税收任务分解到月、到季度，把绩效考评与收入任务相挂钩，明确工作责任，增强全体干部职工抓收入工作的主动性和责任感。二是做好税收分析预测，及时进行税额调定。加强税收经济分析，认真比对工商登记信息，全面掌握经济发展和税源变化情况，对以往存在的纳税额偏低、税额调定不高的及时进行税额核定。三是做好纳税评估工作。从</w:t>
      </w:r>
      <w:r>
        <w:t>2013</w:t>
      </w:r>
      <w:r>
        <w:rPr>
          <w:rFonts w:hint="eastAsia"/>
        </w:rPr>
        <w:t>年</w:t>
      </w:r>
      <w:r>
        <w:t>4月开始，成立2个纳税评估小组，对全市的30</w:t>
      </w:r>
      <w:r>
        <w:rPr>
          <w:rFonts w:hint="eastAsia"/>
        </w:rPr>
        <w:t>多户企业开展纳税评估，发放税务事项告知书和纳税评估自</w:t>
      </w:r>
      <w:r>
        <w:rPr>
          <w:rFonts w:hint="eastAsia"/>
          <w:lang w:eastAsia="zh-CN"/>
        </w:rPr>
        <w:t>查</w:t>
      </w:r>
      <w:r>
        <w:rPr>
          <w:rFonts w:hint="eastAsia"/>
        </w:rPr>
        <w:t>表。在抓好企业自</w:t>
      </w:r>
      <w:r>
        <w:rPr>
          <w:rFonts w:hint="eastAsia"/>
          <w:lang w:eastAsia="zh-CN"/>
        </w:rPr>
        <w:t>查</w:t>
      </w:r>
      <w:r>
        <w:rPr>
          <w:rFonts w:hint="eastAsia"/>
        </w:rPr>
        <w:t>的基础上，纳税评估小组还</w:t>
      </w:r>
      <w:r>
        <w:rPr>
          <w:rFonts w:hint="eastAsia"/>
          <w:lang w:eastAsia="zh-CN"/>
        </w:rPr>
        <w:t>查</w:t>
      </w:r>
      <w:r>
        <w:rPr>
          <w:rFonts w:hint="eastAsia"/>
        </w:rPr>
        <w:t>阅相关的征管资料，采取大集中系统数据分析和比对方法对有疑问的企业进行实地审核，对存在问题的企业耐心地进行纳税辅导，通过纳税评估以</w:t>
      </w:r>
      <w:r>
        <w:rPr>
          <w:rFonts w:hint="eastAsia"/>
          <w:lang w:eastAsia="zh-CN"/>
        </w:rPr>
        <w:t>查</w:t>
      </w:r>
      <w:r>
        <w:rPr>
          <w:rFonts w:hint="eastAsia"/>
        </w:rPr>
        <w:t>促收方式起到了较好的效果。四是加强重点户跟踪管理，确保税源不流失。加强税源重点</w:t>
      </w:r>
      <w:r>
        <w:rPr>
          <w:rFonts w:hint="eastAsia"/>
          <w:lang w:val="en-US" w:eastAsia="zh-CN"/>
        </w:rPr>
        <w:t>户</w:t>
      </w:r>
      <w:r>
        <w:rPr>
          <w:rFonts w:hint="eastAsia"/>
        </w:rPr>
        <w:t>的日常监控，对税收降幅大的及时进行纳税辅导</w:t>
      </w:r>
      <w:r>
        <w:rPr>
          <w:rFonts w:hint="eastAsia"/>
          <w:lang w:eastAsia="zh-CN"/>
        </w:rPr>
        <w:t>；</w:t>
      </w:r>
      <w:r>
        <w:rPr>
          <w:rFonts w:hint="eastAsia"/>
        </w:rPr>
        <w:t>重大项目税收管理，由税收督导办公室的人员进行专人跟踪管理。加强对珠玑工业园区的税收征管，清理园区</w:t>
      </w:r>
      <w:r>
        <w:t>85%的企业历年欠缴的房产税、土地使用</w:t>
      </w:r>
      <w:r>
        <w:rPr>
          <w:rFonts w:hint="eastAsia"/>
        </w:rPr>
        <w:t>税。五是抓好日常税收征管，全面清理个体税收。乌迳和珠玑两个分局提前</w:t>
      </w:r>
      <w:r>
        <w:t>2个月完成全年税收收入</w:t>
      </w:r>
      <w:r>
        <w:rPr>
          <w:rFonts w:hint="eastAsia"/>
        </w:rPr>
        <w:t>任务。六是举办税收业务学习培训，提高税收征管质效。先后举办税源管理平台培训班、小企业会计准则学习培训、企业所得税纳税辅导讲座、“金税三期”上线培训班、电子办税服务厅培训、加强失职渎职风险防范治理的培训班等。通过学习培训，参训人员较好地掌握相关业务知识，提高工作技能。</w:t>
      </w:r>
    </w:p>
    <w:p w14:paraId="5C99CD44">
      <w:pPr>
        <w:pStyle w:val="4"/>
        <w:bidi w:val="0"/>
        <w:rPr>
          <w:rFonts w:hint="eastAsia"/>
        </w:rPr>
      </w:pPr>
      <w:r>
        <w:rPr>
          <w:rFonts w:hint="eastAsia"/>
        </w:rPr>
        <w:t>【税收宣传】</w:t>
      </w:r>
    </w:p>
    <w:p w14:paraId="324E401B">
      <w:pPr>
        <w:rPr>
          <w:rFonts w:hint="eastAsia"/>
          <w:lang w:eastAsia="zh-CN"/>
        </w:rPr>
      </w:pPr>
      <w:r>
        <w:t>4月10日上午，联合国税局在三影</w:t>
      </w:r>
      <w:r>
        <w:rPr>
          <w:rFonts w:hint="eastAsia"/>
        </w:rPr>
        <w:t>塔广场举行税收宣传月活动启动仪式，地税局和国税局主要领导以及相关人员参加税收</w:t>
      </w:r>
      <w:r>
        <w:rPr>
          <w:rFonts w:hint="eastAsia"/>
          <w:lang w:val="en-US" w:eastAsia="zh-CN"/>
        </w:rPr>
        <w:t>宣</w:t>
      </w:r>
      <w:r>
        <w:rPr>
          <w:rFonts w:hint="eastAsia"/>
        </w:rPr>
        <w:t>传活动。设立税收宣传咨询台和流动宣传点，地税局和国税局主要领导为前来咨询的群众现场解答二手房交易税收政策、社保费征缴知识等热点、难点问题，发放税法宣传资料</w:t>
      </w:r>
      <w:r>
        <w:t>2300多份，接受群众咨询500多人</w:t>
      </w:r>
      <w:r>
        <w:rPr>
          <w:rFonts w:hint="eastAsia"/>
        </w:rPr>
        <w:t>次。不断扩大税法宣传的感染力、影响力和辐射力，增强全社会税收</w:t>
      </w:r>
      <w:r>
        <w:rPr>
          <w:rFonts w:hint="eastAsia"/>
          <w:lang w:eastAsia="zh-CN"/>
        </w:rPr>
        <w:t>法治意识。</w:t>
      </w:r>
    </w:p>
    <w:p w14:paraId="08B83CDE">
      <w:pPr>
        <w:pStyle w:val="4"/>
        <w:bidi w:val="0"/>
        <w:rPr>
          <w:rFonts w:hint="eastAsia"/>
        </w:rPr>
      </w:pPr>
      <w:r>
        <w:rPr>
          <w:rFonts w:hint="eastAsia"/>
        </w:rPr>
        <w:t>【依法治税】</w:t>
      </w:r>
    </w:p>
    <w:p w14:paraId="63EE1AA8">
      <w:pPr>
        <w:rPr>
          <w:rFonts w:hint="eastAsia"/>
        </w:rPr>
      </w:pPr>
      <w:r>
        <w:rPr>
          <w:rFonts w:hint="eastAsia"/>
        </w:rPr>
        <w:t>一是强化执法监督检</w:t>
      </w:r>
      <w:r>
        <w:rPr>
          <w:rFonts w:hint="eastAsia"/>
          <w:lang w:eastAsia="zh-CN"/>
        </w:rPr>
        <w:t>查</w:t>
      </w:r>
      <w:r>
        <w:rPr>
          <w:rFonts w:hint="eastAsia"/>
        </w:rPr>
        <w:t>。运用信息管理平台，加快税收执法责任制考核步伐，促进工作人员执法水平的提高。加强对执法的事前、事中、事后监督，防止出现随意执法，确保公平执法、公正执法、文明执法。二是大力整顿和规范税</w:t>
      </w:r>
      <w:r>
        <w:rPr>
          <w:rFonts w:hint="eastAsia"/>
          <w:lang w:val="en-US" w:eastAsia="zh-CN"/>
        </w:rPr>
        <w:t>收</w:t>
      </w:r>
      <w:r>
        <w:rPr>
          <w:rFonts w:hint="eastAsia"/>
        </w:rPr>
        <w:t>秩序。对征管基础比较薄弱的行业，有针对性地开展统一的专项治理行动；健全发票管理机制，严厉打击违规使用发票行为。年中召开南雄市违法违章建筑与用地税收专项清理工作会议，研究部署了第一阶段专项清理工作任务，制定了相关工作方案。从公安、地税部门抽调精干人员组成两个工作小组，加强对珠玑、黄坑、乌迳、南亩</w:t>
      </w:r>
      <w:r>
        <w:t>4个镇的违</w:t>
      </w:r>
      <w:r>
        <w:rPr>
          <w:rFonts w:hint="eastAsia"/>
        </w:rPr>
        <w:t>法违章建筑与用地进行税收专项清理。三是规范执法行为。从征、管、</w:t>
      </w:r>
      <w:r>
        <w:rPr>
          <w:rFonts w:hint="eastAsia"/>
          <w:lang w:eastAsia="zh-CN"/>
        </w:rPr>
        <w:t>查</w:t>
      </w:r>
      <w:r>
        <w:rPr>
          <w:rFonts w:hint="eastAsia"/>
        </w:rPr>
        <w:t>、减、免、等执法风险点入手，抓好相关人员的思想教育，加强税收执法的内部监督，严格落实税收执法过错责任追纠制度，积极防范执法风险。</w:t>
      </w:r>
    </w:p>
    <w:p w14:paraId="74233AB0">
      <w:pPr>
        <w:pStyle w:val="4"/>
        <w:bidi w:val="0"/>
        <w:rPr>
          <w:rFonts w:hint="eastAsia"/>
        </w:rPr>
      </w:pPr>
      <w:r>
        <w:rPr>
          <w:rFonts w:hint="eastAsia"/>
        </w:rPr>
        <w:t>【纳税服务】</w:t>
      </w:r>
    </w:p>
    <w:p w14:paraId="275B5AC8">
      <w:pPr>
        <w:rPr>
          <w:rFonts w:hint="eastAsia"/>
        </w:rPr>
      </w:pPr>
      <w:r>
        <w:rPr>
          <w:rFonts w:hint="eastAsia"/>
        </w:rPr>
        <w:t>创新纳税服务方法。</w:t>
      </w:r>
      <w:r>
        <w:t>4月19日，组</w:t>
      </w:r>
      <w:r>
        <w:rPr>
          <w:rFonts w:hint="eastAsia"/>
        </w:rPr>
        <w:t>成税收政策宣传组，到广东电网南雄供电局宣传税法，发放税收宣传资料，并以座谈会的形式与供电局的领导、财务、人事及有关公司负责人面对面交谈。针对新企业所得税法、建筑安装营业税、税收票据使用和管理等与他们紧密相关的税收政策进行纳税辅导，重点讲解“企业所得税汇算清缴”、“营改增”、“买卖房屋缴纳有关税收”等新政法规，帮助企业化解纳税风险，构建和谐的税企关系。实行网上申报、一站式服务、一窗式办理等纳税服务措施；加强基层税务分局电子办税服务厅基础设施建设，在地税网站公告税收政策，利用网络问政平台及时答复有关涉税问题，全年答复</w:t>
      </w:r>
      <w:r>
        <w:t>30条网络咨询，</w:t>
      </w:r>
      <w:r>
        <w:rPr>
          <w:rFonts w:hint="eastAsia"/>
        </w:rPr>
        <w:t>群众来访</w:t>
      </w:r>
      <w:r>
        <w:t>140余次，电话来访75次，为纳税人提</w:t>
      </w:r>
      <w:r>
        <w:rPr>
          <w:rFonts w:hint="eastAsia"/>
        </w:rPr>
        <w:t>供多元化服务。</w:t>
      </w:r>
    </w:p>
    <w:p w14:paraId="35DD626D">
      <w:pPr>
        <w:pStyle w:val="4"/>
        <w:bidi w:val="0"/>
        <w:rPr>
          <w:rFonts w:hint="eastAsia"/>
        </w:rPr>
      </w:pPr>
      <w:r>
        <w:rPr>
          <w:rFonts w:hint="eastAsia"/>
          <w:lang w:eastAsia="zh-CN"/>
        </w:rPr>
        <w:t>【</w:t>
      </w:r>
      <w:r>
        <w:rPr>
          <w:rFonts w:hint="eastAsia"/>
        </w:rPr>
        <w:t>干部队伍建设】</w:t>
      </w:r>
    </w:p>
    <w:p w14:paraId="67C51FD0">
      <w:pPr>
        <w:rPr>
          <w:rFonts w:hint="eastAsia"/>
          <w:lang w:eastAsia="zh-CN"/>
        </w:rPr>
      </w:pPr>
      <w:r>
        <w:rPr>
          <w:rFonts w:hint="eastAsia"/>
        </w:rPr>
        <w:t>一是加大干部教育培训力度。结合当前时事政治，有计划组织党员干部学习教育培训</w:t>
      </w:r>
      <w:r>
        <w:rPr>
          <w:rFonts w:hint="eastAsia"/>
          <w:lang w:eastAsia="zh-CN"/>
        </w:rPr>
        <w:t>，</w:t>
      </w:r>
      <w:r>
        <w:rPr>
          <w:rFonts w:hint="eastAsia"/>
        </w:rPr>
        <w:t>提高了干部整体素质。二是加强思想政治工作，开展“连心桥”活动。党组召开以“为民务实清廉”为主题民主生活会。局长汇报班子</w:t>
      </w:r>
      <w:r>
        <w:t>2013年主要工作情况，</w:t>
      </w:r>
      <w:r>
        <w:rPr>
          <w:rFonts w:hint="eastAsia"/>
        </w:rPr>
        <w:t>通报上年度民主生活会整改措施落实情况及民主生活会征求意见。班子成员就自己一年来的工作、学习</w:t>
      </w:r>
      <w:r>
        <w:rPr>
          <w:rFonts w:hint="eastAsia"/>
          <w:lang w:eastAsia="zh-CN"/>
        </w:rPr>
        <w:t>、</w:t>
      </w:r>
      <w:r>
        <w:rPr>
          <w:rFonts w:hint="eastAsia"/>
        </w:rPr>
        <w:t>党风廉政建设情况进行深入剖析，开展批评与自我批评。</w:t>
      </w:r>
      <w:r>
        <w:t>4月8日，召开青年干部座谈会。局长与23名青</w:t>
      </w:r>
      <w:r>
        <w:rPr>
          <w:rFonts w:hint="eastAsia"/>
        </w:rPr>
        <w:t>年干部采取拉家常的方式与青年干部交心谈心，了解青年</w:t>
      </w:r>
      <w:r>
        <w:rPr>
          <w:rFonts w:hint="eastAsia"/>
          <w:lang w:eastAsia="zh-CN"/>
        </w:rPr>
        <w:t>干部</w:t>
      </w:r>
      <w:r>
        <w:rPr>
          <w:rFonts w:hint="eastAsia"/>
        </w:rPr>
        <w:t>工作生活情况和所思所想。局长结合自身经历细心为青年干部解惑释疑，分析青年干部取得的进步和存在的不足，提出希望和要求，勉励他们今后加强税收业务知识学习，努力工作，不辜负领导的殷切期望。三是加强政务信息公开工作。落实省局《关于进一步推进政务公开工作的意见》，建立政务工作每季督办和通报制度，确保政令畅通；通过局域网、韶关地税网站、《南雄地税简报》、市政府信息网站、新闻媒体等方式进行政务信息公开。全年编写《南雄地</w:t>
      </w:r>
      <w:r>
        <w:rPr>
          <w:rFonts w:hint="eastAsia"/>
          <w:lang w:val="en-US" w:eastAsia="zh-CN"/>
        </w:rPr>
        <w:t>税</w:t>
      </w:r>
      <w:r>
        <w:rPr>
          <w:rFonts w:hint="eastAsia"/>
        </w:rPr>
        <w:t>信息简报》</w:t>
      </w:r>
      <w:r>
        <w:t>62期，《南雄地税信息专报》56期，被</w:t>
      </w:r>
      <w:r>
        <w:rPr>
          <w:rFonts w:hint="eastAsia"/>
          <w:lang w:val="en-US" w:eastAsia="zh-CN"/>
        </w:rPr>
        <w:t>广</w:t>
      </w:r>
      <w:r>
        <w:rPr>
          <w:rFonts w:hint="eastAsia"/>
        </w:rPr>
        <w:t>东省地税局采用信息</w:t>
      </w:r>
      <w:r>
        <w:t>1篇，韶关市局采用信息32篇</w:t>
      </w:r>
      <w:r>
        <w:rPr>
          <w:rFonts w:hint="eastAsia"/>
          <w:lang w:eastAsia="zh-CN"/>
        </w:rPr>
        <w:t>。</w:t>
      </w:r>
    </w:p>
    <w:p w14:paraId="7932EE90">
      <w:pPr>
        <w:pStyle w:val="4"/>
        <w:bidi w:val="0"/>
        <w:rPr>
          <w:rFonts w:hint="eastAsia"/>
        </w:rPr>
      </w:pPr>
      <w:r>
        <w:rPr>
          <w:rFonts w:hint="eastAsia"/>
        </w:rPr>
        <w:t>【党风</w:t>
      </w:r>
      <w:r>
        <w:rPr>
          <w:rFonts w:hint="eastAsia"/>
          <w:lang w:val="en-US" w:eastAsia="zh-CN"/>
        </w:rPr>
        <w:t>廉</w:t>
      </w:r>
      <w:r>
        <w:rPr>
          <w:rFonts w:hint="eastAsia"/>
        </w:rPr>
        <w:t>政建设】</w:t>
      </w:r>
    </w:p>
    <w:p w14:paraId="4A67EF42">
      <w:pPr>
        <w:rPr>
          <w:rFonts w:hint="eastAsia"/>
        </w:rPr>
      </w:pPr>
      <w:r>
        <w:rPr>
          <w:rFonts w:hint="eastAsia"/>
        </w:rPr>
        <w:t>一是强化责任落实。</w:t>
      </w:r>
      <w:r>
        <w:t>4月1日，</w:t>
      </w:r>
      <w:r>
        <w:rPr>
          <w:rFonts w:hint="eastAsia"/>
        </w:rPr>
        <w:t>召开党风廉政建设工作会议，总结</w:t>
      </w:r>
      <w:r>
        <w:t>2012年党风廉</w:t>
      </w:r>
      <w:r>
        <w:rPr>
          <w:rFonts w:hint="eastAsia"/>
        </w:rPr>
        <w:t>政建设工作情况，部署</w:t>
      </w:r>
      <w:r>
        <w:t>2013年党风廉政建设工作</w:t>
      </w:r>
      <w:r>
        <w:rPr>
          <w:rFonts w:hint="eastAsia"/>
        </w:rPr>
        <w:t>任务。二是扎实开展反腐倡廉警示教育活动。</w:t>
      </w:r>
      <w:r>
        <w:t>6月7日和14日，分2批组织于部职工到检察院集中参</w:t>
      </w:r>
      <w:r>
        <w:rPr>
          <w:rFonts w:hint="eastAsia"/>
        </w:rPr>
        <w:t>观反腐倡廉图片、案例，让全体干部职工亲临现场接受廉政警示教育，促使税务人员依法行政，廉洁从税。全体人员还参与填写预防职务犯罪问卷调</w:t>
      </w:r>
      <w:r>
        <w:rPr>
          <w:rFonts w:hint="eastAsia"/>
          <w:lang w:eastAsia="zh-CN"/>
        </w:rPr>
        <w:t>查</w:t>
      </w:r>
      <w:r>
        <w:rPr>
          <w:rFonts w:hint="eastAsia"/>
        </w:rPr>
        <w:t>表，针对预防渎职犯罪主动建言献策。三是加强“两权”监督。建立内外结合的预防预警平台，严格落实各项管理制度，重点加强内审工作，厉行节约，规范“三公”经费开支。实行党务和政务公开，加强外部监督，邀请“阳光使者”参加企业减免税评议，监督减免税审核的全过程，提高执行政策的透明度。</w:t>
      </w:r>
    </w:p>
    <w:p w14:paraId="2AF69ACE">
      <w:pPr>
        <w:pStyle w:val="4"/>
        <w:bidi w:val="0"/>
        <w:rPr>
          <w:rFonts w:hint="eastAsia"/>
        </w:rPr>
      </w:pPr>
      <w:r>
        <w:rPr>
          <w:rFonts w:hint="eastAsia"/>
        </w:rPr>
        <w:t>【精神文明建设】</w:t>
      </w:r>
    </w:p>
    <w:p w14:paraId="1FD0472E">
      <w:pPr>
        <w:rPr>
          <w:rFonts w:hint="eastAsia"/>
        </w:rPr>
      </w:pPr>
      <w:r>
        <w:rPr>
          <w:rFonts w:hint="eastAsia"/>
        </w:rPr>
        <w:t>开展文明创建活动。充分发挥工青妇职能作用，举办干部职工运动会、篮球比赛等活动，不断丰富干部职工的业余文化生活。扎实做好扶贫开发“双到”工作。抽调一名干部专门驻村抓落实，为新的扶贫点（水口镇石庄村）</w:t>
      </w:r>
      <w:r>
        <w:rPr>
          <w:rFonts w:hint="eastAsia"/>
          <w:lang w:val="en-US" w:eastAsia="zh-CN"/>
        </w:rPr>
        <w:t>拨</w:t>
      </w:r>
      <w:r>
        <w:rPr>
          <w:rFonts w:hint="eastAsia"/>
        </w:rPr>
        <w:t>款</w:t>
      </w:r>
      <w:r>
        <w:t>10万元，干部职工捐款3万多元；局领导深入到扶</w:t>
      </w:r>
      <w:r>
        <w:rPr>
          <w:rFonts w:hint="eastAsia"/>
        </w:rPr>
        <w:t>贫点开展“走访”慰问困难老党员活动，送上慰问品，让他们切实感受到党组织的关怀和温暖。全体干部职工在“广东省扶贫济困日”踊跃捐款</w:t>
      </w:r>
      <w:r>
        <w:t>28800</w:t>
      </w:r>
      <w:r>
        <w:rPr>
          <w:rFonts w:hint="eastAsia"/>
        </w:rPr>
        <w:t>元；其中单位捐款</w:t>
      </w:r>
      <w:r>
        <w:t>5000元、个人捐款23800元。局</w:t>
      </w:r>
      <w:r>
        <w:rPr>
          <w:rFonts w:hint="eastAsia"/>
        </w:rPr>
        <w:t>主要领导开展慰问在职和退休干部、职工患严重疾病的困难救急活动，争取韶关市局专项经费</w:t>
      </w:r>
      <w:r>
        <w:t>15万</w:t>
      </w:r>
      <w:r>
        <w:rPr>
          <w:rFonts w:hint="eastAsia"/>
        </w:rPr>
        <w:t>元，发给胡宝莲等</w:t>
      </w:r>
      <w:r>
        <w:t>14名生活困难补助。2013年4</w:t>
      </w:r>
      <w:r>
        <w:rPr>
          <w:rFonts w:hint="eastAsia"/>
        </w:rPr>
        <w:t>月被广东省委办公厅、广东省人民政府办公厅评为广东省扶贫开发“规划到户、责任到人”工作优秀单位。</w:t>
      </w:r>
    </w:p>
    <w:p w14:paraId="330C0CC5">
      <w:pPr>
        <w:jc w:val="right"/>
        <w:rPr>
          <w:rFonts w:hint="eastAsia"/>
          <w:b/>
          <w:bCs/>
          <w:lang w:eastAsia="zh-CN"/>
        </w:rPr>
      </w:pPr>
      <w:r>
        <w:rPr>
          <w:rFonts w:hint="eastAsia"/>
          <w:b/>
          <w:bCs/>
        </w:rPr>
        <w:t>（贾保平</w:t>
      </w:r>
      <w:r>
        <w:rPr>
          <w:rFonts w:hint="eastAsia"/>
          <w:b/>
          <w:bCs/>
          <w:lang w:eastAsia="zh-CN"/>
        </w:rPr>
        <w:t>）</w:t>
      </w:r>
    </w:p>
    <w:p w14:paraId="045062E7">
      <w:pPr>
        <w:pStyle w:val="10"/>
        <w:bidi w:val="0"/>
        <w:rPr>
          <w:b/>
          <w:bCs/>
        </w:rPr>
      </w:pPr>
      <w:r>
        <w:rPr>
          <w:rFonts w:hint="eastAsia"/>
          <w:b/>
          <w:bCs/>
        </w:rPr>
        <w:t>附：</w:t>
      </w:r>
      <w:r>
        <w:rPr>
          <w:b/>
          <w:bCs/>
        </w:rPr>
        <w:t>2013年市地税局领导班子成员名单</w:t>
      </w:r>
    </w:p>
    <w:p w14:paraId="540F918D">
      <w:pPr>
        <w:pStyle w:val="10"/>
        <w:bidi w:val="0"/>
      </w:pPr>
      <w:r>
        <w:rPr>
          <w:rFonts w:hint="eastAsia"/>
          <w:b/>
          <w:bCs/>
        </w:rPr>
        <w:t>局</w:t>
      </w:r>
      <w:r>
        <w:rPr>
          <w:rFonts w:hint="eastAsia"/>
          <w:b/>
          <w:bCs/>
          <w:lang w:val="en-US" w:eastAsia="zh-CN"/>
        </w:rPr>
        <w:t xml:space="preserve">    </w:t>
      </w:r>
      <w:r>
        <w:rPr>
          <w:rFonts w:hint="eastAsia"/>
          <w:b/>
          <w:bCs/>
        </w:rPr>
        <w:t>长：</w:t>
      </w:r>
      <w:r>
        <w:rPr>
          <w:rFonts w:hint="eastAsia"/>
        </w:rPr>
        <w:t>罗少林（任至</w:t>
      </w:r>
      <w:r>
        <w:t>12月）</w:t>
      </w:r>
    </w:p>
    <w:p w14:paraId="0AE43130">
      <w:pPr>
        <w:pStyle w:val="10"/>
        <w:bidi w:val="0"/>
        <w:ind w:leftChars="500"/>
      </w:pPr>
      <w:r>
        <w:rPr>
          <w:rFonts w:hint="eastAsia"/>
        </w:rPr>
        <w:t>刘文新（</w:t>
      </w:r>
      <w:r>
        <w:t>12月任）</w:t>
      </w:r>
    </w:p>
    <w:p w14:paraId="6CA8CDCB">
      <w:pPr>
        <w:pStyle w:val="10"/>
        <w:bidi w:val="0"/>
        <w:rPr>
          <w:rFonts w:hint="eastAsia"/>
        </w:rPr>
      </w:pPr>
      <w:r>
        <w:rPr>
          <w:rFonts w:hint="eastAsia"/>
          <w:b/>
          <w:bCs/>
        </w:rPr>
        <w:t>副</w:t>
      </w:r>
      <w:r>
        <w:rPr>
          <w:rFonts w:hint="eastAsia"/>
          <w:b/>
          <w:bCs/>
          <w:lang w:val="en-US" w:eastAsia="zh-CN"/>
        </w:rPr>
        <w:t xml:space="preserve"> </w:t>
      </w:r>
      <w:r>
        <w:rPr>
          <w:rFonts w:hint="eastAsia"/>
          <w:b/>
          <w:bCs/>
        </w:rPr>
        <w:t>局</w:t>
      </w:r>
      <w:r>
        <w:rPr>
          <w:rFonts w:hint="eastAsia"/>
          <w:b/>
          <w:bCs/>
          <w:lang w:val="en-US" w:eastAsia="zh-CN"/>
        </w:rPr>
        <w:t xml:space="preserve"> </w:t>
      </w:r>
      <w:r>
        <w:rPr>
          <w:rFonts w:hint="eastAsia"/>
          <w:b/>
          <w:bCs/>
        </w:rPr>
        <w:t>长：</w:t>
      </w:r>
      <w:r>
        <w:rPr>
          <w:rFonts w:hint="eastAsia"/>
        </w:rPr>
        <w:t>陈耀全</w:t>
      </w:r>
      <w:r>
        <w:rPr>
          <w:rFonts w:hint="eastAsia"/>
          <w:lang w:val="en-US" w:eastAsia="zh-CN"/>
        </w:rPr>
        <w:t xml:space="preserve">   </w:t>
      </w:r>
      <w:r>
        <w:rPr>
          <w:rFonts w:hint="eastAsia"/>
        </w:rPr>
        <w:t>肖祝林</w:t>
      </w:r>
    </w:p>
    <w:p w14:paraId="7B7F35A5">
      <w:pPr>
        <w:pStyle w:val="10"/>
        <w:bidi w:val="0"/>
        <w:rPr>
          <w:rFonts w:hint="eastAsia"/>
        </w:rPr>
      </w:pPr>
      <w:r>
        <w:rPr>
          <w:rFonts w:hint="eastAsia"/>
          <w:b/>
          <w:bCs/>
        </w:rPr>
        <w:t>纪检组长：</w:t>
      </w:r>
      <w:r>
        <w:rPr>
          <w:rFonts w:hint="eastAsia"/>
        </w:rPr>
        <w:t>郭慧虹</w:t>
      </w:r>
    </w:p>
    <w:p w14:paraId="7BE97B2E">
      <w:pPr>
        <w:pStyle w:val="10"/>
        <w:bidi w:val="0"/>
        <w:rPr>
          <w:rFonts w:hint="eastAsia"/>
        </w:rPr>
      </w:pPr>
      <w:r>
        <w:rPr>
          <w:rFonts w:hint="eastAsia"/>
          <w:b/>
          <w:bCs/>
        </w:rPr>
        <w:t>总经济师：</w:t>
      </w:r>
      <w:r>
        <w:rPr>
          <w:rFonts w:hint="eastAsia"/>
        </w:rPr>
        <w:t>周</w:t>
      </w:r>
      <w:r>
        <w:rPr>
          <w:rFonts w:hint="eastAsia"/>
          <w:lang w:val="en-US" w:eastAsia="zh-CN"/>
        </w:rPr>
        <w:t xml:space="preserve">  </w:t>
      </w:r>
      <w:r>
        <w:rPr>
          <w:rFonts w:hint="eastAsia"/>
        </w:rPr>
        <w:t>平</w:t>
      </w:r>
    </w:p>
    <w:p w14:paraId="180ED58B">
      <w:pPr>
        <w:pStyle w:val="3"/>
        <w:bidi w:val="0"/>
        <w:rPr>
          <w:rFonts w:hint="eastAsia"/>
        </w:rPr>
      </w:pPr>
      <w:r>
        <w:t>中国人民银行南雄市支行</w:t>
      </w:r>
    </w:p>
    <w:p w14:paraId="26DA8070">
      <w:pPr>
        <w:pStyle w:val="4"/>
        <w:bidi w:val="0"/>
        <w:rPr>
          <w:rFonts w:hint="eastAsia"/>
        </w:rPr>
      </w:pPr>
      <w:r>
        <w:rPr>
          <w:rFonts w:hint="eastAsia"/>
        </w:rPr>
        <w:t>【概况】</w:t>
      </w:r>
    </w:p>
    <w:p w14:paraId="5E053664">
      <w:pPr>
        <w:rPr>
          <w:rFonts w:hint="eastAsia"/>
          <w:lang w:eastAsia="zh-CN"/>
        </w:rPr>
      </w:pPr>
      <w:r>
        <w:t>2013年，中国人民银行南雄市支行在职</w:t>
      </w:r>
      <w:r>
        <w:rPr>
          <w:rFonts w:hint="eastAsia"/>
        </w:rPr>
        <w:t>员工</w:t>
      </w:r>
      <w:r>
        <w:t>24人，其中行长1人，副行长2人，副主任科</w:t>
      </w:r>
      <w:r>
        <w:rPr>
          <w:rFonts w:hint="eastAsia"/>
        </w:rPr>
        <w:t>员</w:t>
      </w:r>
      <w:r>
        <w:t>1人，科员20人。内设“三股一室”四个职能</w:t>
      </w:r>
      <w:r>
        <w:rPr>
          <w:rFonts w:hint="eastAsia"/>
        </w:rPr>
        <w:t>部门，分别是办公室、综合业务股、外汇管理股和会计国库股。依法履行中央银行职能，负责对南雄市金融机构贯彻执行货币政策，防范系统性金融风险及其支付结算、票据清算、经理国库、反洗钱、征信、反假货币、现金、外汇等业务管理和金融服务工作</w:t>
      </w:r>
      <w:r>
        <w:rPr>
          <w:rFonts w:hint="eastAsia"/>
          <w:lang w:eastAsia="zh-CN"/>
        </w:rPr>
        <w:t>。</w:t>
      </w:r>
    </w:p>
    <w:p w14:paraId="3E056BAF">
      <w:pPr>
        <w:pStyle w:val="4"/>
        <w:bidi w:val="0"/>
        <w:rPr>
          <w:rFonts w:hint="eastAsia"/>
        </w:rPr>
      </w:pPr>
      <w:r>
        <w:rPr>
          <w:rFonts w:hint="eastAsia"/>
          <w:lang w:eastAsia="zh-CN"/>
        </w:rPr>
        <w:t>【</w:t>
      </w:r>
      <w:r>
        <w:rPr>
          <w:rFonts w:hint="eastAsia"/>
        </w:rPr>
        <w:t>加强窗口指导服务】</w:t>
      </w:r>
    </w:p>
    <w:p w14:paraId="4CDAB53E">
      <w:pPr>
        <w:rPr>
          <w:rFonts w:hint="eastAsia"/>
        </w:rPr>
      </w:pPr>
      <w:r>
        <w:rPr>
          <w:rFonts w:hint="eastAsia"/>
        </w:rPr>
        <w:t>一是为南雄市经济全面协调发展提供金融支持意见，制定《二○一三年货币信贷指导意见》。二是按季召开金融</w:t>
      </w:r>
      <w:r>
        <w:rPr>
          <w:rFonts w:hint="eastAsia"/>
          <w:lang w:eastAsia="zh-CN"/>
        </w:rPr>
        <w:t>联席会议</w:t>
      </w:r>
      <w:r>
        <w:rPr>
          <w:rFonts w:hint="eastAsia"/>
        </w:rPr>
        <w:t>，加强与政府、政府部门、企业、证券、保险及金融机构沟通、联系，充分发挥会议作用，提高货币政策实效性。三是提升农村金融服务能力，</w:t>
      </w:r>
      <w:r>
        <w:t>2013年人民</w:t>
      </w:r>
      <w:r>
        <w:rPr>
          <w:rFonts w:hint="eastAsia"/>
        </w:rPr>
        <w:t>银行南雄市支行引导金融机构推出手机转帐支付方式、银行卡自助循环贷、温氏养殖宝、妇女创业贷款、青年创业贷款、红色创业贷款等金融业务，进</w:t>
      </w:r>
      <w:r>
        <w:rPr>
          <w:rFonts w:hint="eastAsia"/>
          <w:lang w:val="en-US" w:eastAsia="zh-CN"/>
        </w:rPr>
        <w:t>一</w:t>
      </w:r>
      <w:r>
        <w:rPr>
          <w:rFonts w:hint="eastAsia"/>
        </w:rPr>
        <w:t>步提升“三农”金融服务能力。截止</w:t>
      </w:r>
      <w:r>
        <w:t>2013年末，</w:t>
      </w:r>
      <w:r>
        <w:rPr>
          <w:rFonts w:hint="eastAsia"/>
        </w:rPr>
        <w:t>累计发放银行卡自助循环贷</w:t>
      </w:r>
      <w:r>
        <w:t>291户，贷款累放1342</w:t>
      </w:r>
      <w:r>
        <w:rPr>
          <w:rFonts w:hint="eastAsia"/>
        </w:rPr>
        <w:t>万元；温氏养殖宝贷款</w:t>
      </w:r>
      <w:r>
        <w:t>51笔，贷款累放442万元；</w:t>
      </w:r>
      <w:r>
        <w:rPr>
          <w:rFonts w:hint="eastAsia"/>
        </w:rPr>
        <w:t>累放红色创业贷款</w:t>
      </w:r>
      <w:r>
        <w:t>9户，发放贷款68万元；累放</w:t>
      </w:r>
      <w:r>
        <w:rPr>
          <w:rFonts w:hint="eastAsia"/>
        </w:rPr>
        <w:t>妇女创业贷款</w:t>
      </w:r>
      <w:r>
        <w:t>47笔224万元，累放青年创业贷款37笔209万元。四是与政府共同制定金融机构信贷</w:t>
      </w:r>
      <w:r>
        <w:rPr>
          <w:rFonts w:hint="eastAsia"/>
        </w:rPr>
        <w:t>奖励办法，激励各金融机构积极支持地方经济发展。全年新增贷款达到</w:t>
      </w:r>
      <w:r>
        <w:t>14.4亿元，增幅达到62.5%，信贷增量和</w:t>
      </w:r>
      <w:r>
        <w:rPr>
          <w:rFonts w:hint="eastAsia"/>
          <w:lang w:eastAsia="zh-CN"/>
        </w:rPr>
        <w:t>增</w:t>
      </w:r>
      <w:r>
        <w:t>幅均名列全辖第一，得到地</w:t>
      </w:r>
      <w:r>
        <w:rPr>
          <w:rFonts w:hint="eastAsia"/>
        </w:rPr>
        <w:t>方政府高度好评。</w:t>
      </w:r>
    </w:p>
    <w:p w14:paraId="066D63F8">
      <w:pPr>
        <w:pStyle w:val="4"/>
        <w:bidi w:val="0"/>
        <w:rPr>
          <w:rFonts w:hint="eastAsia"/>
        </w:rPr>
      </w:pPr>
      <w:r>
        <w:rPr>
          <w:rFonts w:hint="eastAsia"/>
        </w:rPr>
        <w:t>【创新四项金融产品】</w:t>
      </w:r>
    </w:p>
    <w:p w14:paraId="1D536D41">
      <w:pPr>
        <w:rPr>
          <w:rFonts w:hint="eastAsia"/>
        </w:rPr>
      </w:pPr>
      <w:r>
        <w:rPr>
          <w:rFonts w:hint="eastAsia"/>
        </w:rPr>
        <w:t>一是成立《南雄市中小微企业贷款风险补偿基金》，在中支万行长亲自指导下，由南雄市政府财政拨付专项资金</w:t>
      </w:r>
      <w:r>
        <w:t>1000万元，</w:t>
      </w:r>
      <w:r>
        <w:rPr>
          <w:rFonts w:hint="eastAsia"/>
        </w:rPr>
        <w:t>成立风险补偿基金，为南雄市中小微企业融资提供信贷风险补偿，目前</w:t>
      </w:r>
      <w:r>
        <w:rPr>
          <w:rFonts w:hint="eastAsia"/>
          <w:lang w:val="en-US" w:eastAsia="zh-CN"/>
        </w:rPr>
        <w:t>已</w:t>
      </w:r>
      <w:r>
        <w:rPr>
          <w:rFonts w:hint="eastAsia"/>
        </w:rPr>
        <w:t>向企业发放短期过渡性资金支持</w:t>
      </w:r>
      <w:r>
        <w:t>1350万元；二是在县域第一个开办助保贷业</w:t>
      </w:r>
      <w:r>
        <w:rPr>
          <w:rFonts w:hint="eastAsia"/>
        </w:rPr>
        <w:t>务，由政府出资</w:t>
      </w:r>
      <w:r>
        <w:t>500万元作为启动资金，已向4家</w:t>
      </w:r>
      <w:r>
        <w:rPr>
          <w:rFonts w:hint="eastAsia"/>
        </w:rPr>
        <w:t>中小企业发放助保贷业务</w:t>
      </w:r>
      <w:r>
        <w:t>3150万元，尚有7家企</w:t>
      </w:r>
      <w:r>
        <w:rPr>
          <w:rFonts w:hint="eastAsia"/>
        </w:rPr>
        <w:t>业正在申请助保贷</w:t>
      </w:r>
      <w:r>
        <w:t>6800万元；三是发挥雄健担保</w:t>
      </w:r>
      <w:r>
        <w:rPr>
          <w:rFonts w:hint="eastAsia"/>
        </w:rPr>
        <w:t>公司作用。该担保公司由政府注资</w:t>
      </w:r>
      <w:r>
        <w:t>5000万元成立，</w:t>
      </w:r>
      <w:r>
        <w:rPr>
          <w:rFonts w:hint="eastAsia"/>
        </w:rPr>
        <w:t>是韶关市两家政策性担保公司，担保贷款余额已经达到</w:t>
      </w:r>
      <w:r>
        <w:t>2.43亿元；四是推动金友小额贷款公司业务</w:t>
      </w:r>
      <w:r>
        <w:rPr>
          <w:rFonts w:hint="eastAsia"/>
        </w:rPr>
        <w:t>开展。该贷款公司由南雄金友集团出资</w:t>
      </w:r>
      <w:r>
        <w:t>1000万元</w:t>
      </w:r>
      <w:r>
        <w:rPr>
          <w:rFonts w:hint="eastAsia"/>
        </w:rPr>
        <w:t>成立，目前贷款余额</w:t>
      </w:r>
      <w:r>
        <w:t>1473万元。四项金融产品形</w:t>
      </w:r>
      <w:r>
        <w:rPr>
          <w:rFonts w:hint="eastAsia"/>
        </w:rPr>
        <w:t>成四驾马车，有效拉动南雄经济金融协调发展。</w:t>
      </w:r>
    </w:p>
    <w:p w14:paraId="7A1544C2">
      <w:pPr>
        <w:pStyle w:val="4"/>
        <w:bidi w:val="0"/>
        <w:rPr>
          <w:rFonts w:hint="eastAsia"/>
        </w:rPr>
      </w:pPr>
      <w:r>
        <w:rPr>
          <w:rFonts w:hint="eastAsia"/>
        </w:rPr>
        <w:t>【搭建中小微企业融资平台】</w:t>
      </w:r>
    </w:p>
    <w:p w14:paraId="4DED05BB">
      <w:pPr>
        <w:rPr>
          <w:rFonts w:hint="eastAsia"/>
        </w:rPr>
      </w:pPr>
      <w:r>
        <w:rPr>
          <w:rFonts w:hint="eastAsia"/>
        </w:rPr>
        <w:t>开展“</w:t>
      </w:r>
      <w:r>
        <w:t>2013年中小</w:t>
      </w:r>
      <w:r>
        <w:rPr>
          <w:rFonts w:hint="eastAsia"/>
        </w:rPr>
        <w:t>微企业贷款风险补偿基金会启动仪式暨金融产品推介会”活动，促进政银企密切沟通，有效缓解中小微企业融资难问题，现场与企业签订贷款合同</w:t>
      </w:r>
      <w:r>
        <w:t>1.4</w:t>
      </w:r>
      <w:r>
        <w:rPr>
          <w:rFonts w:hint="eastAsia"/>
        </w:rPr>
        <w:t>亿元，取得良好社会效果，地方政府多次在全市大会上表扬金融机构尤其是人民银行付出的努力和取得的实效</w:t>
      </w:r>
    </w:p>
    <w:p w14:paraId="5D0130DE">
      <w:pPr>
        <w:pStyle w:val="4"/>
        <w:bidi w:val="0"/>
        <w:rPr>
          <w:rFonts w:hint="eastAsia"/>
        </w:rPr>
      </w:pPr>
      <w:r>
        <w:rPr>
          <w:rFonts w:hint="eastAsia"/>
          <w:lang w:eastAsia="zh-CN"/>
        </w:rPr>
        <w:t>【</w:t>
      </w:r>
      <w:r>
        <w:rPr>
          <w:rFonts w:hint="eastAsia"/>
        </w:rPr>
        <w:t>争取上级行支农政策倾斜】</w:t>
      </w:r>
    </w:p>
    <w:p w14:paraId="22BD8D75">
      <w:pPr>
        <w:rPr>
          <w:rFonts w:hint="eastAsia"/>
        </w:rPr>
      </w:pPr>
      <w:r>
        <w:rPr>
          <w:rFonts w:hint="eastAsia"/>
        </w:rPr>
        <w:t>在中支行领导及货信部门支持下，向南雄农村信用社发放支农再贷款</w:t>
      </w:r>
      <w:r>
        <w:t>8500万元，有力支持地方“三农”经济发展。得</w:t>
      </w:r>
      <w:r>
        <w:rPr>
          <w:rFonts w:hint="eastAsia"/>
        </w:rPr>
        <w:t>到南雄市委市政府肯定。</w:t>
      </w:r>
    </w:p>
    <w:p w14:paraId="3BDF1AD2">
      <w:pPr>
        <w:pStyle w:val="4"/>
        <w:bidi w:val="0"/>
        <w:rPr>
          <w:rFonts w:hint="eastAsia"/>
        </w:rPr>
      </w:pPr>
      <w:r>
        <w:rPr>
          <w:rFonts w:hint="eastAsia"/>
        </w:rPr>
        <w:t>【举办南雄市金融</w:t>
      </w:r>
      <w:r>
        <w:t>IC卡多行业应用</w:t>
      </w:r>
      <w:r>
        <w:rPr>
          <w:rFonts w:hint="eastAsia"/>
          <w:lang w:val="en-US" w:eastAsia="zh-CN"/>
        </w:rPr>
        <w:t>暨</w:t>
      </w:r>
      <w:r>
        <w:t>旅游数字化启</w:t>
      </w:r>
      <w:r>
        <w:rPr>
          <w:rFonts w:hint="eastAsia"/>
        </w:rPr>
        <w:t>动仪式】</w:t>
      </w:r>
    </w:p>
    <w:p w14:paraId="3DF26CC2">
      <w:pPr>
        <w:rPr>
          <w:rFonts w:hint="eastAsia"/>
        </w:rPr>
      </w:pPr>
      <w:r>
        <w:t>12月3日，在南雄三影塔广场成功召开</w:t>
      </w:r>
      <w:r>
        <w:rPr>
          <w:rFonts w:hint="eastAsia"/>
        </w:rPr>
        <w:t>南雄市金融</w:t>
      </w:r>
      <w:r>
        <w:t>IC卡多行业应用暨旅游数字化启动仪</w:t>
      </w:r>
      <w:r>
        <w:rPr>
          <w:rFonts w:hint="eastAsia"/>
        </w:rPr>
        <w:t>式，南雄市委刘书记、市政府曾市长、袁副市长、中支万行长、关副行长出席活动，相关信息在《南方日报》、《韶关日报》刊登，并在南雄电视台全程播报，极大地提升南雄旅游形象，提高旅游收入</w:t>
      </w:r>
      <w:r>
        <w:rPr>
          <w:rFonts w:hint="eastAsia"/>
          <w:lang w:eastAsia="zh-CN"/>
        </w:rPr>
        <w:t>，</w:t>
      </w:r>
      <w:r>
        <w:rPr>
          <w:rFonts w:hint="eastAsia"/>
        </w:rPr>
        <w:t>推动金融</w:t>
      </w:r>
      <w:r>
        <w:t>IC卡多行业应用，实现政府银行企业三</w:t>
      </w:r>
      <w:r>
        <w:rPr>
          <w:rFonts w:hint="eastAsia"/>
        </w:rPr>
        <w:t>赢，为全省金融</w:t>
      </w:r>
      <w:r>
        <w:rPr>
          <w:rFonts w:hint="eastAsia"/>
          <w:lang w:val="en-US" w:eastAsia="zh-CN"/>
        </w:rPr>
        <w:t>I</w:t>
      </w:r>
      <w:r>
        <w:t>C卡商圈试点工作做出示范，得</w:t>
      </w:r>
      <w:r>
        <w:rPr>
          <w:rFonts w:hint="eastAsia"/>
        </w:rPr>
        <w:t>到广州分行科技处好评，在广州分行科技工作电视电话会议中特别表扬南雄金融</w:t>
      </w:r>
      <w:r>
        <w:t>IC卡多行业应用所</w:t>
      </w:r>
      <w:r>
        <w:rPr>
          <w:rFonts w:hint="eastAsia"/>
        </w:rPr>
        <w:t>取得的成效。</w:t>
      </w:r>
    </w:p>
    <w:p w14:paraId="61B14EDB">
      <w:pPr>
        <w:pStyle w:val="4"/>
        <w:bidi w:val="0"/>
        <w:rPr>
          <w:rFonts w:hint="eastAsia"/>
        </w:rPr>
      </w:pPr>
      <w:r>
        <w:rPr>
          <w:rFonts w:hint="eastAsia"/>
        </w:rPr>
        <w:t>【农村助农取款】</w:t>
      </w:r>
    </w:p>
    <w:p w14:paraId="34D204EA">
      <w:pPr>
        <w:rPr>
          <w:rFonts w:hint="eastAsia"/>
          <w:lang w:val="en-US" w:eastAsia="zh-CN"/>
        </w:rPr>
      </w:pPr>
      <w:r>
        <w:rPr>
          <w:rFonts w:hint="eastAsia"/>
        </w:rPr>
        <w:t>从</w:t>
      </w:r>
      <w:r>
        <w:t>2011年底南雄下坪村第一个</w:t>
      </w:r>
      <w:r>
        <w:rPr>
          <w:rFonts w:hint="eastAsia"/>
        </w:rPr>
        <w:t>试点铺设</w:t>
      </w:r>
      <w:r>
        <w:t>POS机具以来，南雄支行克服种种困难，</w:t>
      </w:r>
      <w:r>
        <w:rPr>
          <w:rFonts w:hint="eastAsia"/>
        </w:rPr>
        <w:t>在南雄市</w:t>
      </w:r>
      <w:r>
        <w:t>208个行政村铺设226个助农取款服务</w:t>
      </w:r>
      <w:r>
        <w:rPr>
          <w:rFonts w:hint="eastAsia"/>
        </w:rPr>
        <w:t>点，实现村最多、点最多、完成时间最快的目标，这项工作得到中支和地方政府大力支持，南雄市第</w:t>
      </w:r>
      <w:r>
        <w:rPr>
          <w:rFonts w:hint="eastAsia"/>
          <w:lang w:val="en-US" w:eastAsia="zh-CN"/>
        </w:rPr>
        <w:t>一</w:t>
      </w:r>
      <w:r>
        <w:rPr>
          <w:rFonts w:hint="eastAsia"/>
        </w:rPr>
        <w:t>个得到地方政府补贴，为所有助农取款服务点发放补贴，确保工作顺利推进。截止</w:t>
      </w:r>
      <w:r>
        <w:t>2013年12月</w:t>
      </w:r>
      <w:r>
        <w:rPr>
          <w:rFonts w:hint="eastAsia"/>
        </w:rPr>
        <w:t>底，南雄助农取款额已经突破</w:t>
      </w:r>
      <w:r>
        <w:t>300万元，</w:t>
      </w:r>
      <w:r>
        <w:rPr>
          <w:rFonts w:hint="eastAsia"/>
          <w:lang w:eastAsia="zh-CN"/>
        </w:rPr>
        <w:t>查</w:t>
      </w:r>
      <w:r>
        <w:t>询量及</w:t>
      </w:r>
      <w:r>
        <w:rPr>
          <w:rFonts w:hint="eastAsia"/>
        </w:rPr>
        <w:t>取款量均名列全辖第</w:t>
      </w:r>
      <w:r>
        <w:rPr>
          <w:rFonts w:hint="eastAsia"/>
          <w:lang w:val="en-US" w:eastAsia="zh-CN"/>
        </w:rPr>
        <w:t>一。</w:t>
      </w:r>
    </w:p>
    <w:p w14:paraId="7E72D2C5">
      <w:pPr>
        <w:pStyle w:val="4"/>
        <w:bidi w:val="0"/>
        <w:rPr>
          <w:rFonts w:hint="eastAsia"/>
        </w:rPr>
      </w:pPr>
      <w:r>
        <w:rPr>
          <w:rFonts w:hint="eastAsia"/>
          <w:lang w:eastAsia="zh-CN"/>
        </w:rPr>
        <w:t>【</w:t>
      </w:r>
      <w:r>
        <w:rPr>
          <w:rFonts w:hint="eastAsia"/>
        </w:rPr>
        <w:t>成为广东省首个农村惠农手机支付试点地区】</w:t>
      </w:r>
    </w:p>
    <w:p w14:paraId="26E1E9ED">
      <w:pPr>
        <w:rPr>
          <w:rFonts w:hint="eastAsia"/>
        </w:rPr>
      </w:pPr>
      <w:r>
        <w:rPr>
          <w:rFonts w:hint="eastAsia"/>
        </w:rPr>
        <w:t>在</w:t>
      </w:r>
      <w:r>
        <w:t>2012年南雄市帽子峰镇试点成功基础上，2013</w:t>
      </w:r>
      <w:r>
        <w:rPr>
          <w:rFonts w:hint="eastAsia"/>
        </w:rPr>
        <w:t>年</w:t>
      </w:r>
      <w:r>
        <w:t>9月在南雄18个镇（街道）全面铺开农村手机</w:t>
      </w:r>
      <w:r>
        <w:rPr>
          <w:rFonts w:hint="eastAsia"/>
        </w:rPr>
        <w:t>支付试点工作，试点工作在《南方日报》、《韶关日报》报道，新浪网、腾讯网等六大知名网站刊登同时接受广东省南方电视台采访，在韶关市及南雄电视台多次播报。</w:t>
      </w:r>
      <w:r>
        <w:t>11月，支付结算处组织全省6个</w:t>
      </w:r>
      <w:r>
        <w:rPr>
          <w:rFonts w:hint="eastAsia"/>
        </w:rPr>
        <w:t>中支到南雄学习农村惠农手机支付工作先进经验，南雄市农村惠农手机支付业务工作走全省前列。</w:t>
      </w:r>
      <w:r>
        <w:rPr>
          <w:rFonts w:hint="eastAsia"/>
          <w:lang w:val="en-US" w:eastAsia="zh-CN"/>
        </w:rPr>
        <w:t>广</w:t>
      </w:r>
      <w:r>
        <w:rPr>
          <w:rFonts w:hint="eastAsia"/>
        </w:rPr>
        <w:t>州分行李升高、丘斌、李丹儿等行领导先后莅临南雄现场指导农村惠农手机支付工作开展，给予高度肯定，鼓励支行和农户齐心协力做好试点工作，为全省作出表率。</w:t>
      </w:r>
    </w:p>
    <w:p w14:paraId="6A120F1C">
      <w:pPr>
        <w:pStyle w:val="4"/>
        <w:bidi w:val="0"/>
        <w:rPr>
          <w:rFonts w:hint="eastAsia"/>
        </w:rPr>
      </w:pPr>
      <w:r>
        <w:rPr>
          <w:rFonts w:hint="eastAsia"/>
          <w:lang w:eastAsia="zh-CN"/>
        </w:rPr>
        <w:t>【</w:t>
      </w:r>
      <w:r>
        <w:rPr>
          <w:rFonts w:hint="eastAsia"/>
        </w:rPr>
        <w:t>成立韶关市首个联合征信服务中心】</w:t>
      </w:r>
    </w:p>
    <w:p w14:paraId="2E08B777">
      <w:pPr>
        <w:rPr>
          <w:rFonts w:hint="eastAsia"/>
        </w:rPr>
      </w:pPr>
      <w:r>
        <w:rPr>
          <w:rFonts w:hint="eastAsia"/>
        </w:rPr>
        <w:t>南雄支行配合地方做政府做好两建工作，在南雄市行政服务中心成立韶关市首个联合征信服务中心，纳入财政预算，</w:t>
      </w:r>
      <w:r>
        <w:t>2013年重点开展“信用村”、“信用户”评</w:t>
      </w:r>
      <w:r>
        <w:rPr>
          <w:rFonts w:hint="eastAsia"/>
        </w:rPr>
        <w:t>定管理工作，创造性地将人民银行广州分行农户征信系统与南雄市联合征信服务系统结合起来，先由人民银行农户征信系统打分评议出信用户，再通过政府发文，由乡镇七站八所</w:t>
      </w:r>
      <w:r>
        <w:t>15个部门盖章确认，</w:t>
      </w:r>
      <w:r>
        <w:rPr>
          <w:rFonts w:hint="eastAsia"/>
        </w:rPr>
        <w:t>最后在南雄市联合征信服务中心网页进行公布，在广大农村地区打造“信用村”、“信用户”良好形象。</w:t>
      </w:r>
    </w:p>
    <w:p w14:paraId="3EF21473">
      <w:pPr>
        <w:pStyle w:val="4"/>
        <w:bidi w:val="0"/>
        <w:rPr>
          <w:rFonts w:hint="eastAsia"/>
        </w:rPr>
      </w:pPr>
      <w:r>
        <w:rPr>
          <w:rFonts w:hint="eastAsia"/>
          <w:lang w:eastAsia="zh-CN"/>
        </w:rPr>
        <w:t>【</w:t>
      </w:r>
      <w:r>
        <w:rPr>
          <w:rFonts w:hint="eastAsia"/>
        </w:rPr>
        <w:t>成立韶关市首个金融协会】</w:t>
      </w:r>
    </w:p>
    <w:p w14:paraId="64A575F5">
      <w:pPr>
        <w:rPr>
          <w:rFonts w:hint="eastAsia"/>
        </w:rPr>
      </w:pPr>
      <w:r>
        <w:t>2013年，为加强金</w:t>
      </w:r>
      <w:r>
        <w:rPr>
          <w:rFonts w:hint="eastAsia"/>
        </w:rPr>
        <w:t>融行业自律，维护金融消费合法权益，推动金融业务有序竞争，在韶关市第一个成立南雄市金融协会，在南雄形成金融合力，共推经济发展。</w:t>
      </w:r>
    </w:p>
    <w:p w14:paraId="2827C7AB">
      <w:pPr>
        <w:pStyle w:val="4"/>
        <w:bidi w:val="0"/>
        <w:rPr>
          <w:rFonts w:hint="eastAsia"/>
        </w:rPr>
      </w:pPr>
      <w:r>
        <w:rPr>
          <w:rFonts w:hint="eastAsia"/>
        </w:rPr>
        <w:t>【推进跨境贸易人民币业务】</w:t>
      </w:r>
    </w:p>
    <w:p w14:paraId="61D1964D">
      <w:pPr>
        <w:rPr>
          <w:rFonts w:hint="eastAsia"/>
          <w:lang w:eastAsia="zh-CN"/>
        </w:rPr>
      </w:pPr>
      <w:r>
        <w:rPr>
          <w:rFonts w:hint="eastAsia"/>
          <w:lang w:val="en-US" w:eastAsia="zh-CN"/>
        </w:rPr>
        <w:t>一</w:t>
      </w:r>
      <w:r>
        <w:rPr>
          <w:rFonts w:hint="eastAsia"/>
        </w:rPr>
        <w:t>是协助韶关中心支局召开“广州分行外债管理工作会议”。</w:t>
      </w:r>
      <w:r>
        <w:t>2013年2月份，“广州分行外债管理工作会议”在南雄召</w:t>
      </w:r>
      <w:r>
        <w:rPr>
          <w:rFonts w:hint="eastAsia"/>
        </w:rPr>
        <w:t>开，协助韶关中心支局组织会务工作，顺利完成会议召开，得到广州分行外管局肯定。二是通过争取地方政府支持，加强与</w:t>
      </w:r>
      <w:r>
        <w:rPr>
          <w:rFonts w:hint="eastAsia"/>
          <w:lang w:val="en-US" w:eastAsia="zh-CN"/>
        </w:rPr>
        <w:t>政</w:t>
      </w:r>
      <w:r>
        <w:rPr>
          <w:rFonts w:hint="eastAsia"/>
        </w:rPr>
        <w:t>府职能部门沟通，主动深入外商投资企业解情况，在南雄外资企业少，进出口贸易额低不利条件下，突破性地推动跨境贸易人民币结算业务工作开展。截至</w:t>
      </w:r>
      <w:r>
        <w:t>12月底，完成跨境</w:t>
      </w:r>
      <w:r>
        <w:rPr>
          <w:rFonts w:hint="eastAsia"/>
        </w:rPr>
        <w:t>贸易人民币结算业务</w:t>
      </w:r>
      <w:r>
        <w:t>226笔，1.46亿元，超额完成</w:t>
      </w:r>
      <w:r>
        <w:rPr>
          <w:rFonts w:hint="eastAsia"/>
        </w:rPr>
        <w:t>上级行下达任务</w:t>
      </w:r>
      <w:r>
        <w:t>244.07%</w:t>
      </w:r>
      <w:r>
        <w:rPr>
          <w:rFonts w:hint="eastAsia"/>
          <w:lang w:eastAsia="zh-CN"/>
        </w:rPr>
        <w:t>。</w:t>
      </w:r>
    </w:p>
    <w:p w14:paraId="21C64B40">
      <w:pPr>
        <w:pStyle w:val="4"/>
        <w:bidi w:val="0"/>
        <w:rPr>
          <w:rFonts w:hint="eastAsia"/>
        </w:rPr>
      </w:pPr>
      <w:r>
        <w:rPr>
          <w:rFonts w:hint="eastAsia"/>
        </w:rPr>
        <w:t>【做好会计国库基础工作】</w:t>
      </w:r>
    </w:p>
    <w:p w14:paraId="5A6436D1">
      <w:pPr>
        <w:rPr>
          <w:rFonts w:hint="eastAsia"/>
        </w:rPr>
      </w:pPr>
      <w:r>
        <w:rPr>
          <w:rFonts w:hint="eastAsia"/>
        </w:rPr>
        <w:t>是加强业务学习，</w:t>
      </w:r>
      <w:r>
        <w:rPr>
          <w:rFonts w:hint="eastAsia"/>
          <w:lang w:val="en-US" w:eastAsia="zh-CN"/>
        </w:rPr>
        <w:t>严</w:t>
      </w:r>
      <w:r>
        <w:rPr>
          <w:rFonts w:hint="eastAsia"/>
        </w:rPr>
        <w:t>格执行上级制订各项规章制度，抽调专人抽调专机集中力量配合中支做好</w:t>
      </w:r>
      <w:r>
        <w:t>TCBS系统升级工作，得</w:t>
      </w:r>
      <w:r>
        <w:rPr>
          <w:rFonts w:hint="eastAsia"/>
        </w:rPr>
        <w:t>到国库科肯定。二是按月召开专题分析会议，对会计、国库核算业务开展自</w:t>
      </w:r>
      <w:r>
        <w:rPr>
          <w:rFonts w:hint="eastAsia"/>
          <w:lang w:eastAsia="zh-CN"/>
        </w:rPr>
        <w:t>查</w:t>
      </w:r>
      <w:r>
        <w:rPr>
          <w:rFonts w:hint="eastAsia"/>
        </w:rPr>
        <w:t>自纠、</w:t>
      </w:r>
      <w:r>
        <w:rPr>
          <w:rFonts w:hint="eastAsia"/>
          <w:lang w:eastAsia="zh-CN"/>
        </w:rPr>
        <w:t>查</w:t>
      </w:r>
      <w:r>
        <w:rPr>
          <w:rFonts w:hint="eastAsia"/>
        </w:rPr>
        <w:t>漏补缺、集思</w:t>
      </w:r>
      <w:r>
        <w:rPr>
          <w:rFonts w:hint="eastAsia"/>
          <w:lang w:val="en-US" w:eastAsia="zh-CN"/>
        </w:rPr>
        <w:t>广</w:t>
      </w:r>
      <w:r>
        <w:rPr>
          <w:rFonts w:hint="eastAsia"/>
        </w:rPr>
        <w:t>益，开展“百日无差错”活动，实现会计、国库核算业务“零差错”。三是以创建“青年文明号”为动力，促进各项工作更上一层楼，有效提升基层央行员工履职能力。四是加强财务管理，规范财务收支行为，坚持“厉行节约”、“勤俭办行”工作方针，规范财务管理工作。</w:t>
      </w:r>
    </w:p>
    <w:p w14:paraId="7E41D175">
      <w:pPr>
        <w:pStyle w:val="4"/>
        <w:bidi w:val="0"/>
        <w:rPr>
          <w:rFonts w:hint="eastAsia"/>
        </w:rPr>
      </w:pPr>
      <w:r>
        <w:rPr>
          <w:rFonts w:hint="eastAsia"/>
        </w:rPr>
        <w:t>【加强党风</w:t>
      </w:r>
      <w:r>
        <w:rPr>
          <w:rFonts w:hint="eastAsia"/>
          <w:lang w:eastAsia="zh-CN"/>
        </w:rPr>
        <w:t>廉政</w:t>
      </w:r>
      <w:r>
        <w:rPr>
          <w:rFonts w:hint="eastAsia"/>
        </w:rPr>
        <w:t>建设，完善内控管理】</w:t>
      </w:r>
    </w:p>
    <w:p w14:paraId="6FCBA142">
      <w:pPr>
        <w:rPr>
          <w:rFonts w:hint="eastAsia"/>
        </w:rPr>
      </w:pPr>
      <w:r>
        <w:rPr>
          <w:rFonts w:hint="eastAsia"/>
        </w:rPr>
        <w:t>一是加强内部管理，形成行长抓班子、班子管股长、股长督员工、员工看行长循环监督体制，在支行营造努力向上，奋发有为，清正廉洁干部队伍，全行精神面貌焕然一新。二是加强支行管理人员品德修养，做到在言行举止一致得体，提高支行管理人员工作水平，准确把握工作重点，经常深入股室一线履行“一岗双责”，了解实情，指导工作，督促落实。</w:t>
      </w:r>
      <w:r>
        <w:rPr>
          <w:rFonts w:hint="eastAsia"/>
          <w:lang w:val="en-US" w:eastAsia="zh-CN"/>
        </w:rPr>
        <w:t>三</w:t>
      </w:r>
      <w:r>
        <w:rPr>
          <w:rFonts w:hint="eastAsia"/>
        </w:rPr>
        <w:t>是制定实施《党风廉政建设责任制目标管理办法》。层层签订《党风廉政建设责任书》，党风廉政建设工作领导小组成员发生变化、责任双方职务或</w:t>
      </w:r>
      <w:r>
        <w:rPr>
          <w:rFonts w:hint="eastAsia"/>
          <w:lang w:eastAsia="zh-CN"/>
        </w:rPr>
        <w:t>岗位</w:t>
      </w:r>
      <w:r>
        <w:rPr>
          <w:rFonts w:hint="eastAsia"/>
        </w:rPr>
        <w:t>发生变动，能够及时重新签订责任书。四是注重与廉政文化宣传教育相结合，在支行办公楼及走廊等显著位置张贴反腐倡廉宣传挂图、出版反腐倡廉宣传墙报、前往南雄市检察院“法纪教育暨预防职务犯罪教育基地”接受廉政警示教育、在员工工作台面放置家属廉政寄语牌、配合中支纪委开展廉政寄语活动，在重大节假日，通过手机短信方式开展廉政宣传教育。五是坚持开展廉政家庭教育活动，让员工在八小时以外仍然能够接受廉政监督。六是以</w:t>
      </w:r>
      <w:r>
        <w:rPr>
          <w:rFonts w:hint="eastAsia"/>
          <w:lang w:eastAsia="zh-CN"/>
        </w:rPr>
        <w:t>“</w:t>
      </w:r>
      <w:r>
        <w:rPr>
          <w:rFonts w:hint="eastAsia"/>
        </w:rPr>
        <w:t>完善制度、防范风险、确保安全”为目标，组织各部门、各岗位结合工作实际，新制订党务公开等监督制度，并通过“六加六”方式，推进党务公开工作。七是对支行</w:t>
      </w:r>
      <w:r>
        <w:t>600多页224项制度进行认真清</w:t>
      </w:r>
      <w:r>
        <w:rPr>
          <w:rFonts w:hint="eastAsia"/>
        </w:rPr>
        <w:t>理规范，重新完善修订《南雄支行制度汇编》。八是加强干部队伍建设，强化干部多岗位锻炼。对部分员工进行岗位轮换，在中支党委大力支持下，选派一名干部到始兴村镇银行挂职锻炼，支行员工工作积极性得到进一步提高，各项工作顺利开展。九是密切中支纪委及地方纪委联系，邀请中支纪委与南雄市纪委开展座谈活动，让人民银行纪检工作与地方纪检工作对接，取长补短，共同帮助支行切实履行央行职责，强化内部管理。十是认真落实中央八项规定，以扎实党廉建设促进行风建设，形成以“抓党风驱四风，强管理促业务”工作新思路，调研信息由中支纪委上报广州分行纪委。</w:t>
      </w:r>
    </w:p>
    <w:p w14:paraId="182EE1BB">
      <w:pPr>
        <w:jc w:val="right"/>
        <w:rPr>
          <w:rFonts w:hint="eastAsia"/>
          <w:b/>
          <w:bCs/>
        </w:rPr>
      </w:pPr>
      <w:r>
        <w:rPr>
          <w:rFonts w:hint="eastAsia"/>
          <w:b/>
          <w:bCs/>
        </w:rPr>
        <w:t>（黄玉兰</w:t>
      </w:r>
      <w:r>
        <w:rPr>
          <w:rFonts w:hint="eastAsia"/>
          <w:b/>
          <w:bCs/>
          <w:lang w:val="en-US" w:eastAsia="zh-CN"/>
        </w:rPr>
        <w:t xml:space="preserve">   </w:t>
      </w:r>
      <w:r>
        <w:rPr>
          <w:rFonts w:hint="eastAsia"/>
          <w:b/>
          <w:bCs/>
        </w:rPr>
        <w:t>李荣林）</w:t>
      </w:r>
    </w:p>
    <w:p w14:paraId="43DA27E1">
      <w:pPr>
        <w:pStyle w:val="10"/>
        <w:bidi w:val="0"/>
        <w:rPr>
          <w:b/>
          <w:bCs/>
        </w:rPr>
      </w:pPr>
      <w:r>
        <w:rPr>
          <w:rFonts w:hint="eastAsia"/>
          <w:b/>
          <w:bCs/>
        </w:rPr>
        <w:t>附：</w:t>
      </w:r>
      <w:r>
        <w:rPr>
          <w:b/>
          <w:bCs/>
        </w:rPr>
        <w:t>2013年人民银行南雄支行领导班子成员名单</w:t>
      </w:r>
    </w:p>
    <w:p w14:paraId="67A25C6F">
      <w:pPr>
        <w:pStyle w:val="10"/>
        <w:bidi w:val="0"/>
        <w:rPr>
          <w:rFonts w:hint="eastAsia"/>
        </w:rPr>
      </w:pPr>
      <w:r>
        <w:rPr>
          <w:rFonts w:hint="eastAsia"/>
          <w:b/>
          <w:bCs/>
        </w:rPr>
        <w:t>行</w:t>
      </w:r>
      <w:r>
        <w:rPr>
          <w:rFonts w:hint="eastAsia"/>
          <w:b/>
          <w:bCs/>
          <w:lang w:val="en-US" w:eastAsia="zh-CN"/>
        </w:rPr>
        <w:t xml:space="preserve">  </w:t>
      </w:r>
      <w:r>
        <w:rPr>
          <w:rFonts w:hint="eastAsia"/>
          <w:b/>
          <w:bCs/>
        </w:rPr>
        <w:t>长：</w:t>
      </w:r>
      <w:r>
        <w:rPr>
          <w:rFonts w:hint="eastAsia"/>
        </w:rPr>
        <w:t>张</w:t>
      </w:r>
      <w:r>
        <w:rPr>
          <w:rFonts w:hint="eastAsia"/>
          <w:lang w:val="en-US" w:eastAsia="zh-CN"/>
        </w:rPr>
        <w:t>鹏</w:t>
      </w:r>
      <w:r>
        <w:rPr>
          <w:rFonts w:hint="eastAsia"/>
        </w:rPr>
        <w:t>良</w:t>
      </w:r>
    </w:p>
    <w:p w14:paraId="4D6D9878">
      <w:pPr>
        <w:pStyle w:val="10"/>
        <w:bidi w:val="0"/>
        <w:rPr>
          <w:rFonts w:hint="eastAsia"/>
        </w:rPr>
      </w:pPr>
      <w:r>
        <w:rPr>
          <w:rFonts w:hint="eastAsia"/>
          <w:b/>
          <w:bCs/>
        </w:rPr>
        <w:t>副行长：</w:t>
      </w:r>
      <w:r>
        <w:rPr>
          <w:rFonts w:hint="eastAsia"/>
        </w:rPr>
        <w:t>利保建</w:t>
      </w:r>
      <w:r>
        <w:rPr>
          <w:rFonts w:hint="eastAsia"/>
          <w:lang w:val="en-US" w:eastAsia="zh-CN"/>
        </w:rPr>
        <w:t xml:space="preserve">   </w:t>
      </w:r>
      <w:r>
        <w:rPr>
          <w:rFonts w:hint="eastAsia"/>
        </w:rPr>
        <w:t>温为阳</w:t>
      </w:r>
    </w:p>
    <w:p w14:paraId="008BCFDE">
      <w:pPr>
        <w:pStyle w:val="10"/>
        <w:bidi w:val="0"/>
        <w:rPr>
          <w:rFonts w:hint="eastAsia"/>
        </w:rPr>
      </w:pPr>
      <w:r>
        <w:rPr>
          <w:rFonts w:hint="eastAsia"/>
          <w:b/>
          <w:bCs/>
        </w:rPr>
        <w:t>副主任科员：</w:t>
      </w:r>
      <w:r>
        <w:rPr>
          <w:rFonts w:hint="eastAsia"/>
          <w:b w:val="0"/>
          <w:bCs w:val="0"/>
        </w:rPr>
        <w:t>刘</w:t>
      </w:r>
      <w:r>
        <w:rPr>
          <w:rFonts w:hint="eastAsia"/>
        </w:rPr>
        <w:t>小珊</w:t>
      </w:r>
    </w:p>
    <w:p w14:paraId="16F49456">
      <w:pPr>
        <w:pStyle w:val="3"/>
        <w:bidi w:val="0"/>
        <w:rPr>
          <w:rFonts w:hint="eastAsia"/>
        </w:rPr>
      </w:pPr>
      <w:r>
        <w:rPr>
          <w:rFonts w:hint="eastAsia"/>
        </w:rPr>
        <w:t>中国银行股份有限公司韶关南雄支行</w:t>
      </w:r>
    </w:p>
    <w:p w14:paraId="273216BC">
      <w:pPr>
        <w:pStyle w:val="4"/>
        <w:bidi w:val="0"/>
        <w:rPr>
          <w:rFonts w:hint="eastAsia"/>
        </w:rPr>
      </w:pPr>
      <w:r>
        <w:rPr>
          <w:rFonts w:hint="eastAsia"/>
        </w:rPr>
        <w:t>【概况】</w:t>
      </w:r>
    </w:p>
    <w:p w14:paraId="3C4A14AC">
      <w:pPr>
        <w:rPr>
          <w:rFonts w:hint="eastAsia"/>
        </w:rPr>
      </w:pPr>
      <w:r>
        <w:rPr>
          <w:rFonts w:hint="eastAsia"/>
        </w:rPr>
        <w:t>中国银行股份有限公司韶关南雄支行，简称：中国银行韶关南雄支行，成立于</w:t>
      </w:r>
      <w:r>
        <w:t>1987年，为南雄</w:t>
      </w:r>
      <w:r>
        <w:rPr>
          <w:rFonts w:hint="eastAsia"/>
        </w:rPr>
        <w:t>市四大国有商业银行之一，位于南雄市新城林荫路，全行在职员工</w:t>
      </w:r>
      <w:r>
        <w:t>17人，内设营业部和业务发展部；依附</w:t>
      </w:r>
      <w:r>
        <w:rPr>
          <w:rFonts w:hint="eastAsia"/>
        </w:rPr>
        <w:t>式</w:t>
      </w:r>
      <w:r>
        <w:t>ATM自助设备6台，离行式A</w:t>
      </w:r>
      <w:r>
        <w:rPr>
          <w:rFonts w:hint="eastAsia"/>
          <w:lang w:eastAsia="zh-CN"/>
        </w:rPr>
        <w:t>T</w:t>
      </w:r>
      <w:r>
        <w:t>M自助设备3台。</w:t>
      </w:r>
      <w:r>
        <w:rPr>
          <w:rFonts w:hint="eastAsia"/>
        </w:rPr>
        <w:t>中国银行为客户提供丰富的金融产品，主要办理本外币存款、发放贷款、办理票据承兑与贴现、代理外汇买卖、从事银行卡业务、提供信用证服务及担保、代理保险兼业业务，南雄中行推动业务转型，提高经营收入，夯实发展基础，扎实推进区域卓越银行建设，提升网点经营效益，深入推进精细化管理，秉</w:t>
      </w:r>
      <w:r>
        <w:rPr>
          <w:rFonts w:hint="eastAsia"/>
          <w:lang w:val="en-US" w:eastAsia="zh-CN"/>
        </w:rPr>
        <w:t>承</w:t>
      </w:r>
      <w:r>
        <w:rPr>
          <w:rFonts w:hint="eastAsia"/>
        </w:rPr>
        <w:t>以客户为中心的服务理念，强化服务规范、丰富服务内涵、创新服务品牌、提升客户满意度，拓展县域市场，不断强化风险管控，使支行在当地的竞争力和盈利能力不断提。</w:t>
      </w:r>
    </w:p>
    <w:p w14:paraId="328B560E">
      <w:pPr>
        <w:pStyle w:val="4"/>
        <w:bidi w:val="0"/>
        <w:rPr>
          <w:rFonts w:hint="eastAsia"/>
        </w:rPr>
      </w:pPr>
      <w:r>
        <w:rPr>
          <w:rFonts w:hint="eastAsia"/>
        </w:rPr>
        <w:t>【存贷业务】</w:t>
      </w:r>
    </w:p>
    <w:p w14:paraId="0F735D15">
      <w:pPr>
        <w:rPr>
          <w:rFonts w:hint="eastAsia"/>
        </w:rPr>
      </w:pPr>
      <w:r>
        <w:rPr>
          <w:rFonts w:hint="eastAsia"/>
        </w:rPr>
        <w:t>重点支持南雄中小企业和工业园“双转移”项目，积极扶持中小企业、民营企业发展。截止</w:t>
      </w:r>
      <w:r>
        <w:t>2013年12月末，全行各项存款人民币52467万元，各项贷款余额33279万元，其中公司</w:t>
      </w:r>
      <w:r>
        <w:rPr>
          <w:rFonts w:hint="eastAsia"/>
        </w:rPr>
        <w:t>贷款余额</w:t>
      </w:r>
      <w:r>
        <w:t>12370元，个人类贷款20909万元。中国</w:t>
      </w:r>
      <w:r>
        <w:rPr>
          <w:rFonts w:hint="eastAsia"/>
        </w:rPr>
        <w:t>银行南雄支行将继续支持南雄市的经济发展，促进南雄市的经济全面发展。</w:t>
      </w:r>
    </w:p>
    <w:p w14:paraId="6748A04E">
      <w:pPr>
        <w:jc w:val="right"/>
        <w:rPr>
          <w:rFonts w:hint="eastAsia"/>
          <w:b/>
          <w:bCs/>
        </w:rPr>
      </w:pPr>
      <w:r>
        <w:rPr>
          <w:rFonts w:hint="eastAsia"/>
          <w:b/>
          <w:bCs/>
        </w:rPr>
        <w:t>（唐承民）</w:t>
      </w:r>
    </w:p>
    <w:p w14:paraId="1295022F">
      <w:pPr>
        <w:pStyle w:val="10"/>
        <w:bidi w:val="0"/>
        <w:rPr>
          <w:b/>
          <w:bCs/>
        </w:rPr>
      </w:pPr>
      <w:r>
        <w:rPr>
          <w:rFonts w:hint="eastAsia"/>
          <w:b/>
          <w:bCs/>
        </w:rPr>
        <w:t>附：</w:t>
      </w:r>
      <w:r>
        <w:rPr>
          <w:b/>
          <w:bCs/>
        </w:rPr>
        <w:t>2013年中国银行南雄支行领导班子成员名单</w:t>
      </w:r>
    </w:p>
    <w:p w14:paraId="7109EEF9">
      <w:pPr>
        <w:pStyle w:val="10"/>
        <w:bidi w:val="0"/>
        <w:rPr>
          <w:rFonts w:hint="eastAsia"/>
        </w:rPr>
      </w:pPr>
      <w:r>
        <w:rPr>
          <w:rFonts w:hint="eastAsia"/>
          <w:b/>
          <w:bCs/>
        </w:rPr>
        <w:t>行</w:t>
      </w:r>
      <w:r>
        <w:rPr>
          <w:rFonts w:hint="eastAsia"/>
          <w:b/>
          <w:bCs/>
          <w:lang w:val="en-US" w:eastAsia="zh-CN"/>
        </w:rPr>
        <w:t xml:space="preserve">  </w:t>
      </w:r>
      <w:r>
        <w:rPr>
          <w:rFonts w:hint="eastAsia"/>
          <w:b/>
          <w:bCs/>
        </w:rPr>
        <w:t>长：</w:t>
      </w:r>
      <w:r>
        <w:rPr>
          <w:rFonts w:hint="eastAsia"/>
        </w:rPr>
        <w:t>徐志文</w:t>
      </w:r>
    </w:p>
    <w:p w14:paraId="0A6B16B4">
      <w:pPr>
        <w:pStyle w:val="10"/>
        <w:bidi w:val="0"/>
        <w:rPr>
          <w:rFonts w:hint="eastAsia"/>
        </w:rPr>
      </w:pPr>
      <w:r>
        <w:rPr>
          <w:rFonts w:hint="eastAsia"/>
          <w:b/>
          <w:bCs/>
        </w:rPr>
        <w:t>副行长：</w:t>
      </w:r>
      <w:r>
        <w:rPr>
          <w:rFonts w:hint="eastAsia"/>
        </w:rPr>
        <w:t>朱庆荣</w:t>
      </w:r>
      <w:r>
        <w:rPr>
          <w:rFonts w:hint="eastAsia"/>
          <w:lang w:val="en-US" w:eastAsia="zh-CN"/>
        </w:rPr>
        <w:t xml:space="preserve">   </w:t>
      </w:r>
      <w:r>
        <w:rPr>
          <w:rFonts w:hint="eastAsia"/>
        </w:rPr>
        <w:t>聂郁安</w:t>
      </w:r>
    </w:p>
    <w:p w14:paraId="7E5FF8D9">
      <w:pPr>
        <w:pStyle w:val="3"/>
        <w:bidi w:val="0"/>
        <w:rPr>
          <w:rFonts w:hint="default"/>
          <w:lang w:val="en-US" w:eastAsia="zh-CN"/>
        </w:rPr>
      </w:pPr>
      <w:r>
        <w:rPr>
          <w:rFonts w:hint="eastAsia"/>
        </w:rPr>
        <w:t>中国建设银行股份有限公司</w:t>
      </w:r>
      <w:r>
        <w:rPr>
          <w:rFonts w:hint="eastAsia"/>
          <w:lang w:val="en-US" w:eastAsia="zh-CN"/>
        </w:rPr>
        <w:t>南雄支行</w:t>
      </w:r>
    </w:p>
    <w:p w14:paraId="2B79535E">
      <w:pPr>
        <w:pStyle w:val="4"/>
        <w:bidi w:val="0"/>
        <w:rPr>
          <w:rFonts w:hint="eastAsia"/>
        </w:rPr>
      </w:pPr>
      <w:r>
        <w:rPr>
          <w:rFonts w:hint="eastAsia"/>
        </w:rPr>
        <w:t>【概况】</w:t>
      </w:r>
    </w:p>
    <w:p w14:paraId="5C3D82B4">
      <w:pPr>
        <w:rPr>
          <w:rFonts w:hint="eastAsia"/>
        </w:rPr>
      </w:pPr>
      <w:r>
        <w:rPr>
          <w:rFonts w:hint="eastAsia"/>
        </w:rPr>
        <w:t>中国建设银行股份有限公司是一家在中国市场处于领先地位的股份制商业银行，为客户提供全面的商业银行产品与服务。中国建设银行股份有限公司南雄支行致力于大力支持南雄地方基础设施、重点项目的投资，加大对中小企业、保障房建设等民生领域的信贷投放，着力改进和提升对小微企业的金融服务。支行位于南雄市中心的街区，全行在职员工</w:t>
      </w:r>
      <w:r>
        <w:t>20人，辖内有ATM自助银行3间，自</w:t>
      </w:r>
      <w:r>
        <w:rPr>
          <w:rFonts w:hint="eastAsia"/>
        </w:rPr>
        <w:t>助设备</w:t>
      </w:r>
      <w:r>
        <w:t>8台。根据市委、政府的工作部署和年初金</w:t>
      </w:r>
      <w:r>
        <w:rPr>
          <w:rFonts w:hint="eastAsia"/>
        </w:rPr>
        <w:t>融会议关于加大贷款投放的工作要求，结合目前南雄市正在加大招商引资力度，打造“工业强市”的契机，为扶持南雄市辖内中小微企业的发展，密切政银企关系，继续提升政银企三方互信互利的良好格局和化解决小企业客户融资难的问题，推出了</w:t>
      </w:r>
      <w:r>
        <w:rPr>
          <w:rFonts w:hint="eastAsia"/>
          <w:lang w:val="en-US" w:eastAsia="zh-CN"/>
        </w:rPr>
        <w:t>一</w:t>
      </w:r>
      <w:r>
        <w:rPr>
          <w:rFonts w:hint="eastAsia"/>
        </w:rPr>
        <w:t>系列的信贷产品，实现政府、银行和企业“三方共赢”，推动南雄市小企业的发展，创造一个更有利于中小微企业成长的金融环境。</w:t>
      </w:r>
    </w:p>
    <w:p w14:paraId="19956E91">
      <w:pPr>
        <w:pStyle w:val="4"/>
        <w:bidi w:val="0"/>
        <w:rPr>
          <w:rFonts w:hint="eastAsia"/>
        </w:rPr>
      </w:pPr>
      <w:r>
        <w:rPr>
          <w:rFonts w:hint="eastAsia"/>
        </w:rPr>
        <w:t>【主要业务】</w:t>
      </w:r>
    </w:p>
    <w:p w14:paraId="7C592AA5">
      <w:pPr>
        <w:rPr>
          <w:rFonts w:hint="eastAsia"/>
        </w:rPr>
      </w:pPr>
      <w:r>
        <w:rPr>
          <w:rFonts w:hint="eastAsia"/>
        </w:rPr>
        <w:t>中国建设银行股份有限公司南雄支行为客户提供丰富的金融产品，有本外币存款、各类贷款、融信通、个人理财、企业理财、票据业务、结算服务、信用卡分期业务、银行卡业务、电子银行等各种金融服务。截止</w:t>
      </w:r>
      <w:r>
        <w:t>2013年末，支行存</w:t>
      </w:r>
      <w:r>
        <w:rPr>
          <w:rFonts w:hint="eastAsia"/>
        </w:rPr>
        <w:t>款余额</w:t>
      </w:r>
      <w:r>
        <w:t>80335万元，其中：企业存款余额36751万</w:t>
      </w:r>
      <w:r>
        <w:rPr>
          <w:rFonts w:hint="eastAsia"/>
        </w:rPr>
        <w:t>元，个人存款余额</w:t>
      </w:r>
      <w:r>
        <w:t>43584万元支行；贷款余额28114万元，其中公司类贷款余额：22837万元，</w:t>
      </w:r>
      <w:r>
        <w:rPr>
          <w:rFonts w:hint="eastAsia"/>
        </w:rPr>
        <w:t>个人类贷款余额：</w:t>
      </w:r>
      <w:r>
        <w:t>5277万元；全年累计发放贷款13204万元，支持南雄精细精细化工企业的经营生</w:t>
      </w:r>
      <w:r>
        <w:rPr>
          <w:rFonts w:hint="eastAsia"/>
        </w:rPr>
        <w:t>产和地方经济发展。</w:t>
      </w:r>
    </w:p>
    <w:p w14:paraId="384504EF">
      <w:pPr>
        <w:pStyle w:val="4"/>
        <w:bidi w:val="0"/>
        <w:rPr>
          <w:rFonts w:hint="eastAsia"/>
        </w:rPr>
      </w:pPr>
      <w:r>
        <w:rPr>
          <w:rFonts w:hint="eastAsia"/>
        </w:rPr>
        <w:t>【金融创新】</w:t>
      </w:r>
    </w:p>
    <w:p w14:paraId="4B1D57CB">
      <w:pPr>
        <w:rPr>
          <w:rFonts w:hint="eastAsia"/>
        </w:rPr>
      </w:pPr>
      <w:r>
        <w:rPr>
          <w:rFonts w:hint="eastAsia"/>
        </w:rPr>
        <w:t>支行以南雄市政府出台的《南雄市中小微企业贷款风险补偿专项基金管理暂行办法》为契机，完善中小企业融资机制，大胆创新金融产品。在韶关市辖属各县（市、区）实现二个率先。</w:t>
      </w:r>
      <w:r>
        <w:rPr>
          <w:rFonts w:hint="eastAsia"/>
          <w:lang w:eastAsia="zh-CN"/>
        </w:rPr>
        <w:t>一</w:t>
      </w:r>
      <w:r>
        <w:rPr>
          <w:rFonts w:hint="eastAsia"/>
        </w:rPr>
        <w:t>是率先与政府指定的南雄市雄健担保公司签订“助保贷”业务合作协议，当年累计发放“助保贷”贷款近</w:t>
      </w:r>
      <w:r>
        <w:t>5000万元；二是率先完成新型城镇化</w:t>
      </w:r>
      <w:r>
        <w:rPr>
          <w:rFonts w:hint="eastAsia"/>
        </w:rPr>
        <w:t>建设贷款</w:t>
      </w:r>
      <w:r>
        <w:t>2.25亿元的审批工作，支持南雄市工业</w:t>
      </w:r>
      <w:r>
        <w:rPr>
          <w:rFonts w:hint="eastAsia"/>
        </w:rPr>
        <w:t>园二期项目的建设。</w:t>
      </w:r>
    </w:p>
    <w:p w14:paraId="08D0FDC5">
      <w:pPr>
        <w:jc w:val="right"/>
        <w:rPr>
          <w:rFonts w:hint="eastAsia"/>
          <w:b/>
          <w:bCs/>
        </w:rPr>
      </w:pPr>
      <w:r>
        <w:rPr>
          <w:rFonts w:hint="eastAsia"/>
          <w:b/>
          <w:bCs/>
        </w:rPr>
        <w:t>（刘世海）</w:t>
      </w:r>
    </w:p>
    <w:p w14:paraId="1119BFA3">
      <w:pPr>
        <w:pStyle w:val="10"/>
        <w:bidi w:val="0"/>
        <w:rPr>
          <w:rFonts w:hint="eastAsia"/>
          <w:b/>
          <w:bCs/>
        </w:rPr>
      </w:pPr>
      <w:r>
        <w:rPr>
          <w:rFonts w:hint="eastAsia"/>
          <w:b/>
          <w:bCs/>
        </w:rPr>
        <w:t>附：</w:t>
      </w:r>
      <w:r>
        <w:rPr>
          <w:b/>
          <w:bCs/>
        </w:rPr>
        <w:t>2013年中国建设银行南雄支行领导班子成员</w:t>
      </w:r>
      <w:r>
        <w:rPr>
          <w:rFonts w:hint="eastAsia"/>
          <w:b/>
          <w:bCs/>
        </w:rPr>
        <w:t>名单</w:t>
      </w:r>
    </w:p>
    <w:p w14:paraId="352E7FDA">
      <w:pPr>
        <w:pStyle w:val="10"/>
        <w:bidi w:val="0"/>
        <w:rPr>
          <w:rFonts w:hint="eastAsia"/>
        </w:rPr>
      </w:pPr>
      <w:r>
        <w:rPr>
          <w:rFonts w:hint="eastAsia"/>
          <w:b/>
          <w:bCs/>
        </w:rPr>
        <w:t>行</w:t>
      </w:r>
      <w:r>
        <w:rPr>
          <w:rFonts w:hint="eastAsia"/>
          <w:b/>
          <w:bCs/>
          <w:lang w:val="en-US" w:eastAsia="zh-CN"/>
        </w:rPr>
        <w:t xml:space="preserve">  </w:t>
      </w:r>
      <w:r>
        <w:rPr>
          <w:rFonts w:hint="eastAsia"/>
          <w:b/>
          <w:bCs/>
        </w:rPr>
        <w:t>长：</w:t>
      </w:r>
      <w:r>
        <w:rPr>
          <w:rFonts w:hint="eastAsia"/>
        </w:rPr>
        <w:t>谢德平</w:t>
      </w:r>
    </w:p>
    <w:p w14:paraId="2A2A3DE9">
      <w:pPr>
        <w:pStyle w:val="10"/>
        <w:bidi w:val="0"/>
        <w:rPr>
          <w:rFonts w:hint="eastAsia"/>
        </w:rPr>
      </w:pPr>
      <w:r>
        <w:rPr>
          <w:rFonts w:hint="eastAsia"/>
          <w:b/>
          <w:bCs/>
        </w:rPr>
        <w:t>副行长：</w:t>
      </w:r>
      <w:r>
        <w:rPr>
          <w:rFonts w:hint="eastAsia"/>
        </w:rPr>
        <w:t>刘世海</w:t>
      </w:r>
    </w:p>
    <w:p w14:paraId="0FC9ED61">
      <w:pPr>
        <w:pStyle w:val="3"/>
        <w:bidi w:val="0"/>
        <w:rPr>
          <w:rFonts w:hint="eastAsia"/>
        </w:rPr>
      </w:pPr>
      <w:r>
        <w:rPr>
          <w:rFonts w:hint="eastAsia"/>
        </w:rPr>
        <w:t>中国农业银行股份有限公司南雄市支行</w:t>
      </w:r>
    </w:p>
    <w:p w14:paraId="3C65DCD0">
      <w:pPr>
        <w:pStyle w:val="4"/>
        <w:bidi w:val="0"/>
        <w:rPr>
          <w:rFonts w:hint="eastAsia"/>
        </w:rPr>
      </w:pPr>
      <w:r>
        <w:rPr>
          <w:rFonts w:hint="eastAsia"/>
        </w:rPr>
        <w:t>【概况】</w:t>
      </w:r>
    </w:p>
    <w:p w14:paraId="28749A24">
      <w:pPr>
        <w:rPr>
          <w:rFonts w:hint="eastAsia"/>
        </w:rPr>
      </w:pPr>
      <w:r>
        <w:rPr>
          <w:rFonts w:hint="eastAsia"/>
        </w:rPr>
        <w:t>中国农业银行股份有限公司南雄市支行（简称：中国农业银行南雄市支行），辖属支行营业部和</w:t>
      </w:r>
      <w:r>
        <w:t>4个二级支行（雄州支行、雄东支行、沿江支</w:t>
      </w:r>
      <w:r>
        <w:rPr>
          <w:rFonts w:hint="eastAsia"/>
        </w:rPr>
        <w:t>行和全安支行），在职员工</w:t>
      </w:r>
      <w:r>
        <w:t>82人，辖内网点自助银</w:t>
      </w:r>
      <w:r>
        <w:rPr>
          <w:rFonts w:hint="eastAsia"/>
        </w:rPr>
        <w:t>行设施</w:t>
      </w:r>
      <w:r>
        <w:t>17台（其中：存取一体机10台、ATM存款</w:t>
      </w:r>
      <w:r>
        <w:rPr>
          <w:rFonts w:hint="eastAsia"/>
        </w:rPr>
        <w:t>机</w:t>
      </w:r>
      <w:r>
        <w:t>3台、自助终端机4台）。2013年，南雄支行认</w:t>
      </w:r>
      <w:r>
        <w:rPr>
          <w:rFonts w:hint="eastAsia"/>
        </w:rPr>
        <w:t>真贯彻落实上级行年度工作会议精神，围绕上级行提出的“以构建现代商业银行运行机制为核心，以加快有效发展、严守风险底线为主线，拓展核心业务、争夺核心客户、培育核心人才”的总体要求和“规模稳定增长、质量持续优良、内控规范严密</w:t>
      </w:r>
      <w:r>
        <w:rPr>
          <w:rFonts w:hint="eastAsia"/>
          <w:lang w:eastAsia="zh-CN"/>
        </w:rPr>
        <w:t>、</w:t>
      </w:r>
      <w:r>
        <w:rPr>
          <w:rFonts w:hint="eastAsia"/>
        </w:rPr>
        <w:t>效益不断提高”的工作思路，实现“扩户提质、渠道建设、业务发展、县域三农、风险管控和队伍建设”六个新的提升的工作目标和南雄市委、市政府提出的“一个目标五大战略”的总体思路，积极履行服务“三农”职责，大力开展县域“三农”业务营销拓展工作，有效促进各项业务的稳健发展，实现全年安全运营无事故、无案件。同时，也进步支持和推动南雄经济社会的全面发展。</w:t>
      </w:r>
    </w:p>
    <w:p w14:paraId="22A053B8">
      <w:pPr>
        <w:pStyle w:val="4"/>
        <w:bidi w:val="0"/>
        <w:rPr>
          <w:rFonts w:hint="eastAsia"/>
        </w:rPr>
      </w:pPr>
      <w:r>
        <w:rPr>
          <w:rFonts w:hint="eastAsia"/>
        </w:rPr>
        <w:t>【存贷款业务】</w:t>
      </w:r>
    </w:p>
    <w:p w14:paraId="3685500B">
      <w:pPr>
        <w:rPr>
          <w:rFonts w:hint="eastAsia"/>
        </w:rPr>
      </w:pPr>
      <w:r>
        <w:rPr>
          <w:rFonts w:hint="eastAsia"/>
        </w:rPr>
        <w:t>坚持“以市场为导向、以客户为中心、以效益为目标”的经营理念，并秉承“客户至上、始终如一”的农行服务理念，为客户提供优质、高效的服务。一是加强理财产品的营销引导</w:t>
      </w:r>
      <w:r>
        <w:rPr>
          <w:rFonts w:hint="eastAsia"/>
          <w:lang w:eastAsia="zh-CN"/>
        </w:rPr>
        <w:t>，</w:t>
      </w:r>
      <w:r>
        <w:rPr>
          <w:rFonts w:hint="eastAsia"/>
        </w:rPr>
        <w:t>提升储蓄存款日均水平，二是拓展营销二代社保卡，同时联动营销</w:t>
      </w:r>
      <w:r>
        <w:t>IC借记卡及贷记卡业务；三是</w:t>
      </w:r>
      <w:r>
        <w:rPr>
          <w:rFonts w:hint="eastAsia"/>
        </w:rPr>
        <w:t>提高第三方存管客户开户质量，实行重点客户名单制管户政策，培养一批支持支行储蓄存款工作的忠实客户群；四是加强代发工资、转账电话、存贷通等基础产品营销渗透；五是宣传和推介农行优质品牌产品，推进网点标准化服务，推广分窗服务和低柜业务，优化业务操作流程，实现“服务分区、客户分流”，着力提高网点对外营销和服务能力，开展存款营销活动。</w:t>
      </w:r>
    </w:p>
    <w:p w14:paraId="56E67E49">
      <w:pPr>
        <w:rPr>
          <w:rFonts w:hint="eastAsia"/>
        </w:rPr>
      </w:pPr>
      <w:r>
        <w:rPr>
          <w:rFonts w:hint="eastAsia"/>
        </w:rPr>
        <w:t>以“扩户提质”为主线，实现价值提升。加大贷款营销与投放力度，积极拓展优质资产。一是拓展南雄精细化工园区等企业，加快中小企业贷放力度；二是拓展个人贷款营销空间，做大做强住房按揭等个人贷款业务；三是按照上级行农户贷款业务发展的指导思想，找准定位、优选客户，加快对按约还款，债性观念好的农户办理还旧借新贷款手续，大力支持农村生产经营贷款。在同业竞争激烈的情况下，支行不断强化服务理念，提高服务质量，拓宽业务营销渠道，拓展新客户，扩大客户规模，改善客户结构，开展业务营销进园区企业</w:t>
      </w:r>
      <w:r>
        <w:rPr>
          <w:rFonts w:hint="eastAsia"/>
          <w:lang w:eastAsia="zh-CN"/>
        </w:rPr>
        <w:t>、</w:t>
      </w:r>
      <w:r>
        <w:rPr>
          <w:rFonts w:hint="eastAsia"/>
          <w:lang w:val="en-US" w:eastAsia="zh-CN"/>
        </w:rPr>
        <w:t>学</w:t>
      </w:r>
      <w:r>
        <w:rPr>
          <w:rFonts w:hint="eastAsia"/>
        </w:rPr>
        <w:t>校和社区活动，推介农行优质金融产品，开展融资活动，做大做强中小（微）企业贷款和个人类贷款业务，为中小（微）企业的健康发展和改善民生</w:t>
      </w:r>
      <w:r>
        <w:rPr>
          <w:rFonts w:hint="eastAsia"/>
          <w:lang w:eastAsia="zh-CN"/>
        </w:rPr>
        <w:t>、</w:t>
      </w:r>
      <w:r>
        <w:rPr>
          <w:rFonts w:hint="eastAsia"/>
        </w:rPr>
        <w:t>惠及百姓，提供强有力的金融保障，有效地支持并促进南雄社会和经济的全面发展。</w:t>
      </w:r>
    </w:p>
    <w:p w14:paraId="7A5CA9AF">
      <w:r>
        <w:rPr>
          <w:rFonts w:hint="eastAsia"/>
        </w:rPr>
        <w:t>截止</w:t>
      </w:r>
      <w:r>
        <w:t>2013年12月末，支行各项存款余额112</w:t>
      </w:r>
      <w:r>
        <w:rPr>
          <w:rFonts w:hint="eastAsia"/>
          <w:lang w:eastAsia="zh-CN"/>
        </w:rPr>
        <w:t>，</w:t>
      </w:r>
      <w:r>
        <w:t>840万元，比年初增加11</w:t>
      </w:r>
      <w:r>
        <w:rPr>
          <w:rFonts w:hint="eastAsia"/>
          <w:lang w:eastAsia="zh-CN"/>
        </w:rPr>
        <w:t>.</w:t>
      </w:r>
      <w:r>
        <w:t>265万元；各项贷款余</w:t>
      </w:r>
      <w:r>
        <w:rPr>
          <w:rFonts w:hint="eastAsia"/>
        </w:rPr>
        <w:t>额</w:t>
      </w:r>
      <w:r>
        <w:t>97</w:t>
      </w:r>
      <w:r>
        <w:rPr>
          <w:rFonts w:hint="eastAsia"/>
          <w:lang w:eastAsia="zh-CN"/>
        </w:rPr>
        <w:t>.</w:t>
      </w:r>
      <w:r>
        <w:t>442万元，比年初增加66</w:t>
      </w:r>
      <w:r>
        <w:rPr>
          <w:rFonts w:hint="eastAsia"/>
          <w:lang w:eastAsia="zh-CN"/>
        </w:rPr>
        <w:t>.</w:t>
      </w:r>
      <w:r>
        <w:t>016万元；其中</w:t>
      </w:r>
      <w:r>
        <w:rPr>
          <w:rFonts w:hint="eastAsia"/>
        </w:rPr>
        <w:t>发放农户贷款</w:t>
      </w:r>
      <w:r>
        <w:t>4</w:t>
      </w:r>
      <w:r>
        <w:rPr>
          <w:rFonts w:hint="eastAsia"/>
          <w:lang w:eastAsia="zh-CN"/>
        </w:rPr>
        <w:t>.</w:t>
      </w:r>
      <w:r>
        <w:t>301万元，比年初新增265元。</w:t>
      </w:r>
    </w:p>
    <w:p w14:paraId="2C44902D">
      <w:pPr>
        <w:pStyle w:val="4"/>
        <w:bidi w:val="0"/>
        <w:rPr>
          <w:rFonts w:hint="eastAsia"/>
        </w:rPr>
      </w:pPr>
      <w:r>
        <w:rPr>
          <w:rFonts w:hint="eastAsia"/>
        </w:rPr>
        <w:t>【三农业务】</w:t>
      </w:r>
    </w:p>
    <w:p w14:paraId="5F604F3C">
      <w:pPr>
        <w:rPr>
          <w:rFonts w:hint="eastAsia"/>
        </w:rPr>
      </w:pPr>
      <w:r>
        <w:rPr>
          <w:rFonts w:hint="eastAsia"/>
        </w:rPr>
        <w:t>履行服务“三农”职责，践行农行社会责任。针对南雄特色农业和烟农、种养专业户和农村个体户的生产经营特点，支行灵活运用订单农业、抵押、公务员保证等多种担保形式，稳步推进以“惠农卡”为载体的农户生产经营和农户小额贷款业务，大力支持农户创业和“三农”经济发展。</w:t>
      </w:r>
    </w:p>
    <w:p w14:paraId="31AB9053">
      <w:r>
        <w:rPr>
          <w:rFonts w:hint="eastAsia"/>
        </w:rPr>
        <w:t>发扬农行社会担当精神，大力实施“惠农通”工程，改善农村金融服务环境，优化服务“三农”平台。进一步改善农村金融服务条件，强化服务功能，提升服务水平。同时，为进一步拓宽和延伸支行服务“三农”的渠道和平台，在全市乡镇符合相关条件的村委会（村）开设金穗“惠农通”服务点，安装</w:t>
      </w:r>
      <w:r>
        <w:t>POS机、转账电话等设备，并以物理网</w:t>
      </w:r>
      <w:r>
        <w:rPr>
          <w:rFonts w:hint="eastAsia"/>
        </w:rPr>
        <w:t>点、移动</w:t>
      </w:r>
      <w:r>
        <w:t>POS设备等为依托，为农户提供电子银行</w:t>
      </w:r>
      <w:r>
        <w:rPr>
          <w:rFonts w:hint="eastAsia"/>
        </w:rPr>
        <w:t>免费注册服务，普及推广个人网银、手机银行、手机信使等创新、便捷的金融工具。有效地改善了农村金融服务条件，为“三农”客户提供便捷的普惠金融服务。截至</w:t>
      </w:r>
      <w:r>
        <w:t>12月</w:t>
      </w:r>
      <w:r>
        <w:rPr>
          <w:rFonts w:hint="eastAsia"/>
          <w:lang w:val="en-US" w:eastAsia="zh-CN"/>
        </w:rPr>
        <w:t>末</w:t>
      </w:r>
      <w:r>
        <w:t>，支行开设乡村</w:t>
      </w:r>
      <w:r>
        <w:rPr>
          <w:rFonts w:hint="eastAsia" w:ascii="宋体" w:hAnsi="宋体" w:cs="宋体"/>
        </w:rPr>
        <w:t>“</w:t>
      </w:r>
      <w:r>
        <w:t>惠农通</w:t>
      </w:r>
      <w:r>
        <w:rPr>
          <w:rFonts w:hint="eastAsia"/>
          <w:lang w:eastAsia="zh-CN"/>
        </w:rPr>
        <w:t>”</w:t>
      </w:r>
      <w:r>
        <w:rPr>
          <w:rFonts w:hint="eastAsia"/>
        </w:rPr>
        <w:t>服务点为</w:t>
      </w:r>
      <w:r>
        <w:t>81个。</w:t>
      </w:r>
      <w:r>
        <w:rPr>
          <w:rFonts w:hint="eastAsia"/>
          <w:lang w:eastAsia="zh-CN"/>
        </w:rPr>
        <w:t>“</w:t>
      </w:r>
      <w:r>
        <w:t>惠农卡</w:t>
      </w:r>
      <w:r>
        <w:rPr>
          <w:rFonts w:hint="eastAsia"/>
          <w:lang w:eastAsia="zh-CN"/>
        </w:rPr>
        <w:t>”</w:t>
      </w:r>
      <w:r>
        <w:t>累计发卡37851张，其</w:t>
      </w:r>
      <w:r>
        <w:rPr>
          <w:rFonts w:hint="eastAsia"/>
        </w:rPr>
        <w:t>中</w:t>
      </w:r>
      <w:r>
        <w:t>2013年新增有效发卡2523张，完成全年任</w:t>
      </w:r>
      <w:r>
        <w:rPr>
          <w:rFonts w:hint="eastAsia"/>
        </w:rPr>
        <w:t>务</w:t>
      </w:r>
      <w:r>
        <w:t>876%。</w:t>
      </w:r>
    </w:p>
    <w:p w14:paraId="265B2740">
      <w:pPr>
        <w:pStyle w:val="4"/>
        <w:bidi w:val="0"/>
        <w:rPr>
          <w:rFonts w:hint="eastAsia"/>
        </w:rPr>
      </w:pPr>
      <w:r>
        <w:rPr>
          <w:rFonts w:hint="eastAsia"/>
        </w:rPr>
        <w:t>【风险防控】</w:t>
      </w:r>
    </w:p>
    <w:p w14:paraId="109669D6">
      <w:pPr>
        <w:rPr>
          <w:rFonts w:hint="eastAsia"/>
        </w:rPr>
      </w:pPr>
      <w:r>
        <w:rPr>
          <w:rFonts w:hint="eastAsia"/>
        </w:rPr>
        <w:t>加强内控管理，强化风险防控。牢固树立“违规就是风险、安全就是效益”的风险管理理念，强化风险意识，把风险控制放在业务经营的首位，防范和化解风险。一是加强员工思想行为的管理与排</w:t>
      </w:r>
      <w:r>
        <w:rPr>
          <w:rFonts w:hint="eastAsia"/>
          <w:lang w:eastAsia="zh-CN"/>
        </w:rPr>
        <w:t>查</w:t>
      </w:r>
      <w:r>
        <w:rPr>
          <w:rFonts w:hint="eastAsia"/>
        </w:rPr>
        <w:t>以及信访维稳工作，做到明确责任，落实排</w:t>
      </w:r>
      <w:r>
        <w:rPr>
          <w:rFonts w:hint="eastAsia"/>
          <w:lang w:eastAsia="zh-CN"/>
        </w:rPr>
        <w:t>查</w:t>
      </w:r>
      <w:r>
        <w:rPr>
          <w:rFonts w:hint="eastAsia"/>
        </w:rPr>
        <w:t>、维稳措施。及时了解和掌握员工思想动态和异常行为，防范和化解风险；二是开展网点三化三铁”达标和创建“平安农行”活动，并以“活动”为契机，以跟踪整改和达标为重点，不断提高内控管理水平；三是加强贷后管理，落实信贷风险防控措施，理性营销贷款业务；四是开展行风评议“回头</w:t>
      </w:r>
      <w:r>
        <w:rPr>
          <w:rFonts w:hint="eastAsia"/>
          <w:lang w:eastAsia="zh-CN"/>
        </w:rPr>
        <w:t>查</w:t>
      </w:r>
      <w:r>
        <w:rPr>
          <w:rFonts w:hint="eastAsia"/>
        </w:rPr>
        <w:t>”和“三项专项治理”活动，进步灌输和培养员工树立良好的职业道德、严谨的工作作风和合规的职业操守，有效防范和化解风险，为确保支行各项业务依法合规经营奠定坚实的基础。</w:t>
      </w:r>
    </w:p>
    <w:p w14:paraId="0BF60DC3">
      <w:pPr>
        <w:jc w:val="right"/>
        <w:rPr>
          <w:rFonts w:hint="eastAsia"/>
          <w:b/>
          <w:bCs/>
        </w:rPr>
      </w:pPr>
      <w:r>
        <w:rPr>
          <w:rFonts w:hint="eastAsia"/>
          <w:b/>
          <w:bCs/>
          <w:lang w:eastAsia="zh-CN"/>
        </w:rPr>
        <w:t>（</w:t>
      </w:r>
      <w:r>
        <w:rPr>
          <w:rFonts w:hint="eastAsia"/>
          <w:b/>
          <w:bCs/>
        </w:rPr>
        <w:t>董书罗）</w:t>
      </w:r>
    </w:p>
    <w:p w14:paraId="6B7C3BEF">
      <w:pPr>
        <w:pStyle w:val="10"/>
        <w:bidi w:val="0"/>
        <w:rPr>
          <w:rFonts w:hint="eastAsia"/>
          <w:b/>
          <w:bCs/>
        </w:rPr>
      </w:pPr>
      <w:r>
        <w:rPr>
          <w:rFonts w:hint="eastAsia"/>
          <w:b/>
          <w:bCs/>
        </w:rPr>
        <w:t>附：</w:t>
      </w:r>
      <w:r>
        <w:rPr>
          <w:b/>
          <w:bCs/>
        </w:rPr>
        <w:t>2013年中国农业银行南雄支行领导班子成员</w:t>
      </w:r>
      <w:r>
        <w:rPr>
          <w:rFonts w:hint="eastAsia"/>
          <w:b/>
          <w:bCs/>
        </w:rPr>
        <w:t>名单</w:t>
      </w:r>
    </w:p>
    <w:p w14:paraId="53B57179">
      <w:pPr>
        <w:pStyle w:val="10"/>
        <w:bidi w:val="0"/>
      </w:pPr>
      <w:r>
        <w:rPr>
          <w:rFonts w:hint="eastAsia"/>
          <w:b/>
          <w:bCs/>
        </w:rPr>
        <w:t>行</w:t>
      </w:r>
      <w:r>
        <w:rPr>
          <w:rFonts w:hint="eastAsia"/>
          <w:b/>
          <w:bCs/>
          <w:lang w:val="en-US" w:eastAsia="zh-CN"/>
        </w:rPr>
        <w:t xml:space="preserve">  </w:t>
      </w:r>
      <w:r>
        <w:rPr>
          <w:rFonts w:hint="eastAsia"/>
          <w:b/>
          <w:bCs/>
        </w:rPr>
        <w:t>长：</w:t>
      </w:r>
      <w:r>
        <w:rPr>
          <w:rFonts w:hint="eastAsia"/>
        </w:rPr>
        <w:t>刘显锋（</w:t>
      </w:r>
      <w:r>
        <w:t>9月任）</w:t>
      </w:r>
    </w:p>
    <w:p w14:paraId="7E4513AD">
      <w:pPr>
        <w:pStyle w:val="10"/>
        <w:bidi w:val="0"/>
        <w:rPr>
          <w:rFonts w:hint="default" w:eastAsia="宋体"/>
          <w:lang w:val="en-US" w:eastAsia="zh-CN"/>
        </w:rPr>
      </w:pPr>
      <w:r>
        <w:rPr>
          <w:rFonts w:hint="eastAsia"/>
          <w:b/>
          <w:bCs/>
        </w:rPr>
        <w:t>副行长：</w:t>
      </w:r>
      <w:r>
        <w:rPr>
          <w:rFonts w:hint="eastAsia"/>
        </w:rPr>
        <w:t>聂郁龙（任至</w:t>
      </w:r>
      <w:r>
        <w:t>6月）</w:t>
      </w:r>
      <w:r>
        <w:rPr>
          <w:rFonts w:hint="eastAsia"/>
          <w:lang w:val="en-US" w:eastAsia="zh-CN"/>
        </w:rPr>
        <w:t xml:space="preserve">   </w:t>
      </w:r>
      <w:r>
        <w:t>黄宝新</w:t>
      </w:r>
    </w:p>
    <w:p w14:paraId="07F9456B">
      <w:pPr>
        <w:pStyle w:val="10"/>
        <w:bidi w:val="0"/>
        <w:ind w:firstLine="840" w:firstLineChars="400"/>
      </w:pPr>
      <w:r>
        <w:rPr>
          <w:rFonts w:hint="eastAsia"/>
        </w:rPr>
        <w:t>王长江（</w:t>
      </w:r>
      <w:r>
        <w:t>3月任）</w:t>
      </w:r>
    </w:p>
    <w:p w14:paraId="1E29C577">
      <w:pPr>
        <w:pStyle w:val="3"/>
        <w:bidi w:val="0"/>
        <w:rPr>
          <w:rFonts w:hint="eastAsia"/>
        </w:rPr>
      </w:pPr>
      <w:r>
        <w:rPr>
          <w:rFonts w:hint="eastAsia"/>
        </w:rPr>
        <w:t>南雄市农村信用合作联社</w:t>
      </w:r>
    </w:p>
    <w:p w14:paraId="69FE7732">
      <w:pPr>
        <w:pStyle w:val="4"/>
        <w:bidi w:val="0"/>
        <w:rPr>
          <w:rFonts w:hint="eastAsia"/>
        </w:rPr>
      </w:pPr>
      <w:r>
        <w:rPr>
          <w:rFonts w:hint="eastAsia"/>
        </w:rPr>
        <w:t>【机构概况】</w:t>
      </w:r>
    </w:p>
    <w:p w14:paraId="7931DBEB">
      <w:pPr>
        <w:rPr>
          <w:rFonts w:hint="eastAsia"/>
        </w:rPr>
      </w:pPr>
      <w:r>
        <w:rPr>
          <w:rFonts w:hint="eastAsia"/>
        </w:rPr>
        <w:t>南雄市农村信用合作联社（以下简称：南雄联社）</w:t>
      </w:r>
      <w:r>
        <w:t>2013年重点开展流程银行改革，对</w:t>
      </w:r>
      <w:r>
        <w:rPr>
          <w:rFonts w:hint="eastAsia"/>
        </w:rPr>
        <w:t>各项业务及管理流程进行再造，并以此为契机，推进二次转型。</w:t>
      </w:r>
      <w:r>
        <w:t>2013年南雄联社机关内设9个职能部</w:t>
      </w:r>
      <w:r>
        <w:rPr>
          <w:rFonts w:hint="eastAsia"/>
        </w:rPr>
        <w:t>门（分别是办公室、人力资源部、内审监察部、运营部、合规与风险管理部、电子银行部、授信管理部、金融业务部、安全保卫部）；辖内设立网点</w:t>
      </w:r>
      <w:r>
        <w:t>20</w:t>
      </w:r>
      <w:r>
        <w:rPr>
          <w:rFonts w:hint="eastAsia"/>
        </w:rPr>
        <w:t>个，其中</w:t>
      </w:r>
      <w:r>
        <w:t>1个联社营业部，5个基层信用社（分别</w:t>
      </w:r>
      <w:r>
        <w:rPr>
          <w:rFonts w:hint="eastAsia"/>
        </w:rPr>
        <w:t>是南雄市农村信用合作联社雄州信用社、全安信用社、珠玑信用社、黄坑信用社、乌迳信用社）；</w:t>
      </w:r>
      <w:r>
        <w:t>14</w:t>
      </w:r>
      <w:r>
        <w:rPr>
          <w:rFonts w:hint="eastAsia"/>
        </w:rPr>
        <w:t>个分社（分别是南雄市农村信用合作联社修仁分社、雄中分社、坪田分社、界址分社、南亩分社</w:t>
      </w:r>
      <w:r>
        <w:rPr>
          <w:rFonts w:hint="eastAsia"/>
          <w:lang w:eastAsia="zh-CN"/>
        </w:rPr>
        <w:t>、</w:t>
      </w:r>
      <w:r>
        <w:rPr>
          <w:rFonts w:hint="eastAsia"/>
        </w:rPr>
        <w:t>大塘分社、水口分社、湖口分社、邓坊分社、古市分社、百顺分社、河南分社、黎口分社、主田分社），是全市网点最多的农村金融机构，也是县域金融的主力军。</w:t>
      </w:r>
    </w:p>
    <w:p w14:paraId="582C43FF">
      <w:pPr>
        <w:pStyle w:val="4"/>
        <w:bidi w:val="0"/>
        <w:rPr>
          <w:rFonts w:hint="eastAsia"/>
        </w:rPr>
      </w:pPr>
      <w:r>
        <w:rPr>
          <w:rFonts w:hint="eastAsia"/>
        </w:rPr>
        <w:t>【人员编制】</w:t>
      </w:r>
    </w:p>
    <w:p w14:paraId="472E780C">
      <w:r>
        <w:rPr>
          <w:rFonts w:hint="eastAsia"/>
        </w:rPr>
        <w:t>南雄联社</w:t>
      </w:r>
      <w:r>
        <w:t>2013年底从业人员217</w:t>
      </w:r>
      <w:r>
        <w:rPr>
          <w:rFonts w:hint="eastAsia"/>
        </w:rPr>
        <w:t>人，其中：党员</w:t>
      </w:r>
      <w:r>
        <w:t>75人，研究生学历1人，本科学</w:t>
      </w:r>
      <w:r>
        <w:rPr>
          <w:rFonts w:hint="eastAsia"/>
        </w:rPr>
        <w:t>历</w:t>
      </w:r>
      <w:r>
        <w:t>106人，大专学历91人，中专19人；理财师1</w:t>
      </w:r>
      <w:r>
        <w:rPr>
          <w:rFonts w:hint="eastAsia"/>
        </w:rPr>
        <w:t>人，中国注册金融分析师</w:t>
      </w:r>
      <w:r>
        <w:t>2名，中级会计师职称1</w:t>
      </w:r>
      <w:r>
        <w:rPr>
          <w:rFonts w:hint="eastAsia"/>
        </w:rPr>
        <w:t>人，中级经济师职称</w:t>
      </w:r>
      <w:r>
        <w:t>30人，助理级职称79人。</w:t>
      </w:r>
    </w:p>
    <w:p w14:paraId="3AD5BCA8">
      <w:pPr>
        <w:pStyle w:val="4"/>
        <w:bidi w:val="0"/>
        <w:rPr>
          <w:rFonts w:hint="eastAsia"/>
        </w:rPr>
      </w:pPr>
      <w:r>
        <w:rPr>
          <w:rFonts w:hint="eastAsia"/>
        </w:rPr>
        <w:t>【主要业绩】</w:t>
      </w:r>
    </w:p>
    <w:p w14:paraId="694E7951">
      <w:r>
        <w:t>2013年底，南雄联社各项存款306</w:t>
      </w:r>
      <w:r>
        <w:rPr>
          <w:rFonts w:hint="eastAsia"/>
          <w:lang w:eastAsia="zh-CN"/>
        </w:rPr>
        <w:t>.</w:t>
      </w:r>
      <w:r>
        <w:t>855万元，年净增54</w:t>
      </w:r>
      <w:r>
        <w:rPr>
          <w:rFonts w:hint="eastAsia"/>
          <w:lang w:eastAsia="zh-CN"/>
        </w:rPr>
        <w:t>.</w:t>
      </w:r>
      <w:r>
        <w:t>357万元；各项贷款190</w:t>
      </w:r>
      <w:r>
        <w:rPr>
          <w:rFonts w:hint="eastAsia"/>
          <w:lang w:eastAsia="zh-CN"/>
        </w:rPr>
        <w:t>.</w:t>
      </w:r>
      <w:r>
        <w:t>226万元，比年初增加49</w:t>
      </w:r>
      <w:r>
        <w:rPr>
          <w:rFonts w:hint="eastAsia"/>
          <w:lang w:eastAsia="zh-CN"/>
        </w:rPr>
        <w:t>.</w:t>
      </w:r>
      <w:r>
        <w:t>467万元，累计发放贷</w:t>
      </w:r>
      <w:r>
        <w:rPr>
          <w:rFonts w:hint="eastAsia"/>
        </w:rPr>
        <w:t>款</w:t>
      </w:r>
      <w:r>
        <w:t>115</w:t>
      </w:r>
      <w:r>
        <w:rPr>
          <w:rFonts w:hint="eastAsia"/>
          <w:lang w:eastAsia="zh-CN"/>
        </w:rPr>
        <w:t>.</w:t>
      </w:r>
      <w:r>
        <w:t>976万元。其中发放涉农贷款87</w:t>
      </w:r>
      <w:r>
        <w:rPr>
          <w:rFonts w:hint="eastAsia"/>
          <w:lang w:eastAsia="zh-CN"/>
        </w:rPr>
        <w:t>.</w:t>
      </w:r>
      <w:r>
        <w:t>323万</w:t>
      </w:r>
      <w:r>
        <w:rPr>
          <w:rFonts w:hint="eastAsia"/>
        </w:rPr>
        <w:t>元，投放中小微企业贷款</w:t>
      </w:r>
      <w:r>
        <w:t>94</w:t>
      </w:r>
      <w:r>
        <w:rPr>
          <w:rFonts w:hint="eastAsia"/>
          <w:lang w:eastAsia="zh-CN"/>
        </w:rPr>
        <w:t>.</w:t>
      </w:r>
      <w:r>
        <w:t>678万元；累计发行</w:t>
      </w:r>
      <w:r>
        <w:rPr>
          <w:rFonts w:hint="eastAsia"/>
        </w:rPr>
        <w:t>珠江平安卡</w:t>
      </w:r>
      <w:r>
        <w:t>108506张，比年初新增18659张，卡内</w:t>
      </w:r>
      <w:r>
        <w:rPr>
          <w:rFonts w:hint="eastAsia"/>
        </w:rPr>
        <w:t>余额</w:t>
      </w:r>
      <w:r>
        <w:t>39717万元，比年初新增8788万元；累计安装ATM13台、CRS12台，CRS比年初新安装9台；累</w:t>
      </w:r>
      <w:r>
        <w:rPr>
          <w:rFonts w:hint="eastAsia"/>
        </w:rPr>
        <w:t>计安装</w:t>
      </w:r>
      <w:r>
        <w:t>POS215台，比年初新安装53台；累计安装</w:t>
      </w:r>
      <w:r>
        <w:rPr>
          <w:rFonts w:hint="eastAsia"/>
        </w:rPr>
        <w:t>自助服务终端</w:t>
      </w:r>
      <w:r>
        <w:t>16台，比年初新安装2台；发放</w:t>
      </w:r>
      <w:r>
        <w:rPr>
          <w:rFonts w:hint="eastAsia"/>
          <w:lang w:eastAsia="zh-CN"/>
        </w:rPr>
        <w:t>“</w:t>
      </w:r>
      <w:r>
        <w:t>二代社保卡</w:t>
      </w:r>
      <w:r>
        <w:rPr>
          <w:rFonts w:hint="eastAsia"/>
          <w:lang w:eastAsia="zh-CN"/>
        </w:rPr>
        <w:t>”</w:t>
      </w:r>
      <w:r>
        <w:t>申领表3600份。</w:t>
      </w:r>
    </w:p>
    <w:p w14:paraId="59730019">
      <w:pPr>
        <w:jc w:val="right"/>
        <w:rPr>
          <w:rFonts w:hint="eastAsia"/>
          <w:b/>
          <w:bCs/>
        </w:rPr>
      </w:pPr>
      <w:r>
        <w:rPr>
          <w:rFonts w:hint="eastAsia"/>
          <w:b/>
          <w:bCs/>
        </w:rPr>
        <w:t>（李</w:t>
      </w:r>
      <w:r>
        <w:rPr>
          <w:rFonts w:hint="eastAsia"/>
          <w:b/>
          <w:bCs/>
          <w:lang w:val="en-US" w:eastAsia="zh-CN"/>
        </w:rPr>
        <w:t xml:space="preserve">  </w:t>
      </w:r>
      <w:r>
        <w:rPr>
          <w:rFonts w:hint="eastAsia"/>
          <w:b/>
          <w:bCs/>
        </w:rPr>
        <w:t>宏）</w:t>
      </w:r>
    </w:p>
    <w:p w14:paraId="0F5A8ADF">
      <w:pPr>
        <w:pStyle w:val="10"/>
        <w:bidi w:val="0"/>
        <w:rPr>
          <w:b/>
          <w:bCs/>
        </w:rPr>
      </w:pPr>
      <w:r>
        <w:rPr>
          <w:rFonts w:hint="eastAsia"/>
          <w:b/>
          <w:bCs/>
        </w:rPr>
        <w:t>附：</w:t>
      </w:r>
      <w:r>
        <w:rPr>
          <w:b/>
          <w:bCs/>
        </w:rPr>
        <w:t>2013年市农村信用合作联社领导班子成员名单</w:t>
      </w:r>
    </w:p>
    <w:p w14:paraId="5C366248">
      <w:pPr>
        <w:pStyle w:val="10"/>
        <w:bidi w:val="0"/>
        <w:rPr>
          <w:rFonts w:hint="eastAsia"/>
        </w:rPr>
      </w:pPr>
      <w:r>
        <w:rPr>
          <w:rFonts w:hint="eastAsia"/>
          <w:b/>
          <w:bCs/>
        </w:rPr>
        <w:t>党委书记、理事长：</w:t>
      </w:r>
      <w:r>
        <w:rPr>
          <w:rFonts w:hint="eastAsia"/>
        </w:rPr>
        <w:t>吴新华</w:t>
      </w:r>
    </w:p>
    <w:p w14:paraId="31C78F20">
      <w:pPr>
        <w:pStyle w:val="10"/>
        <w:bidi w:val="0"/>
        <w:rPr>
          <w:rFonts w:hint="eastAsia"/>
        </w:rPr>
      </w:pPr>
      <w:r>
        <w:rPr>
          <w:rFonts w:hint="eastAsia"/>
          <w:b/>
          <w:bCs/>
        </w:rPr>
        <w:t>党委副书记、主任：</w:t>
      </w:r>
      <w:r>
        <w:rPr>
          <w:rFonts w:hint="eastAsia"/>
        </w:rPr>
        <w:t>伍时伟</w:t>
      </w:r>
    </w:p>
    <w:p w14:paraId="34EBEB01">
      <w:pPr>
        <w:pStyle w:val="10"/>
        <w:bidi w:val="0"/>
        <w:rPr>
          <w:rFonts w:hint="eastAsia"/>
        </w:rPr>
      </w:pPr>
      <w:r>
        <w:rPr>
          <w:rFonts w:hint="eastAsia"/>
          <w:b/>
          <w:bCs/>
        </w:rPr>
        <w:t>党委委员、副主任：</w:t>
      </w:r>
      <w:r>
        <w:rPr>
          <w:rFonts w:hint="eastAsia"/>
        </w:rPr>
        <w:t>叶志清</w:t>
      </w:r>
    </w:p>
    <w:p w14:paraId="54239DB6">
      <w:pPr>
        <w:pStyle w:val="10"/>
        <w:bidi w:val="0"/>
        <w:rPr>
          <w:rFonts w:hint="eastAsia"/>
        </w:rPr>
      </w:pPr>
      <w:r>
        <w:rPr>
          <w:rFonts w:hint="eastAsia"/>
          <w:b/>
          <w:bCs/>
        </w:rPr>
        <w:t>纪检书记、监事长：</w:t>
      </w:r>
      <w:r>
        <w:rPr>
          <w:rFonts w:hint="eastAsia"/>
        </w:rPr>
        <w:t>朱瑞洪</w:t>
      </w:r>
    </w:p>
    <w:p w14:paraId="1AAB3657">
      <w:pPr>
        <w:pStyle w:val="3"/>
        <w:bidi w:val="0"/>
        <w:rPr>
          <w:rFonts w:hint="eastAsia"/>
          <w:lang w:eastAsia="zh-CN"/>
        </w:rPr>
      </w:pPr>
      <w:r>
        <w:rPr>
          <w:rFonts w:hint="eastAsia"/>
        </w:rPr>
        <w:t>中国人寿保险股份有限公司南雄市支公司</w:t>
      </w:r>
    </w:p>
    <w:p w14:paraId="5CE11933">
      <w:pPr>
        <w:pStyle w:val="4"/>
        <w:bidi w:val="0"/>
        <w:rPr>
          <w:rFonts w:hint="eastAsia"/>
        </w:rPr>
      </w:pPr>
      <w:r>
        <w:rPr>
          <w:rFonts w:hint="eastAsia"/>
          <w:lang w:eastAsia="zh-CN"/>
        </w:rPr>
        <w:t>【</w:t>
      </w:r>
      <w:r>
        <w:rPr>
          <w:rFonts w:hint="eastAsia"/>
        </w:rPr>
        <w:t>概况】</w:t>
      </w:r>
    </w:p>
    <w:p w14:paraId="0BF14FA5">
      <w:pPr>
        <w:rPr>
          <w:rFonts w:hint="eastAsia"/>
        </w:rPr>
      </w:pPr>
      <w:r>
        <w:rPr>
          <w:rFonts w:hint="eastAsia"/>
        </w:rPr>
        <w:t>中国人寿保险股份有限公司南雄市支公司前身为中国人寿保险公司南雄市支公司，于</w:t>
      </w:r>
      <w:r>
        <w:t>2003</w:t>
      </w:r>
      <w:r>
        <w:rPr>
          <w:rFonts w:hint="eastAsia"/>
        </w:rPr>
        <w:t>年</w:t>
      </w:r>
      <w:r>
        <w:t>6月30日由原中国人寿保险公司重组改制后所</w:t>
      </w:r>
      <w:r>
        <w:rPr>
          <w:rFonts w:hint="eastAsia"/>
        </w:rPr>
        <w:t>属分支机构统一更名。辖属设有</w:t>
      </w:r>
      <w:r>
        <w:t>7个营销服务网点</w:t>
      </w:r>
      <w:r>
        <w:rPr>
          <w:rFonts w:hint="eastAsia"/>
        </w:rPr>
        <w:t>（乌迳镇营业部、黄坑镇营销服务部、湖口镇营销服务部、水口镇营销服务部、珠玑镇营销服务部</w:t>
      </w:r>
      <w:r>
        <w:rPr>
          <w:rFonts w:hint="eastAsia"/>
          <w:lang w:eastAsia="zh-CN"/>
        </w:rPr>
        <w:t>、</w:t>
      </w:r>
      <w:r>
        <w:rPr>
          <w:rFonts w:hint="eastAsia"/>
        </w:rPr>
        <w:t>百顺镇营销服务部、雄州营销服务部），内设综合部、个人保险业务部、团体保险业务部、银行保险业务部、客户服务中心五个部门，</w:t>
      </w:r>
      <w:r>
        <w:t>2013年干部员工9人，大专以上学历，个人代理人138人，高中以</w:t>
      </w:r>
      <w:r>
        <w:rPr>
          <w:rFonts w:hint="eastAsia"/>
        </w:rPr>
        <w:t>上学历。主要业务范围包括人寿保险、健康保险、意外伤害保险等各类人身保险，兼营车辆、财产保险。公司以悠久的历史、雄厚的实力和优良的服务赢得社会最广泛客户的信赖。</w:t>
      </w:r>
    </w:p>
    <w:p w14:paraId="1AA5363E">
      <w:pPr>
        <w:pStyle w:val="4"/>
        <w:bidi w:val="0"/>
        <w:rPr>
          <w:rFonts w:hint="eastAsia"/>
        </w:rPr>
      </w:pPr>
      <w:r>
        <w:rPr>
          <w:rFonts w:hint="eastAsia"/>
        </w:rPr>
        <w:t>【经营理念】</w:t>
      </w:r>
    </w:p>
    <w:p w14:paraId="12BB127F">
      <w:pPr>
        <w:rPr>
          <w:rFonts w:hint="eastAsia"/>
        </w:rPr>
      </w:pPr>
      <w:r>
        <w:rPr>
          <w:rFonts w:hint="eastAsia"/>
        </w:rPr>
        <w:t>中国人寿保险股份有限公司秉持“成已为人、成人达已”的企业文化核心理念，遵循“诚信为本、稳健经营”的企事业宗旨，致力于造福社会大众，为建设幸福广东，为南雄经济发展贡献更大的力量。</w:t>
      </w:r>
    </w:p>
    <w:p w14:paraId="0DE1ED6A">
      <w:pPr>
        <w:pStyle w:val="4"/>
        <w:bidi w:val="0"/>
        <w:rPr>
          <w:rFonts w:hint="eastAsia"/>
        </w:rPr>
      </w:pPr>
      <w:r>
        <w:rPr>
          <w:rFonts w:hint="eastAsia"/>
        </w:rPr>
        <w:t>【业务完成情况】</w:t>
      </w:r>
    </w:p>
    <w:p w14:paraId="44E88446">
      <w:r>
        <w:t>2013年完成保费6923万元，赔</w:t>
      </w:r>
      <w:r>
        <w:rPr>
          <w:rFonts w:hint="eastAsia"/>
        </w:rPr>
        <w:t>付保险费</w:t>
      </w:r>
      <w:r>
        <w:t>1667万元。</w:t>
      </w:r>
    </w:p>
    <w:p w14:paraId="5647A840">
      <w:pPr>
        <w:pStyle w:val="4"/>
        <w:bidi w:val="0"/>
        <w:rPr>
          <w:rFonts w:hint="eastAsia"/>
        </w:rPr>
      </w:pPr>
      <w:r>
        <w:rPr>
          <w:rFonts w:hint="eastAsia"/>
        </w:rPr>
        <w:t>【开办业务产品】</w:t>
      </w:r>
    </w:p>
    <w:p w14:paraId="76F687B4">
      <w:pPr>
        <w:rPr>
          <w:rFonts w:hint="eastAsia"/>
        </w:rPr>
      </w:pPr>
      <w:r>
        <w:t>2013年，主要以国寿美满一生</w:t>
      </w:r>
      <w:r>
        <w:rPr>
          <w:rFonts w:hint="eastAsia"/>
        </w:rPr>
        <w:t>两全保险（分红型）、国寿福寿年年两全保险（分红型）、国寿福禄鑫尊两全（分红）保险、国寿福禄尊享两全（分红）保险、国寿福禄双喜（分红）保险、国寿福禄金尊（分红）保险、国寿福满一生（分红）、国寿瑞鑫两全（分红）保险、国寿康宁终身重大疾病保险、国寿康宁定期重大疾病保险等为营销主打产品。并推出国寿鸿丰两全（分红）保险、国寿安欣无忧组合产品（分红）保险、国寿新鸿泰两全（分红）保险、国寿鑫泰两全（分红）保险等银行网点代理业务，与各大商业银行签定代理销售合作协议。</w:t>
      </w:r>
    </w:p>
    <w:p w14:paraId="66C3C6D0">
      <w:pPr>
        <w:jc w:val="right"/>
        <w:rPr>
          <w:rFonts w:hint="eastAsia"/>
          <w:b/>
          <w:bCs/>
        </w:rPr>
      </w:pPr>
      <w:r>
        <w:rPr>
          <w:rFonts w:hint="eastAsia"/>
          <w:b/>
          <w:bCs/>
        </w:rPr>
        <w:t>（黎盛维）</w:t>
      </w:r>
    </w:p>
    <w:p w14:paraId="6ABEED07">
      <w:pPr>
        <w:pStyle w:val="10"/>
        <w:bidi w:val="0"/>
        <w:rPr>
          <w:rFonts w:hint="eastAsia"/>
          <w:b/>
          <w:bCs/>
        </w:rPr>
      </w:pPr>
      <w:r>
        <w:rPr>
          <w:rFonts w:hint="eastAsia"/>
          <w:b/>
          <w:bCs/>
        </w:rPr>
        <w:t>附：</w:t>
      </w:r>
      <w:r>
        <w:rPr>
          <w:b/>
          <w:bCs/>
        </w:rPr>
        <w:t>2013年人寿保险南雄市支公司领导班子成员</w:t>
      </w:r>
      <w:r>
        <w:rPr>
          <w:rFonts w:hint="eastAsia"/>
          <w:b/>
          <w:bCs/>
        </w:rPr>
        <w:t>名单</w:t>
      </w:r>
    </w:p>
    <w:p w14:paraId="7B1577F9">
      <w:pPr>
        <w:pStyle w:val="10"/>
        <w:bidi w:val="0"/>
        <w:rPr>
          <w:rFonts w:hint="eastAsia"/>
        </w:rPr>
      </w:pPr>
      <w:r>
        <w:rPr>
          <w:rFonts w:hint="eastAsia"/>
          <w:b/>
          <w:bCs/>
        </w:rPr>
        <w:t>总</w:t>
      </w:r>
      <w:r>
        <w:rPr>
          <w:rFonts w:hint="eastAsia"/>
          <w:b/>
          <w:bCs/>
          <w:lang w:val="en-US" w:eastAsia="zh-CN"/>
        </w:rPr>
        <w:t xml:space="preserve"> </w:t>
      </w:r>
      <w:r>
        <w:rPr>
          <w:rFonts w:hint="eastAsia"/>
          <w:b/>
          <w:bCs/>
        </w:rPr>
        <w:t>经</w:t>
      </w:r>
      <w:r>
        <w:rPr>
          <w:rFonts w:hint="eastAsia"/>
          <w:b/>
          <w:bCs/>
          <w:lang w:val="en-US" w:eastAsia="zh-CN"/>
        </w:rPr>
        <w:t xml:space="preserve"> </w:t>
      </w:r>
      <w:r>
        <w:rPr>
          <w:rFonts w:hint="eastAsia"/>
          <w:b/>
          <w:bCs/>
        </w:rPr>
        <w:t>理：</w:t>
      </w:r>
      <w:r>
        <w:rPr>
          <w:rFonts w:hint="eastAsia"/>
        </w:rPr>
        <w:t>杨沅斌</w:t>
      </w:r>
    </w:p>
    <w:p w14:paraId="595CF204">
      <w:pPr>
        <w:pStyle w:val="10"/>
        <w:bidi w:val="0"/>
        <w:rPr>
          <w:rFonts w:hint="eastAsia"/>
        </w:rPr>
      </w:pPr>
      <w:r>
        <w:rPr>
          <w:rFonts w:hint="eastAsia"/>
          <w:b/>
          <w:bCs/>
        </w:rPr>
        <w:t>副总经理：</w:t>
      </w:r>
      <w:r>
        <w:rPr>
          <w:rFonts w:hint="eastAsia"/>
        </w:rPr>
        <w:t>赵</w:t>
      </w:r>
      <w:r>
        <w:rPr>
          <w:rFonts w:hint="eastAsia"/>
          <w:lang w:val="en-US" w:eastAsia="zh-CN"/>
        </w:rPr>
        <w:t xml:space="preserve">  </w:t>
      </w:r>
      <w:r>
        <w:rPr>
          <w:rFonts w:hint="eastAsia"/>
        </w:rPr>
        <w:t>晖</w:t>
      </w:r>
    </w:p>
    <w:p w14:paraId="689DB850">
      <w:pPr>
        <w:pStyle w:val="3"/>
        <w:bidi w:val="0"/>
        <w:rPr>
          <w:rFonts w:hint="eastAsia"/>
        </w:rPr>
      </w:pPr>
      <w:r>
        <w:rPr>
          <w:rFonts w:hint="eastAsia"/>
        </w:rPr>
        <w:t>中国人民财产保险股份有限公司南雄支公司</w:t>
      </w:r>
    </w:p>
    <w:p w14:paraId="6F1A7509">
      <w:pPr>
        <w:pStyle w:val="4"/>
        <w:bidi w:val="0"/>
        <w:rPr>
          <w:rFonts w:hint="eastAsia"/>
        </w:rPr>
      </w:pPr>
      <w:r>
        <w:rPr>
          <w:rFonts w:hint="eastAsia"/>
        </w:rPr>
        <w:t>【概况】</w:t>
      </w:r>
    </w:p>
    <w:p w14:paraId="2F07F9EF">
      <w:pPr>
        <w:rPr>
          <w:rFonts w:hint="eastAsia"/>
        </w:rPr>
      </w:pPr>
      <w:r>
        <w:rPr>
          <w:rFonts w:hint="eastAsia"/>
        </w:rPr>
        <w:t>中国人民财产保险股份有限公司南雄支公司成立于</w:t>
      </w:r>
      <w:r>
        <w:t>1996年4月8日，其前身是中国人民保</w:t>
      </w:r>
      <w:r>
        <w:rPr>
          <w:rFonts w:hint="eastAsia"/>
        </w:rPr>
        <w:t>险公司南雄县支公司。公司内设总经理室、综合部、理赔分部、直销业务一部和营销业务一部</w:t>
      </w:r>
      <w:r>
        <w:t>5个</w:t>
      </w:r>
      <w:r>
        <w:rPr>
          <w:rFonts w:hint="eastAsia"/>
        </w:rPr>
        <w:t>部门；外设新城营销服务部、雄东营销服务部和乌迳营销服务部</w:t>
      </w:r>
      <w:r>
        <w:t>3个业务网点和18个三农保险服务</w:t>
      </w:r>
      <w:r>
        <w:rPr>
          <w:rFonts w:hint="eastAsia"/>
        </w:rPr>
        <w:t>站。</w:t>
      </w:r>
      <w:r>
        <w:t>2013年有干部职工36人，全部为大专以上学</w:t>
      </w:r>
      <w:r>
        <w:rPr>
          <w:rFonts w:hint="eastAsia"/>
        </w:rPr>
        <w:t>历，其中个人代理人</w:t>
      </w:r>
      <w:r>
        <w:t>16人，全部为高中以上学历。</w:t>
      </w:r>
      <w:r>
        <w:rPr>
          <w:rFonts w:hint="eastAsia"/>
        </w:rPr>
        <w:t>拥有一支经验丰富的保险承保、理赔专业技术队伍。</w:t>
      </w:r>
    </w:p>
    <w:p w14:paraId="73B936EE">
      <w:pPr>
        <w:pStyle w:val="4"/>
        <w:bidi w:val="0"/>
        <w:rPr>
          <w:rFonts w:hint="eastAsia"/>
        </w:rPr>
      </w:pPr>
      <w:r>
        <w:rPr>
          <w:rFonts w:hint="eastAsia"/>
          <w:lang w:eastAsia="zh-CN"/>
        </w:rPr>
        <w:t>【</w:t>
      </w:r>
      <w:r>
        <w:rPr>
          <w:rFonts w:hint="eastAsia"/>
        </w:rPr>
        <w:t>监管部门】</w:t>
      </w:r>
    </w:p>
    <w:p w14:paraId="5F79CE0B">
      <w:pPr>
        <w:rPr>
          <w:rFonts w:hint="eastAsia"/>
        </w:rPr>
      </w:pPr>
      <w:r>
        <w:rPr>
          <w:rFonts w:hint="eastAsia"/>
        </w:rPr>
        <w:t>中国保监会广东监管局</w:t>
      </w:r>
    </w:p>
    <w:p w14:paraId="5A731466">
      <w:pPr>
        <w:pStyle w:val="4"/>
        <w:bidi w:val="0"/>
        <w:rPr>
          <w:rFonts w:hint="eastAsia"/>
        </w:rPr>
      </w:pPr>
      <w:r>
        <w:rPr>
          <w:rFonts w:hint="eastAsia"/>
        </w:rPr>
        <w:t>【经营理念】</w:t>
      </w:r>
    </w:p>
    <w:p w14:paraId="3FAEA9C5">
      <w:pPr>
        <w:rPr>
          <w:rFonts w:hint="eastAsia"/>
        </w:rPr>
      </w:pPr>
      <w:r>
        <w:rPr>
          <w:rFonts w:hint="eastAsia"/>
        </w:rPr>
        <w:t>坚持“人民保险、服务人民”为使命，秉</w:t>
      </w:r>
      <w:r>
        <w:rPr>
          <w:rFonts w:hint="eastAsia"/>
          <w:lang w:val="en-US" w:eastAsia="zh-CN"/>
        </w:rPr>
        <w:t>承</w:t>
      </w:r>
      <w:r>
        <w:rPr>
          <w:rFonts w:hint="eastAsia"/>
        </w:rPr>
        <w:t>“以人为本、诚信服务、价值至上、永续经营”的经营理念，弘扬“求实、诚信、拼搏、创新”的企业精神，坚持以市场为导向、以客户为中心，积极履行优秀企业公民责任，为促进改革、保障经济、稳定社会、造福人民提供了强大的保险保障。</w:t>
      </w:r>
    </w:p>
    <w:p w14:paraId="5F8F993B">
      <w:pPr>
        <w:pStyle w:val="4"/>
        <w:bidi w:val="0"/>
        <w:rPr>
          <w:rFonts w:hint="eastAsia"/>
        </w:rPr>
      </w:pPr>
      <w:r>
        <w:rPr>
          <w:rFonts w:hint="eastAsia"/>
        </w:rPr>
        <w:t>【业务经营情况】</w:t>
      </w:r>
    </w:p>
    <w:p w14:paraId="2B086B9F">
      <w:r>
        <w:t>2013年实现保费收入2715万</w:t>
      </w:r>
      <w:r>
        <w:rPr>
          <w:rFonts w:hint="eastAsia"/>
        </w:rPr>
        <w:t>元，赔款支出</w:t>
      </w:r>
      <w:r>
        <w:t>1831万元。</w:t>
      </w:r>
    </w:p>
    <w:p w14:paraId="032BC7EB">
      <w:pPr>
        <w:pStyle w:val="4"/>
        <w:bidi w:val="0"/>
        <w:rPr>
          <w:rFonts w:hint="eastAsia"/>
        </w:rPr>
      </w:pPr>
      <w:r>
        <w:rPr>
          <w:rFonts w:hint="eastAsia"/>
        </w:rPr>
        <w:t>【开办业务产品】</w:t>
      </w:r>
    </w:p>
    <w:p w14:paraId="0E30F8D5">
      <w:pPr>
        <w:rPr>
          <w:rFonts w:hint="eastAsia"/>
        </w:rPr>
      </w:pPr>
      <w:r>
        <w:rPr>
          <w:rFonts w:hint="eastAsia"/>
        </w:rPr>
        <w:t>拥有完善的产品研发体系、强大的产品开发能力、门类齐全的在售产品种类，涵盖机动车辆保险、财产保险、船舶货运保险、责任信用保险、意外健康保险、能源及航空航天保险、养殖业保险、政策性农房保险和政策性森林保险等，拥有一批行业领先的创新产品。先后与各大商业银行、农村信用联社和各大修理厂签定代理销售合作协议。</w:t>
      </w:r>
    </w:p>
    <w:p w14:paraId="065B6F00">
      <w:pPr>
        <w:jc w:val="right"/>
        <w:rPr>
          <w:rFonts w:hint="eastAsia"/>
          <w:b/>
          <w:bCs/>
        </w:rPr>
      </w:pPr>
      <w:r>
        <w:rPr>
          <w:rFonts w:hint="eastAsia"/>
          <w:b/>
          <w:bCs/>
        </w:rPr>
        <w:t>（黄彩明）</w:t>
      </w:r>
    </w:p>
    <w:p w14:paraId="7C6F621A">
      <w:pPr>
        <w:pStyle w:val="10"/>
        <w:bidi w:val="0"/>
        <w:rPr>
          <w:rFonts w:hint="eastAsia"/>
          <w:b/>
          <w:bCs/>
        </w:rPr>
      </w:pPr>
      <w:r>
        <w:rPr>
          <w:rFonts w:hint="eastAsia"/>
          <w:b/>
          <w:bCs/>
        </w:rPr>
        <w:t>附：</w:t>
      </w:r>
      <w:r>
        <w:rPr>
          <w:b/>
          <w:bCs/>
        </w:rPr>
        <w:t>2013年人民财产保险南雄支公司领导班子成员</w:t>
      </w:r>
      <w:r>
        <w:rPr>
          <w:rFonts w:hint="eastAsia"/>
          <w:b/>
          <w:bCs/>
        </w:rPr>
        <w:t>名单</w:t>
      </w:r>
    </w:p>
    <w:p w14:paraId="13AB5BF3">
      <w:pPr>
        <w:pStyle w:val="10"/>
        <w:bidi w:val="0"/>
        <w:rPr>
          <w:rFonts w:hint="eastAsia"/>
        </w:rPr>
      </w:pPr>
      <w:r>
        <w:rPr>
          <w:rFonts w:hint="eastAsia"/>
          <w:b/>
          <w:bCs/>
        </w:rPr>
        <w:t>总经理：</w:t>
      </w:r>
      <w:r>
        <w:rPr>
          <w:rFonts w:hint="eastAsia"/>
          <w:lang w:eastAsia="zh-CN"/>
        </w:rPr>
        <w:t>黄</w:t>
      </w:r>
      <w:r>
        <w:rPr>
          <w:rFonts w:hint="eastAsia"/>
        </w:rPr>
        <w:t>信峰</w:t>
      </w:r>
    </w:p>
    <w:p w14:paraId="0345BC7A">
      <w:pPr>
        <w:pStyle w:val="10"/>
        <w:bidi w:val="0"/>
        <w:rPr>
          <w:rFonts w:hint="eastAsia"/>
        </w:rPr>
      </w:pPr>
      <w:r>
        <w:rPr>
          <w:rFonts w:hint="eastAsia"/>
          <w:b/>
          <w:bCs/>
        </w:rPr>
        <w:t>总经理助理：</w:t>
      </w:r>
      <w:r>
        <w:rPr>
          <w:rFonts w:hint="eastAsia"/>
        </w:rPr>
        <w:t>陈世华</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8351B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C15A7A4">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8075" cy="3863340"/>
                  <wp:effectExtent l="0" t="0" r="3175" b="3810"/>
                  <wp:docPr id="57" name="图片 57" descr="南雄年鉴2014-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南雄年鉴2014-057"/>
                          <pic:cNvPicPr>
                            <a:picLocks noChangeAspect="1"/>
                          </pic:cNvPicPr>
                        </pic:nvPicPr>
                        <pic:blipFill>
                          <a:blip r:embed="rId127"/>
                          <a:stretch>
                            <a:fillRect/>
                          </a:stretch>
                        </pic:blipFill>
                        <pic:spPr>
                          <a:xfrm>
                            <a:off x="0" y="0"/>
                            <a:ext cx="6188075" cy="3863340"/>
                          </a:xfrm>
                          <a:prstGeom prst="rect">
                            <a:avLst/>
                          </a:prstGeom>
                        </pic:spPr>
                      </pic:pic>
                    </a:graphicData>
                  </a:graphic>
                </wp:inline>
              </w:drawing>
            </w:r>
          </w:p>
        </w:tc>
      </w:tr>
    </w:tbl>
    <w:p w14:paraId="6172D74B">
      <w:pPr>
        <w:pStyle w:val="2"/>
        <w:bidi w:val="0"/>
        <w:rPr>
          <w:rFonts w:hint="eastAsia"/>
        </w:rPr>
      </w:pPr>
      <w:r>
        <w:rPr>
          <w:rFonts w:hint="eastAsia"/>
        </w:rPr>
        <w:t>科技·教育</w:t>
      </w:r>
    </w:p>
    <w:p w14:paraId="264442E2">
      <w:pPr>
        <w:pStyle w:val="3"/>
        <w:bidi w:val="0"/>
        <w:rPr>
          <w:rFonts w:hint="default"/>
          <w:lang w:val="en-US" w:eastAsia="zh-CN"/>
        </w:rPr>
      </w:pPr>
      <w:r>
        <w:rPr>
          <w:rFonts w:hint="eastAsia"/>
          <w:lang w:val="en-US" w:eastAsia="zh-CN"/>
        </w:rPr>
        <w:t>科技综述</w:t>
      </w:r>
    </w:p>
    <w:p w14:paraId="0A8F79A5">
      <w:pPr>
        <w:pStyle w:val="4"/>
        <w:bidi w:val="0"/>
        <w:rPr>
          <w:rFonts w:hint="eastAsia"/>
        </w:rPr>
      </w:pPr>
      <w:r>
        <w:rPr>
          <w:rFonts w:hint="eastAsia"/>
        </w:rPr>
        <w:t>【概况】</w:t>
      </w:r>
    </w:p>
    <w:p w14:paraId="7A4BF352">
      <w:pPr>
        <w:rPr>
          <w:rFonts w:hint="eastAsia"/>
        </w:rPr>
      </w:pPr>
      <w:r>
        <w:rPr>
          <w:rFonts w:hint="eastAsia"/>
        </w:rPr>
        <w:t>南雄市科学技术局（南雄市知识产权局</w:t>
      </w:r>
      <w:r>
        <w:rPr>
          <w:rFonts w:hint="eastAsia"/>
          <w:lang w:eastAsia="zh-CN"/>
        </w:rPr>
        <w:t>、</w:t>
      </w:r>
      <w:r>
        <w:rPr>
          <w:rFonts w:hint="eastAsia"/>
        </w:rPr>
        <w:t>南雄市地震局）是南雄市人民政府直属管理正科级行政单位。其主要职能：贯彻执行国家和省、市有关科技发展和科技促进经济与社会发展、知识产权、防震减灾的方针、政策和法规；制定全市科技发展大布局、优先领域计划，推进科技创新体系建设，提高科技创新能力；组织制定科技攻关、自然科学基金、重点实验室、星火计划</w:t>
      </w:r>
      <w:r>
        <w:rPr>
          <w:rFonts w:hint="eastAsia"/>
          <w:lang w:val="en-US" w:eastAsia="zh-CN"/>
        </w:rPr>
        <w:t>等</w:t>
      </w:r>
      <w:r>
        <w:rPr>
          <w:rFonts w:hint="eastAsia"/>
        </w:rPr>
        <w:t>科技成果重点推广计划的政策措施；负责管理科技成果、科技奖励、科技保密、技术市场等工作，促进科技服务体系建设；组织和协调知识产权保护与创新体系的建立；负责地震监测、预报、防震、抗震救灾的组织实施工作。行政编制</w:t>
      </w:r>
      <w:r>
        <w:t>8名，实际公务员10人，工勤人员1人。内设股室4个：办公室、地</w:t>
      </w:r>
      <w:r>
        <w:rPr>
          <w:rFonts w:hint="eastAsia"/>
        </w:rPr>
        <w:t>震工作办公室、科技业务股、知识产权股。南雄市科学技术开发服务中心（南雄市生产力促进中心）是南雄市科学技术局下属副科级公益一类事业单位。其主要职能：科技项目申报、科技成果鉴定和转化；为中小企业提供信息、咨询、创业、培训、技术、科技交流与合作等服务工作；负责科技开发、引进、推广、应用及新产品试验、示范工作。事业编制</w:t>
      </w:r>
      <w:r>
        <w:t>9名，实际工作人员10人，内设股室3</w:t>
      </w:r>
      <w:r>
        <w:rPr>
          <w:rFonts w:hint="eastAsia"/>
        </w:rPr>
        <w:t>个：办公室、开发服务部、科技情报室。</w:t>
      </w:r>
    </w:p>
    <w:p w14:paraId="609A0665">
      <w:pPr>
        <w:pStyle w:val="4"/>
        <w:bidi w:val="0"/>
        <w:rPr>
          <w:rFonts w:hint="eastAsia"/>
        </w:rPr>
      </w:pPr>
      <w:r>
        <w:rPr>
          <w:rFonts w:hint="eastAsia"/>
        </w:rPr>
        <w:t>【科技成果奖励】</w:t>
      </w:r>
    </w:p>
    <w:p w14:paraId="7FCB6B80">
      <w:pPr>
        <w:rPr>
          <w:rFonts w:hint="eastAsia"/>
        </w:rPr>
      </w:pPr>
      <w:r>
        <w:t>2013年5月28日下午，南雄市</w:t>
      </w:r>
      <w:r>
        <w:rPr>
          <w:rFonts w:hint="eastAsia"/>
        </w:rPr>
        <w:t>委、市政府在迎宾馆召开“南雄市科技与知识产权工作</w:t>
      </w:r>
      <w:r>
        <w:rPr>
          <w:rFonts w:hint="eastAsia"/>
          <w:lang w:val="en-US" w:eastAsia="zh-CN"/>
        </w:rPr>
        <w:t>暨</w:t>
      </w:r>
      <w:r>
        <w:rPr>
          <w:rFonts w:hint="eastAsia"/>
        </w:rPr>
        <w:t>科技奖励大会”。会上要求加快全面推进南雄市科技创新和成果转化步伐，把切实提升自主创新能力和产业竞争力摆在南雄市经济建设和社会发展的重要位置。并对</w:t>
      </w:r>
      <w:r>
        <w:t>5项科技成果项目完成单位进</w:t>
      </w:r>
      <w:r>
        <w:rPr>
          <w:rFonts w:hint="eastAsia"/>
        </w:rPr>
        <w:t>行表彰奖励。</w:t>
      </w:r>
    </w:p>
    <w:p w14:paraId="5D679283">
      <w:pPr>
        <w:pStyle w:val="10"/>
        <w:bidi w:val="0"/>
        <w:jc w:val="center"/>
        <w:rPr>
          <w:rFonts w:hint="eastAsia"/>
          <w:b/>
          <w:bCs/>
        </w:rPr>
      </w:pPr>
      <w:r>
        <w:rPr>
          <w:rFonts w:hint="eastAsia"/>
          <w:b/>
          <w:bCs/>
        </w:rPr>
        <w:t>表彰奖励科技成果项目表</w:t>
      </w:r>
    </w:p>
    <w:p w14:paraId="0A3053AE">
      <w:pPr>
        <w:bidi w:val="0"/>
        <w:jc w:val="left"/>
        <w:rPr>
          <w:rFonts w:hint="eastAsia"/>
        </w:rPr>
      </w:pPr>
      <w:r>
        <w:rPr>
          <w:rFonts w:hint="eastAsia"/>
        </w:rPr>
        <w:t>表31</w:t>
      </w:r>
    </w:p>
    <w:tbl>
      <w:tblPr>
        <w:tblStyle w:val="7"/>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19"/>
        <w:gridCol w:w="5220"/>
        <w:gridCol w:w="3615"/>
      </w:tblGrid>
      <w:tr w14:paraId="778EC4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pct"/>
            <w:tcBorders>
              <w:top w:val="single" w:color="000000" w:sz="8" w:space="0"/>
              <w:left w:val="nil"/>
              <w:bottom w:val="single" w:color="000000" w:sz="8" w:space="0"/>
              <w:right w:val="single" w:color="000000" w:sz="8" w:space="0"/>
            </w:tcBorders>
            <w:shd w:val="clear" w:color="auto" w:fill="FFFFFF"/>
            <w:noWrap w:val="0"/>
            <w:vAlign w:val="center"/>
          </w:tcPr>
          <w:p w14:paraId="0EF0F51E">
            <w:pPr>
              <w:pStyle w:val="10"/>
              <w:bidi w:val="0"/>
              <w:jc w:val="center"/>
              <w:rPr>
                <w:rFonts w:hint="eastAsia"/>
                <w:b/>
                <w:bCs/>
                <w:color w:val="000000"/>
              </w:rPr>
            </w:pPr>
            <w:r>
              <w:rPr>
                <w:rFonts w:hint="eastAsia"/>
                <w:b/>
                <w:bCs/>
                <w:color w:val="000000"/>
              </w:rPr>
              <w:t>等级</w:t>
            </w:r>
          </w:p>
        </w:tc>
        <w:tc>
          <w:tcPr>
            <w:tcW w:w="262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A9834EE">
            <w:pPr>
              <w:pStyle w:val="10"/>
              <w:bidi w:val="0"/>
              <w:jc w:val="center"/>
              <w:rPr>
                <w:rFonts w:hint="eastAsia"/>
                <w:b/>
                <w:bCs/>
                <w:color w:val="000000"/>
              </w:rPr>
            </w:pPr>
            <w:r>
              <w:rPr>
                <w:rFonts w:hint="eastAsia"/>
                <w:b/>
                <w:bCs/>
                <w:color w:val="000000"/>
              </w:rPr>
              <w:t>项目名称</w:t>
            </w:r>
          </w:p>
        </w:tc>
        <w:tc>
          <w:tcPr>
            <w:tcW w:w="1815" w:type="pct"/>
            <w:tcBorders>
              <w:top w:val="single" w:color="000000" w:sz="8" w:space="0"/>
              <w:left w:val="single" w:color="000000" w:sz="8" w:space="0"/>
              <w:bottom w:val="single" w:color="000000" w:sz="8" w:space="0"/>
              <w:right w:val="nil"/>
            </w:tcBorders>
            <w:shd w:val="clear" w:color="auto" w:fill="FFFFFF"/>
            <w:noWrap w:val="0"/>
            <w:vAlign w:val="center"/>
          </w:tcPr>
          <w:p w14:paraId="082DED2F">
            <w:pPr>
              <w:pStyle w:val="10"/>
              <w:bidi w:val="0"/>
              <w:jc w:val="center"/>
              <w:rPr>
                <w:rFonts w:hint="eastAsia"/>
                <w:b/>
                <w:bCs/>
                <w:color w:val="000000"/>
              </w:rPr>
            </w:pPr>
            <w:r>
              <w:rPr>
                <w:rFonts w:hint="eastAsia"/>
                <w:b/>
                <w:bCs/>
                <w:color w:val="000000"/>
              </w:rPr>
              <w:t>完成单位</w:t>
            </w:r>
          </w:p>
        </w:tc>
      </w:tr>
      <w:tr w14:paraId="32B8C5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pct"/>
            <w:tcBorders>
              <w:top w:val="single" w:color="000000" w:sz="8" w:space="0"/>
              <w:left w:val="nil"/>
              <w:bottom w:val="single" w:color="000000" w:sz="8" w:space="0"/>
              <w:right w:val="single" w:color="000000" w:sz="8" w:space="0"/>
            </w:tcBorders>
            <w:shd w:val="clear" w:color="auto" w:fill="FFFFFF"/>
            <w:noWrap w:val="0"/>
            <w:vAlign w:val="center"/>
          </w:tcPr>
          <w:p w14:paraId="3BDFA775">
            <w:pPr>
              <w:pStyle w:val="10"/>
              <w:bidi w:val="0"/>
              <w:jc w:val="center"/>
              <w:rPr>
                <w:rFonts w:hint="eastAsia"/>
                <w:color w:val="000000"/>
              </w:rPr>
            </w:pPr>
            <w:r>
              <w:rPr>
                <w:rFonts w:hint="eastAsia"/>
                <w:color w:val="000000"/>
              </w:rPr>
              <w:t>一等奖</w:t>
            </w:r>
          </w:p>
        </w:tc>
        <w:tc>
          <w:tcPr>
            <w:tcW w:w="262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4B8709D">
            <w:pPr>
              <w:pStyle w:val="10"/>
              <w:bidi w:val="0"/>
              <w:jc w:val="center"/>
              <w:rPr>
                <w:rFonts w:hint="eastAsia"/>
                <w:color w:val="000000"/>
              </w:rPr>
            </w:pPr>
            <w:r>
              <w:rPr>
                <w:rFonts w:hint="eastAsia"/>
                <w:color w:val="000000"/>
              </w:rPr>
              <w:t>烤烟新品种粤烟97选育与推广应用</w:t>
            </w:r>
          </w:p>
        </w:tc>
        <w:tc>
          <w:tcPr>
            <w:tcW w:w="1815" w:type="pct"/>
            <w:tcBorders>
              <w:top w:val="single" w:color="000000" w:sz="8" w:space="0"/>
              <w:left w:val="single" w:color="000000" w:sz="8" w:space="0"/>
              <w:bottom w:val="single" w:color="000000" w:sz="8" w:space="0"/>
              <w:right w:val="nil"/>
            </w:tcBorders>
            <w:shd w:val="clear" w:color="auto" w:fill="FFFFFF"/>
            <w:noWrap w:val="0"/>
            <w:vAlign w:val="center"/>
          </w:tcPr>
          <w:p w14:paraId="49CA2942">
            <w:pPr>
              <w:pStyle w:val="10"/>
              <w:bidi w:val="0"/>
              <w:jc w:val="center"/>
              <w:rPr>
                <w:rFonts w:hint="eastAsia"/>
                <w:color w:val="000000"/>
              </w:rPr>
            </w:pPr>
            <w:r>
              <w:rPr>
                <w:rFonts w:hint="eastAsia"/>
                <w:color w:val="000000"/>
              </w:rPr>
              <w:t>广东省烟草南雄科学研究所</w:t>
            </w:r>
          </w:p>
          <w:p w14:paraId="4058E9D7">
            <w:pPr>
              <w:pStyle w:val="10"/>
              <w:bidi w:val="0"/>
              <w:jc w:val="center"/>
              <w:rPr>
                <w:rFonts w:hint="eastAsia"/>
                <w:color w:val="000000"/>
              </w:rPr>
            </w:pPr>
            <w:r>
              <w:rPr>
                <w:rFonts w:hint="eastAsia"/>
                <w:color w:val="000000"/>
              </w:rPr>
              <w:t>南雄市科学技术开发服务中心</w:t>
            </w:r>
          </w:p>
        </w:tc>
      </w:tr>
      <w:tr w14:paraId="2738C2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pct"/>
            <w:tcBorders>
              <w:top w:val="single" w:color="000000" w:sz="8" w:space="0"/>
              <w:left w:val="nil"/>
              <w:bottom w:val="single" w:color="000000" w:sz="8" w:space="0"/>
              <w:right w:val="single" w:color="000000" w:sz="8" w:space="0"/>
            </w:tcBorders>
            <w:shd w:val="clear" w:color="auto" w:fill="FFFFFF"/>
            <w:noWrap w:val="0"/>
            <w:vAlign w:val="center"/>
          </w:tcPr>
          <w:p w14:paraId="43378A91">
            <w:pPr>
              <w:pStyle w:val="10"/>
              <w:bidi w:val="0"/>
              <w:jc w:val="center"/>
              <w:rPr>
                <w:rFonts w:hint="eastAsia"/>
                <w:color w:val="000000"/>
              </w:rPr>
            </w:pPr>
            <w:r>
              <w:rPr>
                <w:rFonts w:hint="eastAsia"/>
                <w:color w:val="000000"/>
              </w:rPr>
              <w:t>二等奖</w:t>
            </w:r>
          </w:p>
        </w:tc>
        <w:tc>
          <w:tcPr>
            <w:tcW w:w="262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9D47FA7">
            <w:pPr>
              <w:pStyle w:val="10"/>
              <w:bidi w:val="0"/>
              <w:jc w:val="center"/>
              <w:rPr>
                <w:rFonts w:hint="eastAsia"/>
                <w:color w:val="000000"/>
              </w:rPr>
            </w:pPr>
            <w:r>
              <w:rPr>
                <w:rFonts w:hint="eastAsia"/>
                <w:color w:val="000000"/>
              </w:rPr>
              <w:t>用于临床诊断的新一代高性能血清隔离剂的研发应用</w:t>
            </w:r>
          </w:p>
        </w:tc>
        <w:tc>
          <w:tcPr>
            <w:tcW w:w="1815" w:type="pct"/>
            <w:tcBorders>
              <w:top w:val="single" w:color="000000" w:sz="8" w:space="0"/>
              <w:left w:val="single" w:color="000000" w:sz="8" w:space="0"/>
              <w:bottom w:val="single" w:color="000000" w:sz="8" w:space="0"/>
              <w:right w:val="nil"/>
            </w:tcBorders>
            <w:shd w:val="clear" w:color="auto" w:fill="FFFFFF"/>
            <w:noWrap w:val="0"/>
            <w:vAlign w:val="center"/>
          </w:tcPr>
          <w:p w14:paraId="73EF00BC">
            <w:pPr>
              <w:pStyle w:val="10"/>
              <w:bidi w:val="0"/>
              <w:jc w:val="center"/>
              <w:rPr>
                <w:rFonts w:hint="eastAsia"/>
                <w:color w:val="000000"/>
              </w:rPr>
            </w:pPr>
            <w:r>
              <w:rPr>
                <w:rFonts w:hint="eastAsia"/>
                <w:color w:val="000000"/>
              </w:rPr>
              <w:t>南雄阳普医疗科技有限公司</w:t>
            </w:r>
          </w:p>
        </w:tc>
      </w:tr>
      <w:tr w14:paraId="644B99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trPr>
        <w:tc>
          <w:tcPr>
            <w:tcW w:w="562" w:type="pct"/>
            <w:tcBorders>
              <w:top w:val="single" w:color="000000" w:sz="8" w:space="0"/>
              <w:left w:val="nil"/>
              <w:bottom w:val="single" w:color="000000" w:sz="8" w:space="0"/>
              <w:right w:val="single" w:color="000000" w:sz="8" w:space="0"/>
            </w:tcBorders>
            <w:shd w:val="clear" w:color="auto" w:fill="FFFFFF"/>
            <w:noWrap w:val="0"/>
            <w:vAlign w:val="center"/>
          </w:tcPr>
          <w:p w14:paraId="6D7393F8">
            <w:pPr>
              <w:pStyle w:val="10"/>
              <w:bidi w:val="0"/>
              <w:jc w:val="center"/>
              <w:rPr>
                <w:rFonts w:hint="eastAsia"/>
                <w:color w:val="000000"/>
              </w:rPr>
            </w:pPr>
            <w:r>
              <w:rPr>
                <w:rFonts w:hint="eastAsia"/>
                <w:color w:val="000000"/>
              </w:rPr>
              <w:t>二等奖</w:t>
            </w:r>
          </w:p>
        </w:tc>
        <w:tc>
          <w:tcPr>
            <w:tcW w:w="262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B2C0C10">
            <w:pPr>
              <w:pStyle w:val="10"/>
              <w:bidi w:val="0"/>
              <w:jc w:val="center"/>
              <w:rPr>
                <w:rFonts w:hint="eastAsia"/>
                <w:color w:val="000000"/>
              </w:rPr>
            </w:pPr>
            <w:r>
              <w:rPr>
                <w:rFonts w:hint="eastAsia"/>
                <w:color w:val="000000"/>
              </w:rPr>
              <w:t>贡品红梅粟雄粟一号的选育与推广应用</w:t>
            </w:r>
          </w:p>
        </w:tc>
        <w:tc>
          <w:tcPr>
            <w:tcW w:w="1815" w:type="pct"/>
            <w:tcBorders>
              <w:top w:val="single" w:color="000000" w:sz="8" w:space="0"/>
              <w:left w:val="single" w:color="000000" w:sz="8" w:space="0"/>
              <w:bottom w:val="single" w:color="000000" w:sz="8" w:space="0"/>
              <w:right w:val="nil"/>
            </w:tcBorders>
            <w:shd w:val="clear" w:color="auto" w:fill="FFFFFF"/>
            <w:noWrap w:val="0"/>
            <w:vAlign w:val="center"/>
          </w:tcPr>
          <w:p w14:paraId="5B706280">
            <w:pPr>
              <w:pStyle w:val="10"/>
              <w:bidi w:val="0"/>
              <w:jc w:val="center"/>
              <w:rPr>
                <w:rFonts w:hint="eastAsia"/>
                <w:color w:val="000000"/>
              </w:rPr>
            </w:pPr>
            <w:r>
              <w:rPr>
                <w:rFonts w:hint="eastAsia"/>
                <w:color w:val="000000"/>
              </w:rPr>
              <w:t>南雄市农业科学研究所</w:t>
            </w:r>
          </w:p>
        </w:tc>
      </w:tr>
      <w:tr w14:paraId="0B13E2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pct"/>
            <w:tcBorders>
              <w:top w:val="single" w:color="000000" w:sz="8" w:space="0"/>
              <w:left w:val="nil"/>
              <w:bottom w:val="single" w:color="000000" w:sz="8" w:space="0"/>
              <w:right w:val="single" w:color="000000" w:sz="8" w:space="0"/>
            </w:tcBorders>
            <w:shd w:val="clear" w:color="auto" w:fill="FFFFFF"/>
            <w:noWrap w:val="0"/>
            <w:vAlign w:val="center"/>
          </w:tcPr>
          <w:p w14:paraId="759BB004">
            <w:pPr>
              <w:pStyle w:val="10"/>
              <w:bidi w:val="0"/>
              <w:jc w:val="center"/>
              <w:rPr>
                <w:rFonts w:hint="eastAsia"/>
                <w:color w:val="000000"/>
              </w:rPr>
            </w:pPr>
            <w:r>
              <w:rPr>
                <w:rFonts w:hint="eastAsia"/>
                <w:color w:val="000000"/>
              </w:rPr>
              <w:t>三等奖</w:t>
            </w:r>
          </w:p>
        </w:tc>
        <w:tc>
          <w:tcPr>
            <w:tcW w:w="262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1CABDD2">
            <w:pPr>
              <w:pStyle w:val="10"/>
              <w:bidi w:val="0"/>
              <w:jc w:val="center"/>
              <w:rPr>
                <w:rFonts w:hint="eastAsia"/>
                <w:color w:val="000000"/>
              </w:rPr>
            </w:pPr>
            <w:r>
              <w:rPr>
                <w:rFonts w:hint="eastAsia"/>
                <w:color w:val="000000"/>
              </w:rPr>
              <w:t>环保型塑料表印耐黄变油墨的研发及其生产工艺改进</w:t>
            </w:r>
          </w:p>
        </w:tc>
        <w:tc>
          <w:tcPr>
            <w:tcW w:w="1815" w:type="pct"/>
            <w:tcBorders>
              <w:top w:val="single" w:color="000000" w:sz="8" w:space="0"/>
              <w:left w:val="single" w:color="000000" w:sz="8" w:space="0"/>
              <w:bottom w:val="single" w:color="000000" w:sz="8" w:space="0"/>
              <w:right w:val="nil"/>
            </w:tcBorders>
            <w:shd w:val="clear" w:color="auto" w:fill="FFFFFF"/>
            <w:noWrap w:val="0"/>
            <w:vAlign w:val="center"/>
          </w:tcPr>
          <w:p w14:paraId="7B32799D">
            <w:pPr>
              <w:pStyle w:val="10"/>
              <w:bidi w:val="0"/>
              <w:jc w:val="center"/>
              <w:rPr>
                <w:rFonts w:hint="eastAsia"/>
                <w:color w:val="000000"/>
              </w:rPr>
            </w:pPr>
            <w:r>
              <w:rPr>
                <w:rFonts w:hint="eastAsia"/>
                <w:color w:val="000000"/>
              </w:rPr>
              <w:t>南雄市星辉化工新材料有限公司</w:t>
            </w:r>
          </w:p>
        </w:tc>
      </w:tr>
      <w:tr w14:paraId="736BAB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pct"/>
            <w:tcBorders>
              <w:top w:val="single" w:color="000000" w:sz="8" w:space="0"/>
              <w:left w:val="nil"/>
              <w:bottom w:val="single" w:color="000000" w:sz="8" w:space="0"/>
              <w:right w:val="single" w:color="000000" w:sz="8" w:space="0"/>
            </w:tcBorders>
            <w:shd w:val="clear" w:color="auto" w:fill="FFFFFF"/>
            <w:noWrap w:val="0"/>
            <w:vAlign w:val="center"/>
          </w:tcPr>
          <w:p w14:paraId="26E13EAE">
            <w:pPr>
              <w:pStyle w:val="10"/>
              <w:bidi w:val="0"/>
              <w:jc w:val="both"/>
              <w:rPr>
                <w:rFonts w:hint="eastAsia"/>
                <w:color w:val="000000"/>
              </w:rPr>
            </w:pPr>
            <w:r>
              <w:rPr>
                <w:rFonts w:hint="eastAsia"/>
                <w:color w:val="000000"/>
              </w:rPr>
              <w:t>三等奖</w:t>
            </w:r>
          </w:p>
        </w:tc>
        <w:tc>
          <w:tcPr>
            <w:tcW w:w="262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96773BB">
            <w:pPr>
              <w:pStyle w:val="10"/>
              <w:bidi w:val="0"/>
              <w:jc w:val="center"/>
              <w:rPr>
                <w:rFonts w:hint="eastAsia"/>
                <w:color w:val="000000"/>
              </w:rPr>
            </w:pPr>
            <w:r>
              <w:rPr>
                <w:rFonts w:hint="eastAsia"/>
                <w:color w:val="000000"/>
              </w:rPr>
              <w:t>南雄浓香型风格特色烟叶生产技术开发及示范推广</w:t>
            </w:r>
          </w:p>
        </w:tc>
        <w:tc>
          <w:tcPr>
            <w:tcW w:w="1815" w:type="pct"/>
            <w:tcBorders>
              <w:top w:val="single" w:color="000000" w:sz="8" w:space="0"/>
              <w:left w:val="single" w:color="000000" w:sz="8" w:space="0"/>
              <w:bottom w:val="single" w:color="000000" w:sz="8" w:space="0"/>
              <w:right w:val="nil"/>
            </w:tcBorders>
            <w:shd w:val="clear" w:color="auto" w:fill="FFFFFF"/>
            <w:noWrap w:val="0"/>
            <w:vAlign w:val="center"/>
          </w:tcPr>
          <w:p w14:paraId="4B4DCB4F">
            <w:pPr>
              <w:pStyle w:val="10"/>
              <w:bidi w:val="0"/>
              <w:jc w:val="center"/>
              <w:rPr>
                <w:rFonts w:hint="eastAsia"/>
                <w:color w:val="000000"/>
              </w:rPr>
            </w:pPr>
            <w:r>
              <w:rPr>
                <w:rFonts w:hint="eastAsia"/>
                <w:color w:val="000000"/>
              </w:rPr>
              <w:t>广东省烟草南雄科学研究所</w:t>
            </w:r>
          </w:p>
          <w:p w14:paraId="63B4410A">
            <w:pPr>
              <w:pStyle w:val="10"/>
              <w:bidi w:val="0"/>
              <w:jc w:val="center"/>
              <w:rPr>
                <w:rFonts w:hint="eastAsia"/>
                <w:color w:val="000000"/>
              </w:rPr>
            </w:pPr>
            <w:r>
              <w:rPr>
                <w:rFonts w:hint="eastAsia"/>
                <w:color w:val="000000"/>
              </w:rPr>
              <w:t>广东省烟草南雄市有限公司</w:t>
            </w:r>
          </w:p>
          <w:p w14:paraId="6EF17D49">
            <w:pPr>
              <w:pStyle w:val="10"/>
              <w:bidi w:val="0"/>
              <w:jc w:val="center"/>
              <w:rPr>
                <w:rFonts w:hint="eastAsia"/>
                <w:color w:val="000000"/>
              </w:rPr>
            </w:pPr>
            <w:r>
              <w:rPr>
                <w:rFonts w:hint="eastAsia"/>
                <w:color w:val="000000"/>
              </w:rPr>
              <w:t>川渝中烟工业有限责任公司</w:t>
            </w:r>
          </w:p>
        </w:tc>
      </w:tr>
    </w:tbl>
    <w:p w14:paraId="58F79F85">
      <w:pPr>
        <w:pStyle w:val="4"/>
        <w:bidi w:val="0"/>
        <w:rPr>
          <w:rFonts w:hint="eastAsia"/>
        </w:rPr>
      </w:pPr>
      <w:r>
        <w:rPr>
          <w:rFonts w:hint="eastAsia"/>
        </w:rPr>
        <w:t>【科技创新体系建设】</w:t>
      </w:r>
    </w:p>
    <w:p w14:paraId="03C810A9">
      <w:pPr>
        <w:rPr>
          <w:rFonts w:hint="eastAsia"/>
        </w:rPr>
      </w:pPr>
      <w:r>
        <w:t>2013年7月</w:t>
      </w:r>
      <w:r>
        <w:rPr>
          <w:rFonts w:hint="eastAsia"/>
          <w:lang w:eastAsia="zh-CN"/>
        </w:rPr>
        <w:t>“</w:t>
      </w:r>
      <w:r>
        <w:t>南雄阳普医</w:t>
      </w:r>
      <w:r>
        <w:rPr>
          <w:rFonts w:hint="eastAsia"/>
        </w:rPr>
        <w:t>疗科技有限公司”被广东省科技厅批准认定为“广东省高新技术企业”，成为南雄市第一家高新技术企业。</w:t>
      </w:r>
      <w:r>
        <w:t>2013年6月“南雄市全安镇精细化工技术创</w:t>
      </w:r>
      <w:r>
        <w:rPr>
          <w:rFonts w:hint="eastAsia"/>
        </w:rPr>
        <w:t>新专业镇”被广东省科技厅批准为工业类技术创新专业镇，成为韶关市第一家工业类技术创新专业镇。“南雄市汇源化工科技有限公司”生产的“甲叉二硫氰酸酯”、“南雄市星辉化工新材料有限公司”生产的“无苯耐醇的</w:t>
      </w:r>
      <w:r>
        <w:t>PE</w:t>
      </w:r>
      <w:r>
        <w:rPr>
          <w:rFonts w:hint="eastAsia"/>
          <w:lang w:val="en-US" w:eastAsia="zh-CN"/>
        </w:rPr>
        <w:t>T</w:t>
      </w:r>
      <w:r>
        <w:t>热收缩膜塑料印刷</w:t>
      </w:r>
      <w:r>
        <w:rPr>
          <w:rFonts w:hint="eastAsia"/>
        </w:rPr>
        <w:t>油墨”、“环保型醇溶</w:t>
      </w:r>
      <w:r>
        <w:t>OPS热收缩膜镜面塑料印刷</w:t>
      </w:r>
      <w:r>
        <w:rPr>
          <w:rFonts w:hint="eastAsia"/>
        </w:rPr>
        <w:t>油墨”、“南雄阳普医疗科技有限公司”生产的</w:t>
      </w:r>
      <w:r>
        <w:rPr>
          <w:rFonts w:hint="eastAsia"/>
          <w:lang w:eastAsia="zh-CN"/>
        </w:rPr>
        <w:t>“</w:t>
      </w:r>
      <w:r>
        <w:t>用于临床诊断的高性能血清分离剂”、“广东邦固</w:t>
      </w:r>
      <w:r>
        <w:rPr>
          <w:rFonts w:hint="eastAsia"/>
        </w:rPr>
        <w:t>化学科技有限公司”生产的“冷</w:t>
      </w:r>
      <w:r>
        <w:rPr>
          <w:rFonts w:hint="eastAsia"/>
          <w:lang w:val="en-US" w:eastAsia="zh-CN"/>
        </w:rPr>
        <w:t>烫</w:t>
      </w:r>
      <w:r>
        <w:rPr>
          <w:rFonts w:hint="eastAsia"/>
        </w:rPr>
        <w:t>全息防伪信息层涂料”、“抗刮、可印刷离型剂”、“南雄市星辉化工新材料有限公司”生产的“环保型塑料表印耐黄变油墨”</w:t>
      </w:r>
      <w:r>
        <w:t>7个产品被广东省科技厅认定为“广东省</w:t>
      </w:r>
      <w:r>
        <w:rPr>
          <w:rFonts w:hint="eastAsia"/>
        </w:rPr>
        <w:t>高新技术产品”。</w:t>
      </w:r>
      <w:r>
        <w:t>2013年6月28日南雄市科学技术</w:t>
      </w:r>
      <w:r>
        <w:rPr>
          <w:rFonts w:hint="eastAsia"/>
        </w:rPr>
        <w:t>局与广东省科协“广东省科技工作者服务中心”合作，在南雄市成立广东省第一家县级“科技工作者服务站”。</w:t>
      </w:r>
    </w:p>
    <w:p w14:paraId="0074BEC9">
      <w:pPr>
        <w:pStyle w:val="3"/>
        <w:bidi w:val="0"/>
        <w:rPr>
          <w:rFonts w:hint="default"/>
          <w:lang w:val="en-US" w:eastAsia="zh-CN"/>
        </w:rPr>
      </w:pPr>
      <w:r>
        <w:rPr>
          <w:rFonts w:hint="eastAsia"/>
          <w:lang w:val="en-US" w:eastAsia="zh-CN"/>
        </w:rPr>
        <w:t>知识产权保护</w:t>
      </w:r>
    </w:p>
    <w:p w14:paraId="2299CC41">
      <w:pPr>
        <w:pStyle w:val="4"/>
        <w:bidi w:val="0"/>
        <w:rPr>
          <w:rFonts w:hint="eastAsia"/>
        </w:rPr>
      </w:pPr>
      <w:r>
        <w:rPr>
          <w:rFonts w:hint="eastAsia"/>
          <w:lang w:eastAsia="zh-CN"/>
        </w:rPr>
        <w:t>【</w:t>
      </w:r>
      <w:r>
        <w:rPr>
          <w:rFonts w:hint="eastAsia"/>
        </w:rPr>
        <w:t>专利申请量】</w:t>
      </w:r>
    </w:p>
    <w:p w14:paraId="7561AD80">
      <w:pPr>
        <w:rPr>
          <w:rFonts w:hint="eastAsia"/>
          <w:lang w:eastAsia="zh-CN"/>
        </w:rPr>
      </w:pPr>
      <w:r>
        <w:t>2013年南雄市专利申请量：发明</w:t>
      </w:r>
      <w:r>
        <w:rPr>
          <w:rFonts w:hint="eastAsia"/>
        </w:rPr>
        <w:t>专利</w:t>
      </w:r>
      <w:r>
        <w:t>29个，实用新型专利108个，外观设计专利41个。专利授权：发明专利5个，实用新型专利82个，外观设计专利27个</w:t>
      </w:r>
      <w:r>
        <w:rPr>
          <w:rFonts w:hint="eastAsia"/>
          <w:lang w:eastAsia="zh-CN"/>
        </w:rPr>
        <w:t>。</w:t>
      </w:r>
    </w:p>
    <w:p w14:paraId="1C050A38">
      <w:pPr>
        <w:pStyle w:val="4"/>
        <w:bidi w:val="0"/>
        <w:rPr>
          <w:rFonts w:hint="eastAsia"/>
        </w:rPr>
      </w:pPr>
      <w:r>
        <w:rPr>
          <w:rFonts w:hint="eastAsia"/>
        </w:rPr>
        <w:t>【专利权申请经费资助工作】</w:t>
      </w:r>
    </w:p>
    <w:p w14:paraId="23F58382">
      <w:r>
        <w:rPr>
          <w:rFonts w:hint="eastAsia"/>
        </w:rPr>
        <w:t>按照南雄市人民政府《关于印发〈南雄市专利申请费用资助办法〉的通知》（雄发〔</w:t>
      </w:r>
      <w:r>
        <w:t>2009</w:t>
      </w:r>
      <w:r>
        <w:rPr>
          <w:rFonts w:hint="eastAsia" w:ascii="宋体" w:hAnsi="宋体" w:eastAsia="宋体" w:cs="宋体"/>
        </w:rPr>
        <w:t>〕</w:t>
      </w:r>
      <w:r>
        <w:t>66号），2013年专利申请资</w:t>
      </w:r>
      <w:r>
        <w:rPr>
          <w:rFonts w:hint="eastAsia"/>
        </w:rPr>
        <w:t>助费</w:t>
      </w:r>
      <w:r>
        <w:t>284500元，其中发明专利资助25000元，实用</w:t>
      </w:r>
      <w:r>
        <w:rPr>
          <w:rFonts w:hint="eastAsia"/>
        </w:rPr>
        <w:t>新型专利资助</w:t>
      </w:r>
      <w:r>
        <w:t>246000元，外观设计专利资助13500元。</w:t>
      </w:r>
    </w:p>
    <w:p w14:paraId="0B93AE17">
      <w:pPr>
        <w:pStyle w:val="3"/>
        <w:bidi w:val="0"/>
        <w:rPr>
          <w:rFonts w:hint="default"/>
          <w:lang w:val="en-US" w:eastAsia="zh-CN"/>
        </w:rPr>
      </w:pPr>
      <w:r>
        <w:rPr>
          <w:rFonts w:hint="eastAsia"/>
          <w:lang w:val="en-US" w:eastAsia="zh-CN"/>
        </w:rPr>
        <w:t>地震勘测</w:t>
      </w:r>
    </w:p>
    <w:p w14:paraId="54F1D394">
      <w:pPr>
        <w:pStyle w:val="4"/>
        <w:bidi w:val="0"/>
        <w:rPr>
          <w:rFonts w:hint="eastAsia"/>
        </w:rPr>
      </w:pPr>
      <w:r>
        <w:rPr>
          <w:rFonts w:hint="eastAsia"/>
        </w:rPr>
        <w:t>【地震监测工作】</w:t>
      </w:r>
    </w:p>
    <w:p w14:paraId="1D175BBE">
      <w:pPr>
        <w:rPr>
          <w:rFonts w:hint="eastAsia"/>
          <w:lang w:eastAsia="zh-CN"/>
        </w:rPr>
      </w:pPr>
      <w:r>
        <w:t>2013年10月，完成苍石数字</w:t>
      </w:r>
      <w:r>
        <w:rPr>
          <w:rFonts w:hint="eastAsia"/>
        </w:rPr>
        <w:t>化地震观察预报台的升级改造；</w:t>
      </w:r>
      <w:r>
        <w:t>11月，启动第一个</w:t>
      </w:r>
      <w:r>
        <w:rPr>
          <w:rFonts w:hint="eastAsia"/>
        </w:rPr>
        <w:t>城区地震安全示范小区——建国社区繁荣锦苑抗震安全示范小区建设工作；</w:t>
      </w:r>
      <w:r>
        <w:t>12月15日，由广东省地</w:t>
      </w:r>
      <w:r>
        <w:rPr>
          <w:rFonts w:hint="eastAsia"/>
        </w:rPr>
        <w:t>震局、韶关市地震局及南雄市住房和城乡规划建设局组成的验收组，完成南雄市第一个防震抗震示范村——雄州街道荆岗村瑶坑新村检</w:t>
      </w:r>
      <w:r>
        <w:rPr>
          <w:rFonts w:hint="eastAsia"/>
          <w:lang w:eastAsia="zh-CN"/>
        </w:rPr>
        <w:t>查</w:t>
      </w:r>
      <w:r>
        <w:rPr>
          <w:rFonts w:hint="eastAsia"/>
        </w:rPr>
        <w:t>验收工作</w:t>
      </w:r>
      <w:r>
        <w:rPr>
          <w:rFonts w:hint="eastAsia"/>
          <w:lang w:eastAsia="zh-CN"/>
        </w:rPr>
        <w:t>。</w:t>
      </w:r>
    </w:p>
    <w:p w14:paraId="42F5BE16">
      <w:pPr>
        <w:pStyle w:val="4"/>
        <w:bidi w:val="0"/>
        <w:rPr>
          <w:rFonts w:hint="eastAsia"/>
        </w:rPr>
      </w:pPr>
      <w:r>
        <w:rPr>
          <w:rFonts w:hint="eastAsia"/>
        </w:rPr>
        <w:t>【防震减灾工作队伍建设】</w:t>
      </w:r>
    </w:p>
    <w:p w14:paraId="79CEDF26">
      <w:pPr>
        <w:rPr>
          <w:rFonts w:hint="eastAsia"/>
          <w:lang w:eastAsia="zh-CN"/>
        </w:rPr>
      </w:pPr>
      <w:r>
        <w:t>2013年9月，完成南</w:t>
      </w:r>
      <w:r>
        <w:rPr>
          <w:rFonts w:hint="eastAsia"/>
        </w:rPr>
        <w:t>雄市地震应急救援能力建设情况调</w:t>
      </w:r>
      <w:r>
        <w:rPr>
          <w:rFonts w:hint="eastAsia"/>
          <w:lang w:eastAsia="zh-CN"/>
        </w:rPr>
        <w:t>查</w:t>
      </w:r>
      <w:r>
        <w:rPr>
          <w:rFonts w:hint="eastAsia"/>
        </w:rPr>
        <w:t>工作，包括地震应急预案审</w:t>
      </w:r>
      <w:r>
        <w:rPr>
          <w:rFonts w:hint="eastAsia"/>
          <w:lang w:eastAsia="zh-CN"/>
        </w:rPr>
        <w:t>查</w:t>
      </w:r>
      <w:r>
        <w:rPr>
          <w:rFonts w:hint="eastAsia"/>
        </w:rPr>
        <w:t>、公安、电力、消防、水利、卫生、教育等部门的应急协调、减灾助理员建设、</w:t>
      </w:r>
      <w:r>
        <w:rPr>
          <w:rFonts w:hint="eastAsia"/>
          <w:lang w:val="en-US" w:eastAsia="zh-CN"/>
        </w:rPr>
        <w:t>志</w:t>
      </w:r>
      <w:r>
        <w:rPr>
          <w:rFonts w:hint="eastAsia"/>
        </w:rPr>
        <w:t>愿者队伍建设等一系列情况，进一步完善抗震设防管理工作</w:t>
      </w:r>
      <w:r>
        <w:rPr>
          <w:rFonts w:hint="eastAsia"/>
          <w:lang w:eastAsia="zh-CN"/>
        </w:rPr>
        <w:t>。</w:t>
      </w:r>
    </w:p>
    <w:p w14:paraId="08FE3820">
      <w:pPr>
        <w:jc w:val="right"/>
        <w:rPr>
          <w:rFonts w:hint="eastAsia"/>
          <w:b/>
          <w:bCs/>
        </w:rPr>
      </w:pPr>
      <w:r>
        <w:rPr>
          <w:rFonts w:hint="eastAsia"/>
          <w:b/>
          <w:bCs/>
        </w:rPr>
        <w:t>（梁少雄）</w:t>
      </w:r>
    </w:p>
    <w:p w14:paraId="6DC7E567">
      <w:pPr>
        <w:pStyle w:val="10"/>
        <w:bidi w:val="0"/>
        <w:rPr>
          <w:b/>
          <w:bCs/>
        </w:rPr>
      </w:pPr>
      <w:r>
        <w:rPr>
          <w:rFonts w:hint="eastAsia"/>
          <w:b/>
          <w:bCs/>
        </w:rPr>
        <w:t>附：</w:t>
      </w:r>
      <w:r>
        <w:rPr>
          <w:b/>
          <w:bCs/>
        </w:rPr>
        <w:t>2013年市科技局领导班子成员名单</w:t>
      </w:r>
    </w:p>
    <w:p w14:paraId="45718887">
      <w:pPr>
        <w:pStyle w:val="10"/>
        <w:bidi w:val="0"/>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李皋辉</w:t>
      </w:r>
    </w:p>
    <w:p w14:paraId="3BB8AA3F">
      <w:pPr>
        <w:pStyle w:val="10"/>
        <w:bidi w:val="0"/>
        <w:rPr>
          <w:rFonts w:hint="eastAsia"/>
        </w:rPr>
      </w:pPr>
      <w:r>
        <w:rPr>
          <w:rFonts w:hint="eastAsia"/>
          <w:b/>
          <w:bCs/>
        </w:rPr>
        <w:t>副局长：</w:t>
      </w:r>
      <w:r>
        <w:rPr>
          <w:rFonts w:hint="eastAsia"/>
        </w:rPr>
        <w:t>叶珍凤</w:t>
      </w:r>
      <w:r>
        <w:rPr>
          <w:rFonts w:hint="eastAsia"/>
          <w:lang w:val="en-US" w:eastAsia="zh-CN"/>
        </w:rPr>
        <w:t xml:space="preserve">   </w:t>
      </w:r>
      <w:r>
        <w:rPr>
          <w:rFonts w:hint="eastAsia"/>
        </w:rPr>
        <w:t>李</w:t>
      </w:r>
      <w:r>
        <w:rPr>
          <w:rFonts w:hint="eastAsia"/>
          <w:lang w:val="en-US" w:eastAsia="zh-CN"/>
        </w:rPr>
        <w:t xml:space="preserve">  </w:t>
      </w:r>
      <w:r>
        <w:rPr>
          <w:rFonts w:hint="eastAsia"/>
        </w:rPr>
        <w:t>进</w:t>
      </w:r>
      <w:r>
        <w:rPr>
          <w:rFonts w:hint="eastAsia"/>
          <w:lang w:val="en-US" w:eastAsia="zh-CN"/>
        </w:rPr>
        <w:t xml:space="preserve">   </w:t>
      </w:r>
      <w:r>
        <w:rPr>
          <w:rFonts w:hint="eastAsia"/>
        </w:rPr>
        <w:t>袁小平</w:t>
      </w:r>
    </w:p>
    <w:p w14:paraId="4DE2443D">
      <w:pPr>
        <w:pStyle w:val="3"/>
        <w:bidi w:val="0"/>
        <w:rPr>
          <w:rFonts w:hint="eastAsia"/>
          <w:lang w:val="en-US" w:eastAsia="zh-CN"/>
        </w:rPr>
      </w:pPr>
      <w:r>
        <w:rPr>
          <w:rFonts w:hint="eastAsia"/>
          <w:lang w:val="en-US" w:eastAsia="zh-CN"/>
        </w:rPr>
        <w:t>教育</w:t>
      </w:r>
    </w:p>
    <w:p w14:paraId="4AA6C575">
      <w:pPr>
        <w:pStyle w:val="4"/>
        <w:bidi w:val="0"/>
        <w:rPr>
          <w:rFonts w:hint="eastAsia"/>
        </w:rPr>
      </w:pPr>
      <w:r>
        <w:rPr>
          <w:rFonts w:hint="eastAsia"/>
        </w:rPr>
        <w:t>【综述】</w:t>
      </w:r>
    </w:p>
    <w:p w14:paraId="54E55FFB">
      <w:r>
        <w:rPr>
          <w:rFonts w:hint="eastAsia"/>
        </w:rPr>
        <w:t>南雄物华天宝，重教之风源远流长。早在公元北宋建隆七年（</w:t>
      </w:r>
      <w:r>
        <w:t>962年），我国著名教育家</w:t>
      </w:r>
      <w:r>
        <w:rPr>
          <w:rFonts w:hint="eastAsia"/>
        </w:rPr>
        <w:t>孔子第四十一代裔孙孔闰便在南雄创办岭南第一所书院—</w:t>
      </w:r>
      <w:r>
        <w:rPr>
          <w:rFonts w:hint="eastAsia"/>
          <w:lang w:eastAsia="zh-CN"/>
        </w:rPr>
        <w:t>—</w:t>
      </w:r>
      <w:r>
        <w:rPr>
          <w:rFonts w:hint="eastAsia"/>
        </w:rPr>
        <w:t>孔林书院。宋治平二年（</w:t>
      </w:r>
      <w:r>
        <w:t>1067年），知州</w:t>
      </w:r>
      <w:r>
        <w:rPr>
          <w:rFonts w:hint="eastAsia"/>
        </w:rPr>
        <w:t>陈侁在州城创办了南雄州学。近千年来，南雄人文蔚起，教育昌盛不衰，历代尊师重教，人才辈出。中华人民共和国成立以来，特别是改革开放后，南雄教育得到较快的发展。</w:t>
      </w:r>
      <w:r>
        <w:t>1983年，普及小学教育；1986年，被国家教委授予“基础教育先进县”；1995年，被授予“全国尊师重教先进县”；1997</w:t>
      </w:r>
      <w:r>
        <w:rPr>
          <w:rFonts w:hint="eastAsia"/>
        </w:rPr>
        <w:t>年，被授予“全国两基工作先进县”。</w:t>
      </w:r>
      <w:r>
        <w:t>2006年，被</w:t>
      </w:r>
      <w:r>
        <w:rPr>
          <w:rFonts w:hint="eastAsia"/>
        </w:rPr>
        <w:t>授予“广东省教育收费规范市”。至</w:t>
      </w:r>
      <w:r>
        <w:t>2013年底，南</w:t>
      </w:r>
      <w:r>
        <w:rPr>
          <w:rFonts w:hint="eastAsia"/>
        </w:rPr>
        <w:t>雄市有珠玑、主田、黄坑、水口、澜河、帽子峰</w:t>
      </w:r>
      <w:r>
        <w:rPr>
          <w:rFonts w:hint="eastAsia"/>
          <w:lang w:eastAsia="zh-CN"/>
        </w:rPr>
        <w:t>、</w:t>
      </w:r>
      <w:r>
        <w:rPr>
          <w:rFonts w:hint="eastAsia"/>
        </w:rPr>
        <w:t>全安、百顺、江头、乌迳、雄州、古市等镇通过“广东省教育强镇”验收。</w:t>
      </w:r>
      <w:r>
        <w:t>2013年12月，南雄市</w:t>
      </w:r>
      <w:r>
        <w:rPr>
          <w:rFonts w:hint="eastAsia"/>
        </w:rPr>
        <w:t>通过“广东省教育强市”督导评估验收。目前，全市有中小学校</w:t>
      </w:r>
      <w:r>
        <w:t>111所，其中，独立普通高中3所，</w:t>
      </w:r>
      <w:r>
        <w:rPr>
          <w:rFonts w:hint="eastAsia"/>
        </w:rPr>
        <w:t>中等职业技术学校</w:t>
      </w:r>
      <w:r>
        <w:t>1所，初级中学9所，九年一贯</w:t>
      </w:r>
      <w:r>
        <w:rPr>
          <w:rFonts w:hint="eastAsia"/>
        </w:rPr>
        <w:t>制学校</w:t>
      </w:r>
      <w:r>
        <w:t>7所，特殊教育学校1所，完全小学29所，</w:t>
      </w:r>
      <w:r>
        <w:rPr>
          <w:rFonts w:hint="eastAsia"/>
        </w:rPr>
        <w:t>分教学点</w:t>
      </w:r>
      <w:r>
        <w:t>61个；在校学生55902人，其中，普通</w:t>
      </w:r>
      <w:r>
        <w:rPr>
          <w:rFonts w:hint="eastAsia"/>
        </w:rPr>
        <w:t>高中</w:t>
      </w:r>
      <w:r>
        <w:t>9681人，职业高中1556人，初中16548人，</w:t>
      </w:r>
      <w:r>
        <w:rPr>
          <w:rFonts w:hint="eastAsia"/>
        </w:rPr>
        <w:t>小学</w:t>
      </w:r>
      <w:r>
        <w:t>28079人，特殊学生38人；全市在职专任教</w:t>
      </w:r>
      <w:r>
        <w:rPr>
          <w:rFonts w:hint="eastAsia"/>
        </w:rPr>
        <w:t>师</w:t>
      </w:r>
      <w:r>
        <w:t>4139人，其中小学1840人，初中915人，九年</w:t>
      </w:r>
      <w:r>
        <w:rPr>
          <w:rFonts w:hint="eastAsia"/>
        </w:rPr>
        <w:t>一贯制学校</w:t>
      </w:r>
      <w:r>
        <w:t>514人，普通高中753人，职业高中110人，特殊学校7人；全市现有幼儿园48所，其</w:t>
      </w:r>
      <w:r>
        <w:rPr>
          <w:rFonts w:hint="eastAsia"/>
        </w:rPr>
        <w:t>中，公办园</w:t>
      </w:r>
      <w:r>
        <w:t>18所，民办园30所，在园幼儿1.4万</w:t>
      </w:r>
      <w:r>
        <w:rPr>
          <w:rFonts w:hint="eastAsia"/>
        </w:rPr>
        <w:t>人；乡镇成人文化技术学校</w:t>
      </w:r>
      <w:r>
        <w:t>18所。</w:t>
      </w:r>
    </w:p>
    <w:p w14:paraId="6B3ADF33">
      <w:pPr>
        <w:pStyle w:val="4"/>
        <w:bidi w:val="0"/>
        <w:rPr>
          <w:rFonts w:hint="eastAsia"/>
        </w:rPr>
      </w:pPr>
      <w:r>
        <w:rPr>
          <w:rFonts w:hint="eastAsia"/>
        </w:rPr>
        <w:t>【教育强镇建设】</w:t>
      </w:r>
    </w:p>
    <w:p w14:paraId="3FC21EB7">
      <w:pPr>
        <w:rPr>
          <w:rFonts w:hint="eastAsia"/>
        </w:rPr>
      </w:pPr>
      <w:r>
        <w:rPr>
          <w:rFonts w:hint="eastAsia"/>
        </w:rPr>
        <w:t>一是</w:t>
      </w:r>
      <w:r>
        <w:t>2013年12月20日，南雄</w:t>
      </w:r>
      <w:r>
        <w:rPr>
          <w:rFonts w:hint="eastAsia"/>
        </w:rPr>
        <w:t>市高分通过省教育强市督导验收和全国义务教育全国发展基本均衡市省级督导评估。目前，古市、邓坊、雄州街道等</w:t>
      </w:r>
      <w:r>
        <w:t>3个“省教育强镇”通过了省督前</w:t>
      </w:r>
      <w:r>
        <w:rPr>
          <w:rFonts w:hint="eastAsia"/>
        </w:rPr>
        <w:t>验收。二是</w:t>
      </w:r>
      <w:r>
        <w:t>2013年9月，投入3亿多元的教育</w:t>
      </w:r>
      <w:r>
        <w:rPr>
          <w:rFonts w:hint="eastAsia"/>
        </w:rPr>
        <w:t>“四大”民生工程全面启用，为教育强市建设奠定了坚实的基础。三是</w:t>
      </w:r>
      <w:r>
        <w:t>2013年，全市争取到教育类</w:t>
      </w:r>
      <w:r>
        <w:rPr>
          <w:rFonts w:hint="eastAsia"/>
        </w:rPr>
        <w:t>中央、省投资项目资金</w:t>
      </w:r>
      <w:r>
        <w:t>7099万元，其中教育创强</w:t>
      </w:r>
      <w:r>
        <w:rPr>
          <w:rFonts w:hint="eastAsia"/>
        </w:rPr>
        <w:t>奖补专项资金达</w:t>
      </w:r>
      <w:r>
        <w:t>4469万元，争取到社会捐赠资金1516.9万元。全市学校办学条件不断优化，城乡教</w:t>
      </w:r>
      <w:r>
        <w:rPr>
          <w:rFonts w:hint="eastAsia"/>
        </w:rPr>
        <w:t>育差距进一步缩小。四是</w:t>
      </w:r>
      <w:r>
        <w:t>2013年投入1017.2万元</w:t>
      </w:r>
      <w:r>
        <w:rPr>
          <w:rFonts w:hint="eastAsia"/>
        </w:rPr>
        <w:t>完善全市中小学的教育信息技术装备，为全市</w:t>
      </w:r>
      <w:r>
        <w:t>64</w:t>
      </w:r>
      <w:r>
        <w:rPr>
          <w:rFonts w:hint="eastAsia"/>
        </w:rPr>
        <w:t>个教学点建设教学点卫星数字教育资源全覆盖项目。</w:t>
      </w:r>
    </w:p>
    <w:p w14:paraId="71438C86">
      <w:pPr>
        <w:pStyle w:val="4"/>
        <w:bidi w:val="0"/>
        <w:rPr>
          <w:rFonts w:hint="eastAsia"/>
          <w:lang w:eastAsia="zh-CN"/>
        </w:rPr>
      </w:pPr>
      <w:r>
        <w:rPr>
          <w:rFonts w:hint="eastAsia"/>
        </w:rPr>
        <w:t>【学前教育</w:t>
      </w:r>
      <w:r>
        <w:rPr>
          <w:rFonts w:hint="eastAsia"/>
          <w:lang w:eastAsia="zh-CN"/>
        </w:rPr>
        <w:t>】</w:t>
      </w:r>
    </w:p>
    <w:p w14:paraId="6367C355">
      <w:pPr>
        <w:rPr>
          <w:rFonts w:hint="eastAsia"/>
        </w:rPr>
      </w:pPr>
      <w:r>
        <w:rPr>
          <w:rFonts w:hint="eastAsia"/>
          <w:lang w:val="en-US" w:eastAsia="zh-CN"/>
        </w:rPr>
        <w:t>一</w:t>
      </w:r>
      <w:r>
        <w:rPr>
          <w:rFonts w:hint="eastAsia"/>
        </w:rPr>
        <w:t>方面，南雄市在市教育局成立学前教育管理部的基础上，设立城区民办幼儿园管理办公室，加强对城区</w:t>
      </w:r>
      <w:r>
        <w:t>16所民办幼儿园的管理与指</w:t>
      </w:r>
      <w:r>
        <w:rPr>
          <w:rFonts w:hint="eastAsia"/>
        </w:rPr>
        <w:t>导。同时，在</w:t>
      </w:r>
      <w:r>
        <w:t>3月份对全市48所有证园进行年审，</w:t>
      </w:r>
      <w:r>
        <w:rPr>
          <w:rFonts w:hint="eastAsia"/>
        </w:rPr>
        <w:t>加强对幼儿园的监管，规范办园行为，提高保教质量，并在</w:t>
      </w:r>
      <w:r>
        <w:t>5月份取缔1所非法的无证园。另一方</w:t>
      </w:r>
      <w:r>
        <w:rPr>
          <w:rFonts w:hint="eastAsia"/>
        </w:rPr>
        <w:t>面，在提高幼师师资上，南雄市在</w:t>
      </w:r>
      <w:r>
        <w:t>2月份采取临</w:t>
      </w:r>
      <w:r>
        <w:rPr>
          <w:rFonts w:hint="eastAsia"/>
        </w:rPr>
        <w:t>聘、转岗一批学历更高、能力更强的幼师进一步充实公办幼儿园师资力量。同时，组织全市幼儿园园长到市机关幼儿园培训学习，进一步提升办园理念和办园质量。</w:t>
      </w:r>
    </w:p>
    <w:p w14:paraId="7CBD173A">
      <w:pPr>
        <w:pStyle w:val="4"/>
        <w:bidi w:val="0"/>
        <w:rPr>
          <w:rFonts w:hint="eastAsia"/>
        </w:rPr>
      </w:pPr>
      <w:r>
        <w:rPr>
          <w:rFonts w:hint="eastAsia"/>
        </w:rPr>
        <w:t>【义务教育】</w:t>
      </w:r>
    </w:p>
    <w:p w14:paraId="59024C15">
      <w:r>
        <w:rPr>
          <w:rFonts w:hint="eastAsia"/>
        </w:rPr>
        <w:t>南雄市继续加大九年义务教育普及力度，积极做好学生“防流控辍”工作，上半年的九年义务教育普及巩固率为</w:t>
      </w:r>
      <w:r>
        <w:rPr>
          <w:rFonts w:hint="eastAsia"/>
          <w:lang w:val="en-US" w:eastAsia="zh-CN"/>
        </w:rPr>
        <w:t>9</w:t>
      </w:r>
      <w:r>
        <w:t>9.4%。为进一步提升</w:t>
      </w:r>
      <w:r>
        <w:rPr>
          <w:rFonts w:hint="eastAsia"/>
        </w:rPr>
        <w:t>学校的办学质量，南雄市重点加强全市中小学生的道德素质教育，根据不同学段学生的认知特点和成长规律，突出行为养成、道德认知、情感体验和理想信念教育；对第三批</w:t>
      </w:r>
      <w:r>
        <w:t>11所德育示范校进行评估；</w:t>
      </w:r>
      <w:r>
        <w:rPr>
          <w:rFonts w:hint="eastAsia"/>
        </w:rPr>
        <w:t>组织开展</w:t>
      </w:r>
      <w:r>
        <w:t>2期全市中小学名班主任培养对象培训学</w:t>
      </w:r>
      <w:r>
        <w:rPr>
          <w:rFonts w:hint="eastAsia"/>
        </w:rPr>
        <w:t>习活动；开展</w:t>
      </w:r>
      <w:r>
        <w:t>2013年德育论文评比活动，全市有213名教师234篇文章参评，评出一等奖论文55</w:t>
      </w:r>
      <w:r>
        <w:rPr>
          <w:rFonts w:hint="eastAsia"/>
          <w:lang w:val="en-US" w:eastAsia="zh-CN"/>
        </w:rPr>
        <w:t>篇；二</w:t>
      </w:r>
      <w:r>
        <w:rPr>
          <w:rFonts w:hint="eastAsia"/>
        </w:rPr>
        <w:t>等奖论文</w:t>
      </w:r>
      <w:r>
        <w:t>95篇；三等奖54篇。同时，加强</w:t>
      </w:r>
      <w:r>
        <w:rPr>
          <w:rFonts w:hint="eastAsia"/>
        </w:rPr>
        <w:t>教学常规工作的监督与教学质量的监测，组织对全市</w:t>
      </w:r>
      <w:r>
        <w:t>36所义务教育学校进行教学工作视导，开展10</w:t>
      </w:r>
      <w:r>
        <w:rPr>
          <w:rFonts w:hint="eastAsia"/>
        </w:rPr>
        <w:t>多科学科的全市性“五环互动式”教研活动。在德育工作和教学质量不断提升的基础上，</w:t>
      </w:r>
      <w:r>
        <w:t>2013年南雄</w:t>
      </w:r>
      <w:r>
        <w:rPr>
          <w:rFonts w:hint="eastAsia"/>
        </w:rPr>
        <w:t>市中考成绩再上新的台阶。其中，</w:t>
      </w:r>
      <w:r>
        <w:t>750分以上55</w:t>
      </w:r>
      <w:r>
        <w:rPr>
          <w:rFonts w:hint="eastAsia"/>
        </w:rPr>
        <w:t>人，比上年增加</w:t>
      </w:r>
      <w:r>
        <w:t>17人、增长44.7%；700分以上264人，比去年增加44人、增长20%。</w:t>
      </w:r>
    </w:p>
    <w:p w14:paraId="02145BE2">
      <w:pPr>
        <w:pStyle w:val="4"/>
        <w:bidi w:val="0"/>
        <w:rPr>
          <w:rFonts w:hint="eastAsia"/>
        </w:rPr>
      </w:pPr>
      <w:r>
        <w:rPr>
          <w:rFonts w:hint="eastAsia"/>
        </w:rPr>
        <w:t>【高中教育】</w:t>
      </w:r>
    </w:p>
    <w:p w14:paraId="171E079A">
      <w:r>
        <w:rPr>
          <w:rFonts w:hint="eastAsia"/>
          <w:lang w:val="en-US" w:eastAsia="zh-CN"/>
        </w:rPr>
        <w:t>一</w:t>
      </w:r>
      <w:r>
        <w:rPr>
          <w:rFonts w:hint="eastAsia"/>
        </w:rPr>
        <w:t>方面，南雄市重点加强对高中生进行社会主义核心价值体系教育，多形式加强生命教育，引导学生关爱生命，提高生活品质；建立和健全心理问题早发现、早干预、早纠正机制，把心理危机解决在萌芽状态。另一方面，南雄市加强</w:t>
      </w:r>
      <w:r>
        <w:rPr>
          <w:rFonts w:hint="eastAsia"/>
          <w:lang w:eastAsia="zh-CN"/>
        </w:rPr>
        <w:t>高</w:t>
      </w:r>
      <w:r>
        <w:rPr>
          <w:rFonts w:hint="eastAsia"/>
        </w:rPr>
        <w:t>中教学质量的监控，继续挖掘和发挥南雄中学、南雄市第一中学、黄坑中学等</w:t>
      </w:r>
      <w:r>
        <w:t>3所高中各自的特色资</w:t>
      </w:r>
      <w:r>
        <w:rPr>
          <w:rFonts w:hint="eastAsia"/>
        </w:rPr>
        <w:t>源优势，不断提高教学质量。</w:t>
      </w:r>
      <w:r>
        <w:t>2013年，南雄市高考</w:t>
      </w:r>
      <w:r>
        <w:rPr>
          <w:rFonts w:hint="eastAsia"/>
        </w:rPr>
        <w:t>再创辉煌，各批次上线人数位居韶关各县（市区）前列。</w:t>
      </w:r>
      <w:r>
        <w:t>2013年实际考生人数在比上年减少264人的</w:t>
      </w:r>
      <w:r>
        <w:rPr>
          <w:rFonts w:hint="eastAsia"/>
        </w:rPr>
        <w:t>情况下，一本上线人数达</w:t>
      </w:r>
      <w:r>
        <w:t>155人，比上年增加52</w:t>
      </w:r>
      <w:r>
        <w:rPr>
          <w:rFonts w:hint="eastAsia"/>
        </w:rPr>
        <w:t>人，增长</w:t>
      </w:r>
      <w:r>
        <w:t>50.5%；一本上线率达5%，比上年增长2%；二本以上上线人数达986人，比上年增加29</w:t>
      </w:r>
      <w:r>
        <w:rPr>
          <w:rFonts w:hint="eastAsia"/>
        </w:rPr>
        <w:t>人，增长</w:t>
      </w:r>
      <w:r>
        <w:t>3%；二本以上上线率达31%，比上年增</w:t>
      </w:r>
      <w:r>
        <w:rPr>
          <w:rFonts w:hint="eastAsia"/>
        </w:rPr>
        <w:t>长</w:t>
      </w:r>
      <w:r>
        <w:t>3%；专科以上上线人数2674人，上线率达84.8%，比上年提高1.1%。</w:t>
      </w:r>
    </w:p>
    <w:p w14:paraId="76673A44">
      <w:pPr>
        <w:pStyle w:val="4"/>
        <w:bidi w:val="0"/>
        <w:rPr>
          <w:rFonts w:hint="eastAsia"/>
        </w:rPr>
      </w:pPr>
      <w:r>
        <w:rPr>
          <w:rFonts w:hint="eastAsia"/>
        </w:rPr>
        <w:t>【中职教育】</w:t>
      </w:r>
    </w:p>
    <w:p w14:paraId="57D48F9F">
      <w:r>
        <w:rPr>
          <w:rFonts w:hint="eastAsia"/>
        </w:rPr>
        <w:t>南雄市中等职业学校继续积极推行“校企合作、工学结合、顶岗实习”的人才培养模式，培养大批与产业对接、与企业连通、与需求对应的技能型人才，增强职业教育办学活力、服务能力和吸引力。</w:t>
      </w:r>
      <w:r>
        <w:t>2013年，中等职业学校318名就业班</w:t>
      </w:r>
      <w:r>
        <w:rPr>
          <w:rFonts w:hint="eastAsia"/>
        </w:rPr>
        <w:t>应届毕业生就业率达</w:t>
      </w:r>
      <w:r>
        <w:t>100%，</w:t>
      </w:r>
      <w:r>
        <w:rPr>
          <w:rFonts w:hint="eastAsia" w:ascii="宋体" w:hAnsi="宋体" w:cs="宋体"/>
        </w:rPr>
        <w:t>“</w:t>
      </w:r>
      <w:r>
        <w:t>3+证书</w:t>
      </w:r>
      <w:r>
        <w:rPr>
          <w:rFonts w:hint="eastAsia" w:ascii="宋体" w:hAnsi="宋体" w:cs="宋体"/>
        </w:rPr>
        <w:t>”</w:t>
      </w:r>
      <w:r>
        <w:t>高考上线99人，上线率达94.4%，对比上年增加10%。</w:t>
      </w:r>
    </w:p>
    <w:p w14:paraId="4857EDB6">
      <w:pPr>
        <w:pStyle w:val="4"/>
        <w:bidi w:val="0"/>
        <w:rPr>
          <w:rFonts w:hint="eastAsia"/>
        </w:rPr>
      </w:pPr>
      <w:r>
        <w:rPr>
          <w:rFonts w:hint="eastAsia"/>
        </w:rPr>
        <w:t>【特殊教育】</w:t>
      </w:r>
    </w:p>
    <w:p w14:paraId="2B0A9B5A">
      <w:pPr>
        <w:rPr>
          <w:rFonts w:hint="eastAsia"/>
          <w:lang w:eastAsia="zh-CN"/>
        </w:rPr>
      </w:pPr>
      <w:r>
        <w:rPr>
          <w:rFonts w:hint="eastAsia"/>
        </w:rPr>
        <w:t>南雄市特殊教育学校自</w:t>
      </w:r>
      <w:r>
        <w:t>2012年9月</w:t>
      </w:r>
      <w:r>
        <w:rPr>
          <w:rFonts w:hint="eastAsia"/>
        </w:rPr>
        <w:t>高起点、高标准建成后，坚持以政府投入为主，着力高水平、高质量办好特殊教育。一方面，招聘与转岗</w:t>
      </w:r>
      <w:r>
        <w:t>7位年青的特教教师满足特教师资力量需求，</w:t>
      </w:r>
      <w:r>
        <w:rPr>
          <w:rFonts w:hint="eastAsia"/>
        </w:rPr>
        <w:t>其中</w:t>
      </w:r>
      <w:r>
        <w:t>3位是特教专业教师，落实特殊教育教师特教</w:t>
      </w:r>
      <w:r>
        <w:rPr>
          <w:rFonts w:hint="eastAsia"/>
        </w:rPr>
        <w:t>津贴，保障特殊教育学校教师的福利待遇，确保教师安教乐教。另一方面，该校已招收智障学生</w:t>
      </w:r>
      <w:r>
        <w:t>38</w:t>
      </w:r>
      <w:r>
        <w:rPr>
          <w:rFonts w:hint="eastAsia"/>
        </w:rPr>
        <w:t>人，在对智障学生采取一般性康复训练与专业性康复训练后，逐步让一部分基本恢复正常人水平的学生送回到小学随班就读，充分保障特殊学生的受教育权利，得到社会和群众的充分认可和支持</w:t>
      </w:r>
      <w:r>
        <w:rPr>
          <w:rFonts w:hint="eastAsia"/>
          <w:lang w:eastAsia="zh-CN"/>
        </w:rPr>
        <w:t>。</w:t>
      </w:r>
    </w:p>
    <w:p w14:paraId="2A021166">
      <w:pPr>
        <w:pStyle w:val="4"/>
        <w:bidi w:val="0"/>
        <w:rPr>
          <w:rFonts w:hint="eastAsia"/>
        </w:rPr>
      </w:pPr>
      <w:r>
        <w:rPr>
          <w:rFonts w:hint="eastAsia"/>
        </w:rPr>
        <w:t>【作风建设】</w:t>
      </w:r>
    </w:p>
    <w:p w14:paraId="75D3F1AE">
      <w:pPr>
        <w:rPr>
          <w:rFonts w:hint="eastAsia"/>
          <w:lang w:eastAsia="zh-CN"/>
        </w:rPr>
      </w:pPr>
      <w:r>
        <w:t>2013年，在全市教育系统开展以</w:t>
      </w:r>
      <w:r>
        <w:rPr>
          <w:rFonts w:hint="eastAsia"/>
        </w:rPr>
        <w:t>“面向基层、整顿作风、服务师生”为主题的实践教育活动，以作风的大转变促进教育质量的大提高。一是加强领导班子作风建设。通过各类会议</w:t>
      </w:r>
      <w:r>
        <w:rPr>
          <w:rFonts w:hint="eastAsia"/>
          <w:lang w:eastAsia="zh-CN"/>
        </w:rPr>
        <w:t>、</w:t>
      </w:r>
      <w:r>
        <w:rPr>
          <w:rFonts w:hint="eastAsia"/>
        </w:rPr>
        <w:t>观看暗访片等开展教育引导各类学校领导班子自觉端正作风，严格执行中央八项规定，要求学校领导必须按规定任课，正常上班期间，农村学校领导带头带领教师“五天四夜”住校，各类学校严格执行“坐班制”。二是加强教师队伍作风建设。以师德建设为抓手，引导社会各界和学校重视和关心</w:t>
      </w:r>
      <w:r>
        <w:rPr>
          <w:rFonts w:hint="eastAsia"/>
          <w:lang w:val="en-US" w:eastAsia="zh-CN"/>
        </w:rPr>
        <w:t>广</w:t>
      </w:r>
      <w:r>
        <w:rPr>
          <w:rFonts w:hint="eastAsia"/>
        </w:rPr>
        <w:t>大教师的生活、工作、成长与发展，营造尊师重教的良好氛围，增强教师职业幸福感，为教师教书育人创造良好环境；坚持正面教育为主的方针，践行“厚德笃学、立己树人”的韶关教育精神，继续完善师德建设年度考核和师德档案制度，从活动倡导、制度管理、机制约束等方面促进良好师德师风的形成。</w:t>
      </w:r>
      <w:r>
        <w:t>3月，对全市各学校在职在编教职工的到</w:t>
      </w:r>
      <w:r>
        <w:rPr>
          <w:rFonts w:hint="eastAsia"/>
        </w:rPr>
        <w:t>岗情况进行了检</w:t>
      </w:r>
      <w:r>
        <w:rPr>
          <w:rFonts w:hint="eastAsia"/>
          <w:lang w:eastAsia="zh-CN"/>
        </w:rPr>
        <w:t>查</w:t>
      </w:r>
      <w:r>
        <w:rPr>
          <w:rFonts w:hint="eastAsia"/>
        </w:rPr>
        <w:t>；</w:t>
      </w:r>
      <w:r>
        <w:t>4月，组织开展离岗</w:t>
      </w:r>
      <w:r>
        <w:rPr>
          <w:rFonts w:hint="eastAsia" w:ascii="宋体" w:hAnsi="宋体" w:cs="宋体"/>
        </w:rPr>
        <w:t>“</w:t>
      </w:r>
      <w:r>
        <w:t>吃</w:t>
      </w:r>
      <w:r>
        <w:rPr>
          <w:rFonts w:hint="eastAsia"/>
          <w:lang w:val="en-US" w:eastAsia="zh-CN"/>
        </w:rPr>
        <w:t>空</w:t>
      </w:r>
      <w:r>
        <w:rPr>
          <w:rFonts w:hint="eastAsia"/>
        </w:rPr>
        <w:t>饷”专项清理行动，进一步营造了良好的教育风气。三是加强局机关、学校作风建设。教育局机关领导干部带头深入基层调</w:t>
      </w:r>
      <w:r>
        <w:rPr>
          <w:rFonts w:hint="eastAsia"/>
          <w:lang w:eastAsia="zh-CN"/>
        </w:rPr>
        <w:t>查</w:t>
      </w:r>
      <w:r>
        <w:rPr>
          <w:rFonts w:hint="eastAsia"/>
        </w:rPr>
        <w:t>研究，精简会议活动，切实改进文风、会风，厉行勤俭节约，降低公务费用，引领学校杜绝铺张浪费、文山会海，严格执行中央“六项禁令”，不断提升教育形象</w:t>
      </w:r>
      <w:r>
        <w:rPr>
          <w:rFonts w:hint="eastAsia"/>
          <w:lang w:eastAsia="zh-CN"/>
        </w:rPr>
        <w:t>。</w:t>
      </w:r>
    </w:p>
    <w:p w14:paraId="79B36A76">
      <w:pPr>
        <w:pStyle w:val="4"/>
        <w:bidi w:val="0"/>
        <w:rPr>
          <w:rFonts w:hint="eastAsia"/>
        </w:rPr>
      </w:pPr>
      <w:r>
        <w:rPr>
          <w:rFonts w:hint="eastAsia"/>
        </w:rPr>
        <w:t>【党风廉政建设】</w:t>
      </w:r>
    </w:p>
    <w:p w14:paraId="5F3BC8C3">
      <w:pPr>
        <w:rPr>
          <w:rFonts w:hint="eastAsia"/>
        </w:rPr>
      </w:pPr>
      <w:r>
        <w:rPr>
          <w:rFonts w:hint="eastAsia"/>
        </w:rPr>
        <w:t>一是继续加强基层党建工作，着力把党员培养成骨干、把骨干培养成党员。上半年，市教育工委组织</w:t>
      </w:r>
      <w:r>
        <w:t>75名入党积极分子培训学习，</w:t>
      </w:r>
      <w:r>
        <w:rPr>
          <w:rFonts w:hint="eastAsia"/>
        </w:rPr>
        <w:t>发展</w:t>
      </w:r>
      <w:r>
        <w:t>35名预备党员。半年来，全市教育系统党员</w:t>
      </w:r>
      <w:r>
        <w:rPr>
          <w:rFonts w:hint="eastAsia"/>
        </w:rPr>
        <w:t>缴交党费</w:t>
      </w:r>
      <w:r>
        <w:t>21.4万元，捐赠党员互助金13.8万元。</w:t>
      </w:r>
      <w:r>
        <w:rPr>
          <w:rFonts w:hint="eastAsia"/>
        </w:rPr>
        <w:t>二是结合纪律教育学习月活动，深入开展廉政文化教育、警示教育，以身边案例警示身边人，切实从思想上筑牢党员干部教师拒腐防变的防线。继续健全校长、教师监督管理制度，要求各类学校认真落实基层党务公开、政务公开和办事公开，推进基层权力运行公开透明，从源头上杜绝职务犯罪问题。</w:t>
      </w:r>
      <w:r>
        <w:t>5月，市教育局组织局机关全体干部、各中小学正</w:t>
      </w:r>
      <w:r>
        <w:rPr>
          <w:rFonts w:hint="eastAsia"/>
        </w:rPr>
        <w:t>副校长</w:t>
      </w:r>
      <w:r>
        <w:t>200多人到市检察院接受预防职务犯罪学</w:t>
      </w:r>
      <w:r>
        <w:rPr>
          <w:rFonts w:hint="eastAsia"/>
        </w:rPr>
        <w:t>习。三是对于滥用职权、以权谋私、以职谋私、以业谋私等违法违纪问题零容忍，加强对违规采购</w:t>
      </w:r>
      <w:r>
        <w:rPr>
          <w:rFonts w:hint="eastAsia"/>
          <w:lang w:eastAsia="zh-CN"/>
        </w:rPr>
        <w:t>、</w:t>
      </w:r>
      <w:r>
        <w:rPr>
          <w:rFonts w:hint="eastAsia"/>
        </w:rPr>
        <w:t>违规搞基建工程、搞有偿家教、违规推销教辅资料等败坏教育风气行为的整治。</w:t>
      </w:r>
      <w:r>
        <w:t>5月，南雄市</w:t>
      </w:r>
      <w:r>
        <w:rPr>
          <w:rFonts w:hint="eastAsia"/>
          <w:lang w:eastAsia="zh-CN"/>
        </w:rPr>
        <w:t>查</w:t>
      </w:r>
      <w:r>
        <w:t>处2</w:t>
      </w:r>
      <w:r>
        <w:rPr>
          <w:rFonts w:hint="eastAsia"/>
        </w:rPr>
        <w:t>起教师违纪行为。</w:t>
      </w:r>
    </w:p>
    <w:p w14:paraId="4A00FF6D">
      <w:pPr>
        <w:pStyle w:val="4"/>
        <w:bidi w:val="0"/>
        <w:rPr>
          <w:rFonts w:hint="eastAsia"/>
        </w:rPr>
      </w:pPr>
      <w:r>
        <w:rPr>
          <w:rFonts w:hint="eastAsia"/>
        </w:rPr>
        <w:t>【学校文化建设】</w:t>
      </w:r>
    </w:p>
    <w:p w14:paraId="0FAEDD95">
      <w:pPr>
        <w:rPr>
          <w:rFonts w:hint="eastAsia"/>
        </w:rPr>
      </w:pPr>
      <w:r>
        <w:rPr>
          <w:rFonts w:hint="eastAsia"/>
        </w:rPr>
        <w:t>南雄市将</w:t>
      </w:r>
      <w:r>
        <w:t>2013年定为“学校文</w:t>
      </w:r>
      <w:r>
        <w:rPr>
          <w:rFonts w:hint="eastAsia"/>
        </w:rPr>
        <w:t>化建设年”。全市各中小学于</w:t>
      </w:r>
      <w:r>
        <w:t>6月前都制定学校文</w:t>
      </w:r>
      <w:r>
        <w:rPr>
          <w:rFonts w:hint="eastAsia"/>
        </w:rPr>
        <w:t>化建设方案，从环境文化、制度文化、课程文化、教师文化、精神文化入手，以社会主义核心价值观为导向，以中小学生为主体，以建设优良的校风</w:t>
      </w:r>
      <w:r>
        <w:rPr>
          <w:rFonts w:hint="eastAsia"/>
          <w:lang w:eastAsia="zh-CN"/>
        </w:rPr>
        <w:t>、</w:t>
      </w:r>
      <w:r>
        <w:rPr>
          <w:rFonts w:hint="eastAsia"/>
        </w:rPr>
        <w:t>教风、学风为核心，以优化、美化校园文化环境为重点，以构建“文明和</w:t>
      </w:r>
      <w:r>
        <w:rPr>
          <w:rFonts w:hint="eastAsia"/>
          <w:lang w:val="en-US" w:eastAsia="zh-CN"/>
        </w:rPr>
        <w:t>谐</w:t>
      </w:r>
      <w:r>
        <w:rPr>
          <w:rFonts w:hint="eastAsia"/>
        </w:rPr>
        <w:t>校园”为目标，以丰富多彩、积极向上的校园文化活动为载体，使学生在日常学习生活中接受先进文化的熏陶和文明风尚的感染，在良好的校园人文、自然环境中陶冶情操，促进学生的全面发展和健康成长，提升学校的办学内涵。市教育局在年底将组织现场观摩和交流活动，评选“学校文化建设优秀学校”，推动各学校校园文化实现一校一品牌、一校一特色，促进全市形成多元化学校文化。目前，坪田中学的“银杏文化”坪田中心小学的“金诚文化”、界址中学的“诚信文化”、乌迳中学的“孝爱文化”、湖口小学的“立志文化”、南亩小学的“励志文化”、八一路小学的“三红文化”、永康路小学的“康德文化”、主田小学的“莲花文化”、百顺学校的“和顺文化”等都已经初显特色，在全市起到了引领示范作用。</w:t>
      </w:r>
    </w:p>
    <w:p w14:paraId="06BE278B">
      <w:pPr>
        <w:pStyle w:val="4"/>
        <w:bidi w:val="0"/>
        <w:rPr>
          <w:rFonts w:hint="eastAsia"/>
        </w:rPr>
      </w:pPr>
      <w:r>
        <w:rPr>
          <w:rFonts w:hint="eastAsia"/>
        </w:rPr>
        <w:t>【强师工程】</w:t>
      </w:r>
    </w:p>
    <w:p w14:paraId="4795E7F2">
      <w:pPr>
        <w:rPr>
          <w:rFonts w:hint="eastAsia"/>
        </w:rPr>
      </w:pPr>
      <w:r>
        <w:rPr>
          <w:rFonts w:hint="eastAsia"/>
        </w:rPr>
        <w:t>一是教师工资待遇实现“两相当”，并向农村教师倾斜。</w:t>
      </w:r>
      <w:r>
        <w:t>2013年起，全市义务教育阶段</w:t>
      </w:r>
      <w:r>
        <w:rPr>
          <w:rFonts w:hint="eastAsia"/>
        </w:rPr>
        <w:t>农村教师享受人均</w:t>
      </w:r>
      <w:r>
        <w:t>500元的岗位津贴。二是将教师</w:t>
      </w:r>
      <w:r>
        <w:rPr>
          <w:rFonts w:hint="eastAsia"/>
        </w:rPr>
        <w:t>培训纳入教育发展总体规划，坚持“面向全员、倾斜农村、突出骨干”的原则，有计划、有步骤地组织实施教师培训工作，鼓励教师接受继续教育和学历进修。</w:t>
      </w:r>
      <w:r>
        <w:rPr>
          <w:rFonts w:hint="eastAsia"/>
          <w:lang w:eastAsia="zh-CN"/>
        </w:rPr>
        <w:t>全</w:t>
      </w:r>
      <w:r>
        <w:rPr>
          <w:rFonts w:hint="eastAsia"/>
        </w:rPr>
        <w:t>市各学校公用经费的</w:t>
      </w:r>
      <w:r>
        <w:t>5%用于教师培训，</w:t>
      </w:r>
      <w:r>
        <w:rPr>
          <w:rFonts w:hint="eastAsia"/>
        </w:rPr>
        <w:t>教师参加培训不承担任何费用。三是采取结对帮扶、校本教研、课题研究、教学竞赛、培训学习等方式，科学合理地制定青年教师培养计划，从制度</w:t>
      </w:r>
      <w:r>
        <w:rPr>
          <w:rFonts w:hint="eastAsia"/>
          <w:lang w:eastAsia="zh-CN"/>
        </w:rPr>
        <w:t>上、</w:t>
      </w:r>
      <w:r>
        <w:rPr>
          <w:rFonts w:hint="eastAsia"/>
        </w:rPr>
        <w:t>政策上、途径上引领教师走专业化发展之路。同时，举行各级教学技能大赛，组织选拔教师参加国家、省市教师教学技能大赛，硕果累累。</w:t>
      </w:r>
    </w:p>
    <w:p w14:paraId="5AA69E94">
      <w:pPr>
        <w:pStyle w:val="4"/>
        <w:bidi w:val="0"/>
        <w:rPr>
          <w:rFonts w:hint="eastAsia"/>
        </w:rPr>
      </w:pPr>
      <w:r>
        <w:rPr>
          <w:rFonts w:hint="eastAsia"/>
        </w:rPr>
        <w:t>【校园安全】</w:t>
      </w:r>
    </w:p>
    <w:p w14:paraId="0A27AF77">
      <w:pPr>
        <w:rPr>
          <w:rFonts w:hint="eastAsia"/>
        </w:rPr>
      </w:pPr>
      <w:r>
        <w:rPr>
          <w:rFonts w:hint="eastAsia"/>
        </w:rPr>
        <w:t>南雄市教育系统认真落实领导干部安全生产“一</w:t>
      </w:r>
      <w:r>
        <w:rPr>
          <w:rFonts w:hint="eastAsia"/>
          <w:lang w:val="en-US" w:eastAsia="zh-CN"/>
        </w:rPr>
        <w:t>岗</w:t>
      </w:r>
      <w:r>
        <w:rPr>
          <w:rFonts w:hint="eastAsia"/>
        </w:rPr>
        <w:t>双责”责任制，确保无重大校园安全责任事故发生。一是强化人防、物防、技防措施，加强师生安全法制教育，做好基建工程安</w:t>
      </w:r>
      <w:r>
        <w:rPr>
          <w:rFonts w:hint="eastAsia"/>
          <w:lang w:eastAsia="zh-CN"/>
        </w:rPr>
        <w:t>全</w:t>
      </w:r>
      <w:r>
        <w:rPr>
          <w:rFonts w:hint="eastAsia"/>
        </w:rPr>
        <w:t>防范工作，开展学校及周边治安综合治理专项整治，多形式开展学生防洪抗震、道路交通、防火、防电、防溺水等安全知识专题教育。</w:t>
      </w:r>
      <w:r>
        <w:t>4月，在全市中</w:t>
      </w:r>
      <w:r>
        <w:rPr>
          <w:rFonts w:hint="eastAsia"/>
        </w:rPr>
        <w:t>小学开展“交通安全宣传周”活动，使绝大部分学生都能遵守交通规则，并带动家长遵守交通规则。截至</w:t>
      </w:r>
      <w:r>
        <w:t>6月，完成总投入122万的义务教育阶段学校</w:t>
      </w:r>
      <w:r>
        <w:rPr>
          <w:rFonts w:hint="eastAsia"/>
        </w:rPr>
        <w:t>校园监控系统规划设计，正由政府采购中心进行采购，预计</w:t>
      </w:r>
      <w:r>
        <w:t>8月份完成安装。二是全市各类学校继续</w:t>
      </w:r>
      <w:r>
        <w:rPr>
          <w:rFonts w:hint="eastAsia"/>
        </w:rPr>
        <w:t>开展紧急避险、自救自护安全演练活动，进一步提高了师生安全意识和防范能力；联合市疾控中心、食药监局强化食堂食品卫生管理，严防集中中毒事故的发生，建立卫生防疫检</w:t>
      </w:r>
      <w:r>
        <w:rPr>
          <w:rFonts w:hint="eastAsia"/>
          <w:lang w:eastAsia="zh-CN"/>
        </w:rPr>
        <w:t>查</w:t>
      </w:r>
      <w:r>
        <w:rPr>
          <w:rFonts w:hint="eastAsia"/>
        </w:rPr>
        <w:t>制度，坚决杜绝传染性疾病在学校发生。三是南雄市在全市范围内开展整治学生接送车辆交通安全秩序的专项行动，全市各中小学、幼儿园通过校会、广播、宣传栏等多种途径加强对学生和学生家长的安全教育，拒绝不安全的机动车上下学。同时，全市成立学生接送车辆交通安全秩序整治综合执法工作机构，由各镇人民政府会同公安、交通、安监、教育等部门组成联合执法队，依法对全市学生接送车辆交通安全秩序进行整治，严厉</w:t>
      </w:r>
      <w:r>
        <w:rPr>
          <w:rFonts w:hint="eastAsia"/>
          <w:lang w:eastAsia="zh-CN"/>
        </w:rPr>
        <w:t>查</w:t>
      </w:r>
      <w:r>
        <w:rPr>
          <w:rFonts w:hint="eastAsia"/>
        </w:rPr>
        <w:t>处违规车辆接送学生，确保学生和幼儿上下学交通安全。</w:t>
      </w:r>
    </w:p>
    <w:p w14:paraId="22A3D682">
      <w:pPr>
        <w:pStyle w:val="4"/>
        <w:bidi w:val="0"/>
        <w:rPr>
          <w:rFonts w:hint="eastAsia"/>
        </w:rPr>
      </w:pPr>
      <w:r>
        <w:rPr>
          <w:rFonts w:hint="eastAsia"/>
        </w:rPr>
        <w:t>【信访维稳】</w:t>
      </w:r>
    </w:p>
    <w:p w14:paraId="1EF2B509">
      <w:pPr>
        <w:rPr>
          <w:rFonts w:hint="eastAsia"/>
        </w:rPr>
      </w:pPr>
      <w:r>
        <w:rPr>
          <w:rFonts w:hint="eastAsia"/>
          <w:lang w:val="en-US" w:eastAsia="zh-CN"/>
        </w:rPr>
        <w:t>一</w:t>
      </w:r>
      <w:r>
        <w:rPr>
          <w:rFonts w:hint="eastAsia"/>
        </w:rPr>
        <w:t>是市教育局建立重要事项处理协调督办机制，统筹处理市长信箱、网络问政和局长信箱以及来电来信等投诉举报，落实办理责任追究，坚持做到“回应早、处理好”，妥善处理各类突发事件，确保无突发性群体性上访事件。二是继续推行“阳光招考”工作，不断优化考试环境，严肃考风考纪，确保各类考试平稳顺利进行。三是加强学校预算执行管理，切实提高部门预算约束力，以强化内部审计为主要手段，加强教育经费使用过程监督，彻底治理“小金库”、教育乱收费现象，切实保障资金使用的规范性、安全性、高效性。</w:t>
      </w:r>
    </w:p>
    <w:p w14:paraId="70C0A35C">
      <w:pPr>
        <w:jc w:val="right"/>
        <w:rPr>
          <w:rFonts w:hint="eastAsia"/>
          <w:b/>
          <w:bCs/>
        </w:rPr>
      </w:pPr>
      <w:r>
        <w:rPr>
          <w:rFonts w:hint="eastAsia"/>
          <w:b/>
          <w:bCs/>
        </w:rPr>
        <w:t>（陈水勤）</w:t>
      </w:r>
    </w:p>
    <w:p w14:paraId="4D410BAD">
      <w:pPr>
        <w:pStyle w:val="10"/>
        <w:bidi w:val="0"/>
        <w:rPr>
          <w:b/>
          <w:bCs/>
        </w:rPr>
      </w:pPr>
      <w:r>
        <w:rPr>
          <w:rFonts w:hint="eastAsia"/>
          <w:b/>
          <w:bCs/>
        </w:rPr>
        <w:t>附：</w:t>
      </w:r>
      <w:r>
        <w:rPr>
          <w:b/>
          <w:bCs/>
        </w:rPr>
        <w:t>2013年市教育局领导班子成员名单</w:t>
      </w:r>
    </w:p>
    <w:p w14:paraId="5B20E73B">
      <w:pPr>
        <w:pStyle w:val="10"/>
        <w:bidi w:val="0"/>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田文斌</w:t>
      </w:r>
    </w:p>
    <w:p w14:paraId="068ED4BB">
      <w:pPr>
        <w:pStyle w:val="10"/>
        <w:bidi w:val="0"/>
        <w:rPr>
          <w:rFonts w:hint="eastAsia"/>
        </w:rPr>
      </w:pPr>
      <w:r>
        <w:rPr>
          <w:rFonts w:hint="eastAsia"/>
          <w:b/>
          <w:bCs/>
        </w:rPr>
        <w:t>副</w:t>
      </w:r>
      <w:r>
        <w:rPr>
          <w:rFonts w:hint="eastAsia"/>
          <w:b/>
          <w:bCs/>
          <w:lang w:val="en-US" w:eastAsia="zh-CN"/>
        </w:rPr>
        <w:t xml:space="preserve"> </w:t>
      </w:r>
      <w:r>
        <w:rPr>
          <w:rFonts w:hint="eastAsia"/>
          <w:b/>
          <w:bCs/>
        </w:rPr>
        <w:t>局</w:t>
      </w:r>
      <w:r>
        <w:rPr>
          <w:rFonts w:hint="eastAsia"/>
          <w:b/>
          <w:bCs/>
          <w:lang w:val="en-US" w:eastAsia="zh-CN"/>
        </w:rPr>
        <w:t xml:space="preserve"> </w:t>
      </w:r>
      <w:r>
        <w:rPr>
          <w:rFonts w:hint="eastAsia"/>
          <w:b/>
          <w:bCs/>
        </w:rPr>
        <w:t>长：</w:t>
      </w:r>
      <w:r>
        <w:rPr>
          <w:rFonts w:hint="eastAsia"/>
        </w:rPr>
        <w:t>赖华焜</w:t>
      </w:r>
      <w:r>
        <w:rPr>
          <w:rFonts w:hint="eastAsia"/>
          <w:lang w:val="en-US" w:eastAsia="zh-CN"/>
        </w:rPr>
        <w:t xml:space="preserve">   </w:t>
      </w:r>
      <w:r>
        <w:rPr>
          <w:rFonts w:hint="eastAsia"/>
        </w:rPr>
        <w:t>梁云凤</w:t>
      </w:r>
      <w:r>
        <w:rPr>
          <w:rFonts w:hint="eastAsia"/>
          <w:lang w:val="en-US" w:eastAsia="zh-CN"/>
        </w:rPr>
        <w:t xml:space="preserve">   </w:t>
      </w:r>
      <w:r>
        <w:rPr>
          <w:rFonts w:hint="eastAsia"/>
        </w:rPr>
        <w:t>刘卫民</w:t>
      </w:r>
    </w:p>
    <w:p w14:paraId="44BBC470">
      <w:pPr>
        <w:pStyle w:val="10"/>
        <w:bidi w:val="0"/>
        <w:rPr>
          <w:rFonts w:hint="eastAsia"/>
        </w:rPr>
      </w:pPr>
      <w:r>
        <w:rPr>
          <w:rFonts w:hint="eastAsia"/>
          <w:b/>
          <w:bCs/>
        </w:rPr>
        <w:t>纪检书记：</w:t>
      </w:r>
      <w:r>
        <w:rPr>
          <w:rFonts w:hint="eastAsia"/>
        </w:rPr>
        <w:t>徐学辉</w:t>
      </w:r>
    </w:p>
    <w:p w14:paraId="56EAB614">
      <w:pPr>
        <w:pStyle w:val="10"/>
        <w:bidi w:val="0"/>
        <w:rPr>
          <w:rFonts w:hint="eastAsia"/>
        </w:rPr>
      </w:pPr>
      <w:r>
        <w:rPr>
          <w:rFonts w:hint="eastAsia"/>
          <w:b/>
          <w:bCs/>
        </w:rPr>
        <w:t>办公室主任：</w:t>
      </w:r>
      <w:r>
        <w:rPr>
          <w:rFonts w:hint="eastAsia"/>
        </w:rPr>
        <w:t>刘桂香</w:t>
      </w:r>
    </w:p>
    <w:p w14:paraId="294D1CAD">
      <w:pPr>
        <w:pStyle w:val="3"/>
        <w:bidi w:val="0"/>
        <w:rPr>
          <w:rFonts w:hint="default"/>
          <w:lang w:val="en-US" w:eastAsia="zh-CN"/>
        </w:rPr>
      </w:pPr>
      <w:r>
        <w:rPr>
          <w:rFonts w:hint="eastAsia"/>
          <w:lang w:val="en-US" w:eastAsia="zh-CN"/>
        </w:rPr>
        <w:t>学校选介</w:t>
      </w:r>
    </w:p>
    <w:p w14:paraId="419BC119">
      <w:pPr>
        <w:pStyle w:val="4"/>
        <w:bidi w:val="0"/>
        <w:rPr>
          <w:rFonts w:hint="eastAsia"/>
        </w:rPr>
      </w:pPr>
      <w:r>
        <w:rPr>
          <w:rFonts w:hint="eastAsia"/>
        </w:rPr>
        <w:t>【南雄中学】</w:t>
      </w:r>
    </w:p>
    <w:p w14:paraId="6E9E15FC">
      <w:pPr>
        <w:rPr>
          <w:rFonts w:hint="eastAsia"/>
        </w:rPr>
      </w:pPr>
      <w:r>
        <w:rPr>
          <w:rFonts w:hint="eastAsia"/>
        </w:rPr>
        <w:t>南雄中学前身为道南书院（</w:t>
      </w:r>
      <w:r>
        <w:t>1765</w:t>
      </w:r>
      <w:r>
        <w:rPr>
          <w:rFonts w:hint="eastAsia"/>
        </w:rPr>
        <w:t>年），</w:t>
      </w:r>
      <w:r>
        <w:t>1906年创办新学；1912年，奉省教育厅命</w:t>
      </w:r>
      <w:r>
        <w:rPr>
          <w:rFonts w:hint="eastAsia"/>
        </w:rPr>
        <w:t>令，改为“广东省立南雄中学”；</w:t>
      </w:r>
      <w:r>
        <w:t>1924年，改为</w:t>
      </w:r>
      <w:r>
        <w:rPr>
          <w:rFonts w:hint="eastAsia"/>
          <w:lang w:eastAsia="zh-CN"/>
        </w:rPr>
        <w:t>“</w:t>
      </w:r>
      <w:r>
        <w:rPr>
          <w:rFonts w:hint="eastAsia"/>
          <w:lang w:val="en-US" w:eastAsia="zh-CN"/>
        </w:rPr>
        <w:t>广</w:t>
      </w:r>
      <w:r>
        <w:t>东省立第六中学”；1934年，改为“广东省立</w:t>
      </w:r>
      <w:r>
        <w:rPr>
          <w:rFonts w:hint="eastAsia"/>
        </w:rPr>
        <w:t>南雄中学”；</w:t>
      </w:r>
      <w:r>
        <w:t>1951年定名为</w:t>
      </w:r>
      <w:r>
        <w:rPr>
          <w:rFonts w:hint="eastAsia" w:ascii="宋体" w:hAnsi="宋体" w:cs="宋体"/>
        </w:rPr>
        <w:t>“</w:t>
      </w:r>
      <w:r>
        <w:t>广东南雄中学</w:t>
      </w:r>
      <w:r>
        <w:rPr>
          <w:rFonts w:hint="eastAsia" w:ascii="宋体" w:hAnsi="宋体" w:cs="宋体"/>
        </w:rPr>
        <w:t>”</w:t>
      </w:r>
      <w:r>
        <w:t>；1981年，被广东省人民政府定为南雄县重点中学；1995年，被评为首批</w:t>
      </w:r>
      <w:r>
        <w:rPr>
          <w:rFonts w:hint="eastAsia" w:ascii="宋体" w:hAnsi="宋体" w:cs="宋体"/>
        </w:rPr>
        <w:t>“</w:t>
      </w:r>
      <w:r>
        <w:t>韶关市一级学校</w:t>
      </w:r>
      <w:r>
        <w:rPr>
          <w:rFonts w:hint="eastAsia" w:ascii="宋体" w:hAnsi="宋体" w:cs="宋体"/>
        </w:rPr>
        <w:t>”</w:t>
      </w:r>
      <w:r>
        <w:t>；2003年</w:t>
      </w:r>
      <w:r>
        <w:rPr>
          <w:rFonts w:hint="eastAsia"/>
        </w:rPr>
        <w:t>被评为“广东省一级学校”；</w:t>
      </w:r>
      <w:r>
        <w:t>2007年成功晋升为首</w:t>
      </w:r>
      <w:r>
        <w:rPr>
          <w:rFonts w:hint="eastAsia"/>
        </w:rPr>
        <w:t>批“广东省国家级示范性普通高中”。</w:t>
      </w:r>
    </w:p>
    <w:p w14:paraId="066D1671">
      <w:pPr>
        <w:rPr>
          <w:rFonts w:hint="eastAsia"/>
        </w:rPr>
      </w:pPr>
      <w:r>
        <w:rPr>
          <w:rFonts w:hint="eastAsia"/>
        </w:rPr>
        <w:t>该校占地</w:t>
      </w:r>
      <w:r>
        <w:t>148亩，建筑面积近6万平方米。现</w:t>
      </w:r>
      <w:r>
        <w:rPr>
          <w:rFonts w:hint="eastAsia"/>
        </w:rPr>
        <w:t>有学生</w:t>
      </w:r>
      <w:r>
        <w:t>5000多人，是韶关市内规模最大的学校。</w:t>
      </w:r>
      <w:r>
        <w:rPr>
          <w:rFonts w:hint="eastAsia"/>
        </w:rPr>
        <w:t>该校师资力量雄厚，共有教职工</w:t>
      </w:r>
      <w:r>
        <w:t>321人，其中特级</w:t>
      </w:r>
      <w:r>
        <w:rPr>
          <w:rFonts w:hint="eastAsia"/>
        </w:rPr>
        <w:t>教师</w:t>
      </w:r>
      <w:r>
        <w:t>1人，高级教师86人，一级教师114名；硕</w:t>
      </w:r>
      <w:r>
        <w:rPr>
          <w:rFonts w:hint="eastAsia"/>
          <w:lang w:val="en-US" w:eastAsia="zh-CN"/>
        </w:rPr>
        <w:t>士</w:t>
      </w:r>
      <w:r>
        <w:rPr>
          <w:rFonts w:hint="eastAsia"/>
        </w:rPr>
        <w:t>研究生</w:t>
      </w:r>
      <w:r>
        <w:t>9人，研究生学力33人，专任教师学历达</w:t>
      </w:r>
      <w:r>
        <w:rPr>
          <w:rFonts w:hint="eastAsia"/>
        </w:rPr>
        <w:t>标率</w:t>
      </w:r>
      <w:r>
        <w:t>100%；拥有省级以上名校长、名教师6人，</w:t>
      </w:r>
      <w:r>
        <w:rPr>
          <w:rFonts w:hint="eastAsia"/>
        </w:rPr>
        <w:t>省级骨干教师</w:t>
      </w:r>
      <w:r>
        <w:t>28人，韶关市名校长、名教师11</w:t>
      </w:r>
      <w:r>
        <w:rPr>
          <w:rFonts w:hint="eastAsia"/>
        </w:rPr>
        <w:t>人。该校设施完善、设备先进，配备了多媒体教学平台的教学大楼</w:t>
      </w:r>
      <w:r>
        <w:t>3栋共72间课室，设备先进的实</w:t>
      </w:r>
      <w:r>
        <w:rPr>
          <w:rFonts w:hint="eastAsia"/>
        </w:rPr>
        <w:t>验楼</w:t>
      </w:r>
      <w:r>
        <w:t>1栋，藏书丰富的图书馆1栋，功能齐全的学</w:t>
      </w:r>
      <w:r>
        <w:rPr>
          <w:rFonts w:hint="eastAsia"/>
        </w:rPr>
        <w:t>术交流中心</w:t>
      </w:r>
      <w:r>
        <w:t>1栋，高标准的综合大楼1栋，学生公</w:t>
      </w:r>
      <w:r>
        <w:rPr>
          <w:rFonts w:hint="eastAsia"/>
        </w:rPr>
        <w:t>寓式宿舍</w:t>
      </w:r>
      <w:r>
        <w:t>4栋，现代化的学生饭堂1座，400米标</w:t>
      </w:r>
      <w:r>
        <w:rPr>
          <w:rFonts w:hint="eastAsia"/>
        </w:rPr>
        <w:t>准塑胶田径运动场</w:t>
      </w:r>
      <w:r>
        <w:t>1个，塑胶篮球场6个；完善的</w:t>
      </w:r>
      <w:r>
        <w:rPr>
          <w:rFonts w:hint="eastAsia"/>
        </w:rPr>
        <w:t>电视监控系统，先进的网络化管理。现代教学设施设备在韶关市内居于领先地位。</w:t>
      </w:r>
    </w:p>
    <w:p w14:paraId="02F48F29">
      <w:pPr>
        <w:rPr>
          <w:rFonts w:hint="eastAsia"/>
        </w:rPr>
      </w:pPr>
      <w:r>
        <w:rPr>
          <w:rFonts w:hint="eastAsia"/>
        </w:rPr>
        <w:t>该校一直是省市重点中学，在长期的办学过程中，积累了丰富的办学经验，形成“文化雄中、活力雄中、和谐雄中”的校园文化特色；“团结求实、进取创新”的科组特色；“以人为本，着眼发展”的德育特色；以“一球带多球”的群体性体育活动特色。学校先后被评为全国中小学“科研兴校示范基地”、全国体育锻炼先进单位、广东省普通高中教学水平评估优秀学校、广东省一级学校、广东省国家级示范性普通高中、广东省普教系统先进集体、广东省“固本强基”先进基层党组织、广东省体育特色学校、广东省书香校园、韶关市高考优胜学校等</w:t>
      </w:r>
      <w:r>
        <w:t>60多个国家、省、市级和30多个县市级先</w:t>
      </w:r>
      <w:r>
        <w:rPr>
          <w:rFonts w:hint="eastAsia"/>
        </w:rPr>
        <w:t>进荣誉称号。</w:t>
      </w:r>
    </w:p>
    <w:p w14:paraId="00631BAE">
      <w:pPr>
        <w:rPr>
          <w:rFonts w:hint="eastAsia"/>
          <w:lang w:eastAsia="zh-CN"/>
        </w:rPr>
      </w:pPr>
      <w:r>
        <w:rPr>
          <w:rFonts w:hint="eastAsia"/>
        </w:rPr>
        <w:t>恢复高考至今，该校已为国家输送了</w:t>
      </w:r>
      <w:r>
        <w:t>2万多名</w:t>
      </w:r>
      <w:r>
        <w:rPr>
          <w:rFonts w:hint="eastAsia"/>
        </w:rPr>
        <w:t>各类人才。尤其令人瞩目的是：有</w:t>
      </w:r>
      <w:r>
        <w:t>20位同学先后</w:t>
      </w:r>
      <w:r>
        <w:rPr>
          <w:rFonts w:hint="eastAsia"/>
        </w:rPr>
        <w:t>考入北京大学、清华大学；</w:t>
      </w:r>
      <w:r>
        <w:t>3人获高考广东省单科</w:t>
      </w:r>
      <w:r>
        <w:rPr>
          <w:rFonts w:hint="eastAsia"/>
        </w:rPr>
        <w:t>状元，</w:t>
      </w:r>
      <w:r>
        <w:t>8人摘取高考韶关市总分桂冠。从2005年至2013年，该校连续9年被评为“韶关市高考优胜学</w:t>
      </w:r>
      <w:r>
        <w:rPr>
          <w:rFonts w:hint="eastAsia"/>
        </w:rPr>
        <w:t>校</w:t>
      </w:r>
      <w:r>
        <w:rPr>
          <w:rFonts w:hint="eastAsia"/>
          <w:lang w:eastAsia="zh-CN"/>
        </w:rPr>
        <w:t>”。</w:t>
      </w:r>
    </w:p>
    <w:p w14:paraId="53F90CFB">
      <w:pPr>
        <w:rPr>
          <w:rFonts w:hint="eastAsia"/>
        </w:rPr>
      </w:pPr>
      <w:r>
        <w:t>2013年，该校获得了广东省体育传统项目（篮</w:t>
      </w:r>
      <w:r>
        <w:rPr>
          <w:rFonts w:hint="eastAsia"/>
        </w:rPr>
        <w:t>球、健美操）学校，广东省“五四红旗团委”，</w:t>
      </w:r>
      <w:r>
        <w:t>2013年韶关市普通高中教学质量优秀学校，广东省</w:t>
      </w:r>
      <w:r>
        <w:rPr>
          <w:rFonts w:hint="eastAsia"/>
        </w:rPr>
        <w:t>体育统统项目学校篮球比赛学生女子队第四名、男子队第八名，韶关市第十八届“英东杯”健美操比赛“轻器械”健美操，韶关市第十八届“英东杯”健美操比赛“徒手”健美操分别获得第一名，韶关市第十八届“英东杯”篮球赛女子第一名、男子第二名，广东省体育统统项目学校健美操比赛有氧健身操获得第一名、三人操获得第三名、女子单人操获得第四名、男子单人，韶关市第十八届“英东杯”文艺比赛声乐类获中学组一、二等奖，器乐类获二等奖，舞蹈类获三等奖，韶关市</w:t>
      </w:r>
      <w:r>
        <w:t>2013年虚拟</w:t>
      </w:r>
      <w:r>
        <w:rPr>
          <w:rFonts w:hint="eastAsia"/>
        </w:rPr>
        <w:t>机器人大赛（火星采矿项目）初中组第一名，韶关市</w:t>
      </w:r>
      <w:r>
        <w:t>2013年虚拟机器人大赛（火星采矿项目）高中</w:t>
      </w:r>
      <w:r>
        <w:rPr>
          <w:rFonts w:hint="eastAsia"/>
        </w:rPr>
        <w:t>组第一名，南雄市</w:t>
      </w:r>
      <w:r>
        <w:t>2013年度教育信息宣传工作先</w:t>
      </w:r>
      <w:r>
        <w:rPr>
          <w:rFonts w:hint="eastAsia"/>
        </w:rPr>
        <w:t>进单位，南雄市先进基层团委等荣誉称号。</w:t>
      </w:r>
    </w:p>
    <w:p w14:paraId="233CE608">
      <w:pPr>
        <w:rPr>
          <w:rFonts w:hint="eastAsia"/>
        </w:rPr>
      </w:pPr>
      <w:r>
        <w:rPr>
          <w:rFonts w:hint="eastAsia"/>
          <w:b/>
          <w:bCs/>
        </w:rPr>
        <w:t>中高考取得突破</w:t>
      </w:r>
      <w:r>
        <w:rPr>
          <w:rFonts w:hint="eastAsia"/>
          <w:lang w:val="en-US" w:eastAsia="zh-CN"/>
        </w:rPr>
        <w:t xml:space="preserve">  </w:t>
      </w:r>
      <w:r>
        <w:t>2013年该校高考亮点纷呈</w:t>
      </w:r>
      <w:r>
        <w:rPr>
          <w:rFonts w:hint="eastAsia"/>
        </w:rPr>
        <w:t>是全面超额完成韶关市下达的各层次入线指标，其中，第一批重点本科院校指标</w:t>
      </w:r>
      <w:r>
        <w:t>55人，入线人数100人，增量45人，第二批本科A线以上指示数275人，</w:t>
      </w:r>
      <w:r>
        <w:rPr>
          <w:rFonts w:hint="eastAsia"/>
          <w:lang w:val="en-US" w:eastAsia="zh-CN"/>
        </w:rPr>
        <w:t>入</w:t>
      </w:r>
      <w:r>
        <w:t>线人数388人，增量113人，第二批本</w:t>
      </w:r>
      <w:r>
        <w:rPr>
          <w:rFonts w:hint="eastAsia"/>
        </w:rPr>
        <w:t>科</w:t>
      </w:r>
      <w:r>
        <w:t>B线以上指标515人，</w:t>
      </w:r>
      <w:r>
        <w:rPr>
          <w:rFonts w:hint="eastAsia"/>
          <w:lang w:val="en-US" w:eastAsia="zh-CN"/>
        </w:rPr>
        <w:t>入</w:t>
      </w:r>
      <w:r>
        <w:t>线人数662人，增量147人，专科以上上线总人数多达1369人，上线率</w:t>
      </w:r>
      <w:r>
        <w:rPr>
          <w:rFonts w:hint="eastAsia"/>
        </w:rPr>
        <w:t>超过</w:t>
      </w:r>
      <w:r>
        <w:t>95%，各批次上线人数均高居韶关市县（区、</w:t>
      </w:r>
      <w:r>
        <w:rPr>
          <w:rFonts w:hint="eastAsia"/>
        </w:rPr>
        <w:t>市）中学榜首；二是该校徐赟以总分</w:t>
      </w:r>
      <w:r>
        <w:t>645分高居韶</w:t>
      </w:r>
      <w:r>
        <w:rPr>
          <w:rFonts w:hint="eastAsia"/>
        </w:rPr>
        <w:t>关市文科总分第</w:t>
      </w:r>
      <w:r>
        <w:t>3名，并勇夺南雄市文科总分状</w:t>
      </w:r>
      <w:r>
        <w:rPr>
          <w:rFonts w:hint="eastAsia"/>
        </w:rPr>
        <w:t>元，陈斯、杨洁莹同学以</w:t>
      </w:r>
      <w:r>
        <w:t>649分勇夺南雄市理科总</w:t>
      </w:r>
      <w:r>
        <w:rPr>
          <w:rFonts w:hint="eastAsia"/>
        </w:rPr>
        <w:t>分状元；三是高分层人数（</w:t>
      </w:r>
      <w:r>
        <w:t>600分以上）理科有33</w:t>
      </w:r>
      <w:r>
        <w:rPr>
          <w:rFonts w:hint="eastAsia"/>
        </w:rPr>
        <w:t>人，文科有</w:t>
      </w:r>
      <w:r>
        <w:t>5人，共计38人，稳居韶关市县（区</w:t>
      </w:r>
      <w:r>
        <w:rPr>
          <w:rFonts w:hint="eastAsia"/>
          <w:lang w:eastAsia="zh-CN"/>
        </w:rPr>
        <w:t>、</w:t>
      </w:r>
      <w:r>
        <w:rPr>
          <w:rFonts w:hint="eastAsia"/>
        </w:rPr>
        <w:t>市）中学第一名；四是囊括南雄市语文、文科数学、理科数学、英语及理科综合等</w:t>
      </w:r>
      <w:r>
        <w:t>5科单科状元，</w:t>
      </w:r>
      <w:r>
        <w:rPr>
          <w:rFonts w:hint="eastAsia"/>
        </w:rPr>
        <w:t>其中各单科前十名中，该校语文占</w:t>
      </w:r>
      <w:r>
        <w:t>10人，理科数</w:t>
      </w:r>
      <w:r>
        <w:rPr>
          <w:rFonts w:hint="eastAsia"/>
        </w:rPr>
        <w:t>学占</w:t>
      </w:r>
      <w:r>
        <w:t>10人、文科数学占6人、英语占9人。2013</w:t>
      </w:r>
      <w:r>
        <w:rPr>
          <w:rFonts w:hint="eastAsia"/>
        </w:rPr>
        <w:t>年中考，该校喜获重大丰收，其中，有</w:t>
      </w:r>
      <w:r>
        <w:t>42人进入</w:t>
      </w:r>
      <w:r>
        <w:rPr>
          <w:rFonts w:hint="eastAsia"/>
        </w:rPr>
        <w:t>全市前</w:t>
      </w:r>
      <w:r>
        <w:t>50名，76人进入全市前100名，总分700</w:t>
      </w:r>
      <w:r>
        <w:rPr>
          <w:rFonts w:hint="eastAsia"/>
        </w:rPr>
        <w:t>分以上多达</w:t>
      </w:r>
      <w:r>
        <w:t>154人。因高考成绩突出，在2013年</w:t>
      </w:r>
      <w:r>
        <w:rPr>
          <w:rFonts w:hint="eastAsia"/>
        </w:rPr>
        <w:t>韶关市教学质量评估中，该校再次被评为“韶关市普通高中教学水平优秀学校”。</w:t>
      </w:r>
      <w:r>
        <w:t>2005年至2013年，</w:t>
      </w:r>
      <w:r>
        <w:rPr>
          <w:rFonts w:hint="eastAsia"/>
        </w:rPr>
        <w:t>该校连续九年获得此项殊荣，是唯一一所连续九年获得“韶关市教学水平优秀学校”荣誉的县（市</w:t>
      </w:r>
      <w:r>
        <w:rPr>
          <w:rFonts w:hint="eastAsia"/>
          <w:lang w:eastAsia="zh-CN"/>
        </w:rPr>
        <w:t>、</w:t>
      </w:r>
      <w:r>
        <w:rPr>
          <w:rFonts w:hint="eastAsia"/>
        </w:rPr>
        <w:t>区）重点中学。</w:t>
      </w:r>
    </w:p>
    <w:p w14:paraId="055BA83E">
      <w:r>
        <w:rPr>
          <w:rFonts w:hint="eastAsia"/>
          <w:b/>
          <w:bCs/>
        </w:rPr>
        <w:t>教研教改成绩显著</w:t>
      </w:r>
      <w:r>
        <w:rPr>
          <w:rFonts w:hint="eastAsia"/>
          <w:b/>
          <w:bCs/>
          <w:lang w:val="en-US" w:eastAsia="zh-CN"/>
        </w:rPr>
        <w:t xml:space="preserve"> </w:t>
      </w:r>
      <w:r>
        <w:rPr>
          <w:rFonts w:hint="eastAsia"/>
          <w:lang w:val="en-US" w:eastAsia="zh-CN"/>
        </w:rPr>
        <w:t xml:space="preserve"> </w:t>
      </w:r>
      <w:r>
        <w:t>2013年，该校坚持以教育</w:t>
      </w:r>
      <w:r>
        <w:rPr>
          <w:rFonts w:hint="eastAsia"/>
        </w:rPr>
        <w:t>教学为中心，强力推进科组建设，大力加强教科研工作，使教研教改成绩取得了新的突破，教师论文、课题共有</w:t>
      </w:r>
      <w:r>
        <w:t>176人次获县级市以上奖励，其中获</w:t>
      </w:r>
      <w:r>
        <w:rPr>
          <w:rFonts w:hint="eastAsia"/>
        </w:rPr>
        <w:t>国家奖励</w:t>
      </w:r>
      <w:r>
        <w:t>6人次，省级奖励12人次，韶关市级奖</w:t>
      </w:r>
      <w:r>
        <w:rPr>
          <w:rFonts w:hint="eastAsia"/>
        </w:rPr>
        <w:t>励</w:t>
      </w:r>
      <w:r>
        <w:t>70人次，县市级奖励89人次。</w:t>
      </w:r>
    </w:p>
    <w:p w14:paraId="58259B90">
      <w:r>
        <w:rPr>
          <w:rFonts w:hint="eastAsia"/>
          <w:b/>
          <w:bCs/>
        </w:rPr>
        <w:t>学科竞赛成绩突出</w:t>
      </w:r>
      <w:r>
        <w:rPr>
          <w:rFonts w:hint="eastAsia"/>
          <w:b/>
          <w:bCs/>
          <w:lang w:val="en-US" w:eastAsia="zh-CN"/>
        </w:rPr>
        <w:t xml:space="preserve">  </w:t>
      </w:r>
      <w:r>
        <w:t>2013年，该校共有173人</w:t>
      </w:r>
      <w:r>
        <w:rPr>
          <w:rFonts w:hint="eastAsia"/>
        </w:rPr>
        <w:t>次获地市级以上奖励，其中获国家级奖励</w:t>
      </w:r>
      <w:r>
        <w:t>21人次，</w:t>
      </w:r>
      <w:r>
        <w:rPr>
          <w:rFonts w:hint="eastAsia"/>
        </w:rPr>
        <w:t>省级奖励</w:t>
      </w:r>
      <w:r>
        <w:t>48人次，韶关市级奖励104人次。</w:t>
      </w:r>
    </w:p>
    <w:p w14:paraId="38A8AA03">
      <w:pPr>
        <w:rPr>
          <w:rFonts w:hint="eastAsia"/>
        </w:rPr>
      </w:pPr>
      <w:r>
        <w:rPr>
          <w:rFonts w:hint="eastAsia"/>
          <w:b/>
          <w:bCs/>
        </w:rPr>
        <w:t>校园文化百花齐放</w:t>
      </w:r>
      <w:r>
        <w:rPr>
          <w:rFonts w:hint="eastAsia"/>
          <w:b/>
          <w:bCs/>
          <w:lang w:val="en-US" w:eastAsia="zh-CN"/>
        </w:rPr>
        <w:t xml:space="preserve">  </w:t>
      </w:r>
      <w:r>
        <w:t>2013年，该校践行特色办</w:t>
      </w:r>
      <w:r>
        <w:rPr>
          <w:rFonts w:hint="eastAsia"/>
        </w:rPr>
        <w:t>学理念，大力加强校园文化建设，成功举办校庆纪念日活动、校园文化艺术节、体育节等多次大型文化艺术活动，校园文化品位得到进一步提升，建成了“团结协作、和谐共进”的团队文化，“精益求精、爱生如子”的育人文化、“刻苦拼搏、尊师如父”的求学文化，“兼容并包、百花齐放”的校园文化，彰显了“文化雄中”、“活力雄中”、“魅力雄中”。</w:t>
      </w:r>
      <w:r>
        <w:t>2013年该校校园文化建设卓有成效，文艺</w:t>
      </w:r>
      <w:r>
        <w:rPr>
          <w:rFonts w:hint="eastAsia"/>
        </w:rPr>
        <w:t>体育竞赛硕果累累，学校文艺、体育代表队参加厂东省体育传统项目学校体育比赛和韶关市英东杯等比赛，纷纷载誉归来，共获得省级奖励</w:t>
      </w:r>
      <w:r>
        <w:t>7项；市级</w:t>
      </w:r>
      <w:r>
        <w:rPr>
          <w:rFonts w:hint="eastAsia"/>
        </w:rPr>
        <w:t>奖励</w:t>
      </w:r>
      <w:r>
        <w:t>7项。其中该校文艺代表连续五年荣获韶关市</w:t>
      </w:r>
      <w:r>
        <w:rPr>
          <w:rFonts w:hint="eastAsia"/>
        </w:rPr>
        <w:t>“英东杯”一、二、三等奖；学生女子篮球蝉联韶关市“英东杯”中学组冠军，学生男子篮球勇夺韶关市“英东杯”中学组亚军；在</w:t>
      </w:r>
      <w:r>
        <w:t>2013年广东省体</w:t>
      </w:r>
      <w:r>
        <w:rPr>
          <w:rFonts w:hint="eastAsia"/>
        </w:rPr>
        <w:t>育传统项目学校健美操比赛中，该校代表队再次取得了喜人的成绩，其中，有氧健身操获得第一名</w:t>
      </w:r>
      <w:r>
        <w:rPr>
          <w:rFonts w:hint="eastAsia"/>
          <w:lang w:eastAsia="zh-CN"/>
        </w:rPr>
        <w:t>、</w:t>
      </w:r>
      <w:r>
        <w:rPr>
          <w:rFonts w:hint="eastAsia"/>
        </w:rPr>
        <w:t>三人操获得第三名、女子单人操获得第四名、男子单人操获得第五名、混合双人操获得第五名；在韶关市第二届中学生健美操比赛中，该校代表队蝉联轻器械和徒手健美操第一名。</w:t>
      </w:r>
    </w:p>
    <w:p w14:paraId="4B65E569">
      <w:pPr>
        <w:jc w:val="right"/>
        <w:rPr>
          <w:rFonts w:hint="eastAsia"/>
          <w:b/>
          <w:bCs/>
        </w:rPr>
      </w:pPr>
      <w:r>
        <w:rPr>
          <w:rFonts w:hint="eastAsia"/>
          <w:b/>
          <w:bCs/>
        </w:rPr>
        <w:t>（周济焕）</w:t>
      </w:r>
    </w:p>
    <w:p w14:paraId="417B5C93">
      <w:pPr>
        <w:pStyle w:val="10"/>
        <w:bidi w:val="0"/>
        <w:rPr>
          <w:b/>
          <w:bCs/>
        </w:rPr>
      </w:pPr>
      <w:r>
        <w:rPr>
          <w:rFonts w:hint="eastAsia"/>
          <w:b/>
          <w:bCs/>
        </w:rPr>
        <w:t>附：</w:t>
      </w:r>
      <w:r>
        <w:rPr>
          <w:b/>
          <w:bCs/>
        </w:rPr>
        <w:t>2013年南雄中学领导班子成员名单</w:t>
      </w:r>
    </w:p>
    <w:p w14:paraId="0C276FD0">
      <w:pPr>
        <w:pStyle w:val="10"/>
        <w:bidi w:val="0"/>
        <w:rPr>
          <w:rFonts w:hint="eastAsia"/>
        </w:rPr>
      </w:pPr>
      <w:r>
        <w:rPr>
          <w:rFonts w:hint="eastAsia"/>
          <w:b/>
          <w:bCs/>
        </w:rPr>
        <w:t>校</w:t>
      </w:r>
      <w:r>
        <w:rPr>
          <w:rFonts w:hint="eastAsia"/>
          <w:b/>
          <w:bCs/>
          <w:lang w:val="en-US" w:eastAsia="zh-CN"/>
        </w:rPr>
        <w:t xml:space="preserve">    </w:t>
      </w:r>
      <w:r>
        <w:rPr>
          <w:rFonts w:hint="eastAsia"/>
          <w:b/>
          <w:bCs/>
        </w:rPr>
        <w:t>长：</w:t>
      </w:r>
      <w:r>
        <w:rPr>
          <w:rFonts w:hint="eastAsia"/>
        </w:rPr>
        <w:t>胡钟超</w:t>
      </w:r>
    </w:p>
    <w:p w14:paraId="2DF52DEB">
      <w:pPr>
        <w:pStyle w:val="10"/>
        <w:bidi w:val="0"/>
        <w:rPr>
          <w:rFonts w:hint="eastAsia"/>
        </w:rPr>
      </w:pPr>
      <w:r>
        <w:rPr>
          <w:rFonts w:hint="eastAsia"/>
          <w:b/>
          <w:bCs/>
        </w:rPr>
        <w:t>副</w:t>
      </w:r>
      <w:r>
        <w:rPr>
          <w:rFonts w:hint="eastAsia"/>
          <w:b/>
          <w:bCs/>
          <w:lang w:val="en-US" w:eastAsia="zh-CN"/>
        </w:rPr>
        <w:t xml:space="preserve"> </w:t>
      </w:r>
      <w:r>
        <w:rPr>
          <w:rFonts w:hint="eastAsia"/>
          <w:b/>
          <w:bCs/>
        </w:rPr>
        <w:t>校</w:t>
      </w:r>
      <w:r>
        <w:rPr>
          <w:rFonts w:hint="eastAsia"/>
          <w:b/>
          <w:bCs/>
          <w:lang w:val="en-US" w:eastAsia="zh-CN"/>
        </w:rPr>
        <w:t xml:space="preserve"> </w:t>
      </w:r>
      <w:r>
        <w:rPr>
          <w:rFonts w:hint="eastAsia"/>
          <w:b/>
          <w:bCs/>
        </w:rPr>
        <w:t>长：</w:t>
      </w:r>
      <w:r>
        <w:rPr>
          <w:rFonts w:hint="eastAsia"/>
        </w:rPr>
        <w:t>郭</w:t>
      </w:r>
      <w:r>
        <w:rPr>
          <w:rFonts w:hint="eastAsia"/>
          <w:lang w:val="en-US" w:eastAsia="zh-CN"/>
        </w:rPr>
        <w:t xml:space="preserve">  </w:t>
      </w:r>
      <w:r>
        <w:rPr>
          <w:rFonts w:hint="eastAsia"/>
        </w:rPr>
        <w:t>军</w:t>
      </w:r>
      <w:r>
        <w:rPr>
          <w:rFonts w:hint="eastAsia"/>
          <w:lang w:val="en-US" w:eastAsia="zh-CN"/>
        </w:rPr>
        <w:t xml:space="preserve">   </w:t>
      </w:r>
      <w:r>
        <w:rPr>
          <w:rFonts w:hint="eastAsia"/>
        </w:rPr>
        <w:t>吴海生</w:t>
      </w:r>
      <w:r>
        <w:rPr>
          <w:rFonts w:hint="eastAsia"/>
          <w:lang w:val="en-US" w:eastAsia="zh-CN"/>
        </w:rPr>
        <w:t xml:space="preserve">   </w:t>
      </w:r>
      <w:r>
        <w:rPr>
          <w:rFonts w:hint="eastAsia"/>
        </w:rPr>
        <w:t>陈盛荣</w:t>
      </w:r>
      <w:r>
        <w:rPr>
          <w:rFonts w:hint="eastAsia"/>
          <w:lang w:val="en-US" w:eastAsia="zh-CN"/>
        </w:rPr>
        <w:t xml:space="preserve">   </w:t>
      </w:r>
      <w:r>
        <w:rPr>
          <w:rFonts w:hint="eastAsia"/>
        </w:rPr>
        <w:t>郑东升</w:t>
      </w:r>
    </w:p>
    <w:p w14:paraId="677E5379">
      <w:pPr>
        <w:pStyle w:val="10"/>
        <w:bidi w:val="0"/>
        <w:rPr>
          <w:rFonts w:hint="eastAsia"/>
        </w:rPr>
      </w:pPr>
      <w:r>
        <w:rPr>
          <w:rFonts w:hint="eastAsia"/>
          <w:b/>
          <w:bCs/>
        </w:rPr>
        <w:t>工会主席：</w:t>
      </w:r>
      <w:r>
        <w:rPr>
          <w:rFonts w:hint="eastAsia"/>
        </w:rPr>
        <w:t>林</w:t>
      </w:r>
      <w:r>
        <w:rPr>
          <w:rFonts w:hint="eastAsia"/>
          <w:lang w:val="en-US" w:eastAsia="zh-CN"/>
        </w:rPr>
        <w:t xml:space="preserve">  </w:t>
      </w:r>
      <w:r>
        <w:rPr>
          <w:rFonts w:hint="eastAsia"/>
        </w:rPr>
        <w:t>琼</w:t>
      </w:r>
    </w:p>
    <w:p w14:paraId="50F8B4B8">
      <w:pPr>
        <w:pStyle w:val="4"/>
        <w:bidi w:val="0"/>
        <w:rPr>
          <w:rFonts w:hint="eastAsia"/>
        </w:rPr>
      </w:pPr>
      <w:r>
        <w:rPr>
          <w:rFonts w:hint="eastAsia"/>
        </w:rPr>
        <w:t>【南雄市第一中学】</w:t>
      </w:r>
    </w:p>
    <w:p w14:paraId="50C03FC7">
      <w:pPr>
        <w:rPr>
          <w:rFonts w:hint="eastAsia"/>
        </w:rPr>
      </w:pPr>
      <w:r>
        <w:rPr>
          <w:rFonts w:hint="eastAsia"/>
        </w:rPr>
        <w:t>南雄市第一中学地处南雄市东北郊，创建于</w:t>
      </w:r>
      <w:r>
        <w:t>1982年。校名由原广东省副省长</w:t>
      </w:r>
      <w:r>
        <w:rPr>
          <w:rFonts w:hint="eastAsia"/>
        </w:rPr>
        <w:t>王屏山同志题写。</w:t>
      </w:r>
      <w:r>
        <w:t>1986年被命名为广东省传统项目</w:t>
      </w:r>
      <w:r>
        <w:rPr>
          <w:rFonts w:hint="eastAsia"/>
        </w:rPr>
        <w:t>学校，</w:t>
      </w:r>
      <w:r>
        <w:t>2003年被评为广东省一级学校，2006年10</w:t>
      </w:r>
      <w:r>
        <w:rPr>
          <w:rFonts w:hint="eastAsia"/>
        </w:rPr>
        <w:t>月被北京奥组委、教育部命名“北京</w:t>
      </w:r>
      <w:r>
        <w:t>2</w:t>
      </w:r>
      <w:r>
        <w:rPr>
          <w:rFonts w:hint="eastAsia"/>
          <w:lang w:val="en-US" w:eastAsia="zh-CN"/>
        </w:rPr>
        <w:t>0</w:t>
      </w:r>
      <w:r>
        <w:t>08奥林匹</w:t>
      </w:r>
      <w:r>
        <w:rPr>
          <w:rFonts w:hint="eastAsia"/>
        </w:rPr>
        <w:t>克教育示范学校”，</w:t>
      </w:r>
      <w:r>
        <w:t>2008年12月顺利通过广东省国</w:t>
      </w:r>
      <w:r>
        <w:rPr>
          <w:rFonts w:hint="eastAsia"/>
        </w:rPr>
        <w:t>家级示范性普通高中验收。这标志着南雄市一中教育发展迈上了新的里程碑，更加增添了发展动力，学校将以此为契机，着力打造优质教育品牌。</w:t>
      </w:r>
    </w:p>
    <w:p w14:paraId="67DC8EB3">
      <w:pPr>
        <w:rPr>
          <w:rFonts w:hint="eastAsia"/>
        </w:rPr>
      </w:pPr>
      <w:r>
        <w:rPr>
          <w:rFonts w:hint="eastAsia"/>
        </w:rPr>
        <w:t>学校总占地面积为</w:t>
      </w:r>
      <w:r>
        <w:t>104738平方米，建筑面积</w:t>
      </w:r>
      <w:r>
        <w:rPr>
          <w:rFonts w:hint="eastAsia"/>
        </w:rPr>
        <w:t>达</w:t>
      </w:r>
      <w:r>
        <w:t>31736平方米，分教学区、生活区、运动区，布</w:t>
      </w:r>
      <w:r>
        <w:rPr>
          <w:rFonts w:hint="eastAsia"/>
        </w:rPr>
        <w:t>局科学合理。目前，楼、堂、馆、所建设初具规模，教育教学设备日臻完善。有</w:t>
      </w:r>
      <w:r>
        <w:t>400米标准运动场</w:t>
      </w:r>
      <w:r>
        <w:rPr>
          <w:rFonts w:hint="eastAsia"/>
        </w:rPr>
        <w:t>和配套篮球场、羽毛球场等运动场地；有生物园、地理园；学校藏书已达</w:t>
      </w:r>
      <w:r>
        <w:t>81000多册，电子图书20000多册，初具现代化办学条件。学校建成了有320多个信息点，1000兆宽带接入，100兆交换到</w:t>
      </w:r>
      <w:r>
        <w:rPr>
          <w:rFonts w:hint="eastAsia"/>
        </w:rPr>
        <w:t>桌面的完善校园网，拥有了“一个中心”（网络管理控制中心）、“二个库”（教学资源库、试题库）</w:t>
      </w:r>
      <w:r>
        <w:rPr>
          <w:rFonts w:hint="eastAsia"/>
          <w:lang w:eastAsia="zh-CN"/>
        </w:rPr>
        <w:t>、</w:t>
      </w:r>
      <w:r>
        <w:rPr>
          <w:rFonts w:hint="eastAsia"/>
        </w:rPr>
        <w:t>“五大功能室”（多媒体教室、模拟实验室、数字语言室、课件制作室、电子阅览室）、“七个子系统”（校园信息管理系统、考试系统、视频点播（直播）系统、图书管理系统、电子邮件系统、智能语言学习系统、远程教育系统）。</w:t>
      </w:r>
    </w:p>
    <w:p w14:paraId="05A96795">
      <w:pPr>
        <w:rPr>
          <w:rFonts w:hint="eastAsia"/>
        </w:rPr>
      </w:pPr>
      <w:r>
        <w:rPr>
          <w:rFonts w:hint="eastAsia"/>
        </w:rPr>
        <w:t>学校</w:t>
      </w:r>
      <w:r>
        <w:t>2002年初高中剥离，2011年恢复初中，</w:t>
      </w:r>
      <w:r>
        <w:rPr>
          <w:rFonts w:hint="eastAsia"/>
        </w:rPr>
        <w:t>现是一所完全中学，共</w:t>
      </w:r>
      <w:r>
        <w:t>74个班，其中高中62个</w:t>
      </w:r>
      <w:r>
        <w:rPr>
          <w:rFonts w:hint="eastAsia"/>
        </w:rPr>
        <w:t>班，初中</w:t>
      </w:r>
      <w:r>
        <w:t>12个班，在校生4821人。教师配备合</w:t>
      </w:r>
      <w:r>
        <w:rPr>
          <w:rFonts w:hint="eastAsia"/>
        </w:rPr>
        <w:t>理，在职教职工</w:t>
      </w:r>
      <w:r>
        <w:t>289人，其中，特级教师2人、高</w:t>
      </w:r>
      <w:r>
        <w:rPr>
          <w:rFonts w:hint="eastAsia"/>
        </w:rPr>
        <w:t>级教师</w:t>
      </w:r>
      <w:r>
        <w:t>68人，本科学历269人，研究生（含结业）30人，学历达标率96.4%。学科分布合理，满足</w:t>
      </w:r>
      <w:r>
        <w:rPr>
          <w:rFonts w:hint="eastAsia"/>
        </w:rPr>
        <w:t>教学需要。办校</w:t>
      </w:r>
      <w:r>
        <w:t>31年来，南雄市一中高考成绩年</w:t>
      </w:r>
      <w:r>
        <w:rPr>
          <w:rFonts w:hint="eastAsia"/>
        </w:rPr>
        <w:t>胜一年，许多高素质的学生被清华、北大、人大、复旦、浙大、中大等著名高等学府所录取；初升高考试和学科竞赛成绩始终名列全市前列。学校体育艺术学科更是成绩斐然，已成为南雄市一中一大鲜明的办学特色。优异的办学成绩得到各级领导的肯定和赞誉。学校先后获得了“全国群众体育先进集体</w:t>
      </w:r>
      <w:r>
        <w:rPr>
          <w:rFonts w:hint="eastAsia"/>
          <w:lang w:eastAsia="zh-CN"/>
        </w:rPr>
        <w:t>”、“</w:t>
      </w:r>
      <w:r>
        <w:rPr>
          <w:rFonts w:hint="eastAsia"/>
          <w:lang w:val="en-US" w:eastAsia="zh-CN"/>
        </w:rPr>
        <w:t>广</w:t>
      </w:r>
      <w:r>
        <w:t>东省全面贯彻党的教育方针、深化教育改</w:t>
      </w:r>
      <w:r>
        <w:rPr>
          <w:rFonts w:hint="eastAsia"/>
        </w:rPr>
        <w:t>革、成绩显著先进集体”、“韶关市校园建设和管理工作先进单位”、“韶关市教育改革先进单位”“</w:t>
      </w:r>
      <w:r>
        <w:rPr>
          <w:rFonts w:hint="eastAsia"/>
          <w:lang w:val="en-US" w:eastAsia="zh-CN"/>
        </w:rPr>
        <w:t>广</w:t>
      </w:r>
      <w:r>
        <w:rPr>
          <w:rFonts w:hint="eastAsia"/>
        </w:rPr>
        <w:t>东省朝阳读书活动先进集体”“韶关市高考优秀学校”等集体荣誉称号。社会各界人士对南雄市一中的办学成绩给予了高度评价，赢得了“校龄短、投入少、效益高、发展快”的美誉。随着时代的发展，学校的规模在不断扩展，办学的档次，在逐步提升，办学的水平稳步上升。</w:t>
      </w:r>
    </w:p>
    <w:p w14:paraId="585EAD2A">
      <w:pPr>
        <w:rPr>
          <w:rFonts w:hint="eastAsia"/>
        </w:rPr>
      </w:pPr>
      <w:r>
        <w:t>2013年，该校始终把德育教育放在学校教育的</w:t>
      </w:r>
      <w:r>
        <w:rPr>
          <w:rFonts w:hint="eastAsia"/>
        </w:rPr>
        <w:t>首位，融入到教育教学的全过程，取得了显著成效。一是德育教育内容体系化。学校在德育工作中融入了社会主义核心价值体系教育，开展社会主义荣辱观、爱国主义、集体主义、传统道德、心理健康、意志品质等思想教育。二是德育教育渠道多样化。充分挖掘教材的德育内容，发挥课堂育人的主阵地作用，使德育渗透到教学工作的全过程，创建了丰富多彩的校园文化、班级文化。三是德育教育活动丰富化。学校积极开展丰富健康的校园文化活动，如校园文化艺术节、田径运动会、元旦文艺汇演、演讲比赛、征文比赛、歌咏比赛、阳光体育运动、读书月等活动。学校德育教育，学生的个性特长、创新精神和实践能力得到充分发展。</w:t>
      </w:r>
    </w:p>
    <w:p w14:paraId="70C3C07F">
      <w:pPr>
        <w:rPr>
          <w:rFonts w:hint="eastAsia"/>
          <w:lang w:val="en-US" w:eastAsia="zh-CN"/>
        </w:rPr>
      </w:pPr>
      <w:r>
        <w:t>2013年，该校高考取得重大突破，全面超额完</w:t>
      </w:r>
      <w:r>
        <w:rPr>
          <w:rFonts w:hint="eastAsia"/>
        </w:rPr>
        <w:t>成韶关市下达的各层次入线指标，其中重点上线</w:t>
      </w:r>
      <w:r>
        <w:t>53</w:t>
      </w:r>
      <w:r>
        <w:rPr>
          <w:rFonts w:hint="eastAsia"/>
        </w:rPr>
        <w:t>人，本科上线</w:t>
      </w:r>
      <w:r>
        <w:t>312人，专科上线1071人。高分层600分以上15人；南雄市理科前五名占2人，文科</w:t>
      </w:r>
      <w:r>
        <w:rPr>
          <w:rFonts w:hint="eastAsia"/>
        </w:rPr>
        <w:t>前五名占</w:t>
      </w:r>
      <w:r>
        <w:t>2人；2013年上重点人数比前两年的总和</w:t>
      </w:r>
      <w:r>
        <w:rPr>
          <w:rFonts w:hint="eastAsia"/>
        </w:rPr>
        <w:t>还超</w:t>
      </w:r>
      <w:r>
        <w:t>2人，2013年是学校办学31年来本科上线首</w:t>
      </w:r>
      <w:r>
        <w:rPr>
          <w:rFonts w:hint="eastAsia"/>
        </w:rPr>
        <w:t>次突破</w:t>
      </w:r>
      <w:r>
        <w:t>300人；重点上线人数、本科上线人数、总</w:t>
      </w:r>
      <w:r>
        <w:rPr>
          <w:rFonts w:hint="eastAsia"/>
        </w:rPr>
        <w:t>上线人数均名列韶关市各县（区）同类学校第</w:t>
      </w:r>
      <w:r>
        <w:rPr>
          <w:rFonts w:hint="eastAsia"/>
          <w:lang w:val="en-US" w:eastAsia="zh-CN"/>
        </w:rPr>
        <w:t>一。</w:t>
      </w:r>
    </w:p>
    <w:p w14:paraId="517C9F7A">
      <w:r>
        <w:t>2013年，该校坚持以教育教学为中心，强力推</w:t>
      </w:r>
      <w:r>
        <w:rPr>
          <w:rFonts w:hint="eastAsia"/>
        </w:rPr>
        <w:t>进科组建设，大力加强教科研工作，在教研教改方面取得了丰硕的成果，完成</w:t>
      </w:r>
      <w:r>
        <w:t>3个省级以上教研课</w:t>
      </w:r>
      <w:r>
        <w:rPr>
          <w:rFonts w:hint="eastAsia"/>
        </w:rPr>
        <w:t>题，专业教师发表了</w:t>
      </w:r>
      <w:r>
        <w:t>86篇教学研究论文。</w:t>
      </w:r>
    </w:p>
    <w:p w14:paraId="61CE5ED0">
      <w:pPr>
        <w:rPr>
          <w:rFonts w:hint="eastAsia"/>
        </w:rPr>
      </w:pPr>
      <w:r>
        <w:t>2013年，该校开源节流，加大力度完善办学条</w:t>
      </w:r>
      <w:r>
        <w:rPr>
          <w:rFonts w:hint="eastAsia"/>
        </w:rPr>
        <w:t>件，创设一流的育人环境。一是兴建教学楼，解决学生课室紧张的问题；二是进一步做好校园美化绿化工作；三是逐步完善学校教学配套设施，确保师生拥有良好的学习和生活环境。</w:t>
      </w:r>
    </w:p>
    <w:p w14:paraId="43FDA7DB">
      <w:pPr>
        <w:jc w:val="right"/>
        <w:rPr>
          <w:rFonts w:hint="eastAsia"/>
          <w:b/>
          <w:bCs/>
        </w:rPr>
      </w:pPr>
      <w:r>
        <w:rPr>
          <w:rFonts w:hint="eastAsia"/>
          <w:b/>
          <w:bCs/>
        </w:rPr>
        <w:t>（马新平）</w:t>
      </w:r>
    </w:p>
    <w:p w14:paraId="5A735B0E">
      <w:pPr>
        <w:pStyle w:val="10"/>
        <w:bidi w:val="0"/>
        <w:rPr>
          <w:b/>
          <w:bCs/>
        </w:rPr>
      </w:pPr>
      <w:r>
        <w:rPr>
          <w:rFonts w:hint="eastAsia"/>
          <w:b/>
          <w:bCs/>
        </w:rPr>
        <w:t>附：</w:t>
      </w:r>
      <w:r>
        <w:rPr>
          <w:b/>
          <w:bCs/>
        </w:rPr>
        <w:t>2013年市一中领导班子成员名单</w:t>
      </w:r>
    </w:p>
    <w:p w14:paraId="506B46D7">
      <w:pPr>
        <w:pStyle w:val="10"/>
        <w:bidi w:val="0"/>
        <w:rPr>
          <w:rFonts w:hint="eastAsia"/>
        </w:rPr>
      </w:pPr>
      <w:r>
        <w:rPr>
          <w:rFonts w:hint="eastAsia"/>
          <w:b/>
          <w:bCs/>
        </w:rPr>
        <w:t>校</w:t>
      </w:r>
      <w:r>
        <w:rPr>
          <w:rFonts w:hint="eastAsia"/>
          <w:b/>
          <w:bCs/>
          <w:lang w:val="en-US" w:eastAsia="zh-CN"/>
        </w:rPr>
        <w:t xml:space="preserve">  </w:t>
      </w:r>
      <w:r>
        <w:rPr>
          <w:rFonts w:hint="eastAsia"/>
          <w:b/>
          <w:bCs/>
        </w:rPr>
        <w:t>长：</w:t>
      </w:r>
      <w:r>
        <w:rPr>
          <w:rFonts w:hint="eastAsia"/>
        </w:rPr>
        <w:t>饶盛祥</w:t>
      </w:r>
    </w:p>
    <w:p w14:paraId="03643604">
      <w:pPr>
        <w:pStyle w:val="10"/>
        <w:bidi w:val="0"/>
        <w:rPr>
          <w:rFonts w:hint="eastAsia"/>
        </w:rPr>
      </w:pPr>
      <w:r>
        <w:rPr>
          <w:rFonts w:hint="eastAsia"/>
          <w:b/>
          <w:bCs/>
        </w:rPr>
        <w:t>副校长：</w:t>
      </w:r>
      <w:r>
        <w:rPr>
          <w:rFonts w:hint="eastAsia"/>
        </w:rPr>
        <w:t>沈世荣</w:t>
      </w:r>
      <w:r>
        <w:rPr>
          <w:rFonts w:hint="eastAsia"/>
          <w:lang w:val="en-US" w:eastAsia="zh-CN"/>
        </w:rPr>
        <w:t xml:space="preserve">   </w:t>
      </w:r>
      <w:r>
        <w:rPr>
          <w:rFonts w:hint="eastAsia"/>
        </w:rPr>
        <w:t>李子慧</w:t>
      </w:r>
      <w:r>
        <w:rPr>
          <w:rFonts w:hint="eastAsia"/>
          <w:lang w:val="en-US" w:eastAsia="zh-CN"/>
        </w:rPr>
        <w:t xml:space="preserve">   </w:t>
      </w:r>
      <w:r>
        <w:rPr>
          <w:rFonts w:hint="eastAsia"/>
        </w:rPr>
        <w:t>何俊杰</w:t>
      </w:r>
      <w:r>
        <w:rPr>
          <w:rFonts w:hint="eastAsia"/>
          <w:lang w:val="en-US" w:eastAsia="zh-CN"/>
        </w:rPr>
        <w:t xml:space="preserve">   </w:t>
      </w:r>
      <w:r>
        <w:rPr>
          <w:rFonts w:hint="eastAsia"/>
        </w:rPr>
        <w:t>何社生（</w:t>
      </w:r>
      <w:r>
        <w:t>9月</w:t>
      </w:r>
      <w:r>
        <w:rPr>
          <w:rFonts w:hint="eastAsia"/>
        </w:rPr>
        <w:t>任）</w:t>
      </w:r>
    </w:p>
    <w:p w14:paraId="0F776121">
      <w:pPr>
        <w:pStyle w:val="4"/>
        <w:bidi w:val="0"/>
        <w:rPr>
          <w:rFonts w:hint="eastAsia"/>
        </w:rPr>
      </w:pPr>
      <w:r>
        <w:rPr>
          <w:rFonts w:hint="eastAsia"/>
        </w:rPr>
        <w:t>【黄坑中学】</w:t>
      </w:r>
    </w:p>
    <w:p w14:paraId="33C8923A">
      <w:pPr>
        <w:rPr>
          <w:rFonts w:hint="eastAsia"/>
        </w:rPr>
      </w:pPr>
      <w:r>
        <w:rPr>
          <w:rFonts w:hint="eastAsia"/>
        </w:rPr>
        <w:t>南雄市黄坑中学位于南雄市东部黄坑镇，距市区</w:t>
      </w:r>
      <w:r>
        <w:t>22公里，是南雄市唯一一所农村完</w:t>
      </w:r>
      <w:r>
        <w:rPr>
          <w:rFonts w:hint="eastAsia"/>
        </w:rPr>
        <w:t>全中学，市直属正科级学校。</w:t>
      </w:r>
    </w:p>
    <w:p w14:paraId="167F242D">
      <w:r>
        <w:rPr>
          <w:rFonts w:hint="eastAsia"/>
        </w:rPr>
        <w:t>学校创办于</w:t>
      </w:r>
      <w:r>
        <w:t>1956年，初为初级中学，1959年</w:t>
      </w:r>
      <w:r>
        <w:rPr>
          <w:rFonts w:hint="eastAsia"/>
        </w:rPr>
        <w:t>升格为完全中学，</w:t>
      </w:r>
      <w:r>
        <w:t>1973年定为韶关地区重点完全中</w:t>
      </w:r>
      <w:r>
        <w:rPr>
          <w:rFonts w:hint="eastAsia"/>
        </w:rPr>
        <w:t>学，</w:t>
      </w:r>
      <w:r>
        <w:t>2004年晋升为省一级学校。</w:t>
      </w:r>
    </w:p>
    <w:p w14:paraId="02128AA3">
      <w:r>
        <w:rPr>
          <w:rFonts w:hint="eastAsia"/>
        </w:rPr>
        <w:t>学校占地面积</w:t>
      </w:r>
      <w:r>
        <w:t>12万平方米，建筑面积近6万</w:t>
      </w:r>
      <w:r>
        <w:rPr>
          <w:rFonts w:hint="eastAsia"/>
        </w:rPr>
        <w:t>平方米，拥有二栋教学楼，二栋实验楼，一座有</w:t>
      </w:r>
      <w:r>
        <w:t>10</w:t>
      </w:r>
      <w:r>
        <w:rPr>
          <w:rFonts w:hint="eastAsia"/>
        </w:rPr>
        <w:t>万册藏书的图书馆、一栋信息中心楼、一栋艺术楼和一个标准的</w:t>
      </w:r>
      <w:r>
        <w:t>400米跑道运动场，教育教学实施较</w:t>
      </w:r>
      <w:r>
        <w:rPr>
          <w:rFonts w:hint="eastAsia"/>
        </w:rPr>
        <w:t>完善。现有</w:t>
      </w:r>
      <w:r>
        <w:t>48个教学班，在校学生2600人（2013</w:t>
      </w:r>
      <w:r>
        <w:rPr>
          <w:rFonts w:hint="eastAsia"/>
        </w:rPr>
        <w:t>年毕业生人数，高三</w:t>
      </w:r>
      <w:r>
        <w:t>419人，初三417人；招生人</w:t>
      </w:r>
      <w:r>
        <w:rPr>
          <w:rFonts w:hint="eastAsia"/>
        </w:rPr>
        <w:t>数：高一</w:t>
      </w:r>
      <w:r>
        <w:t>512人，初一316人），教职工202人，</w:t>
      </w:r>
      <w:r>
        <w:rPr>
          <w:rFonts w:hint="eastAsia"/>
        </w:rPr>
        <w:t>专任教师</w:t>
      </w:r>
      <w:r>
        <w:t>191人，其中高级教师20人，一级教师128人。</w:t>
      </w:r>
    </w:p>
    <w:p w14:paraId="5D577844">
      <w:pPr>
        <w:rPr>
          <w:rFonts w:hint="eastAsia"/>
        </w:rPr>
      </w:pPr>
      <w:r>
        <w:rPr>
          <w:rFonts w:hint="eastAsia"/>
          <w:b/>
          <w:bCs/>
        </w:rPr>
        <w:t>办学思路</w:t>
      </w:r>
      <w:r>
        <w:rPr>
          <w:rFonts w:hint="eastAsia"/>
          <w:lang w:val="en-US" w:eastAsia="zh-CN"/>
        </w:rPr>
        <w:t xml:space="preserve">  </w:t>
      </w:r>
      <w:r>
        <w:rPr>
          <w:rFonts w:hint="eastAsia"/>
        </w:rPr>
        <w:t>黄坑中学坚持“以人为本，和谐发展”的办学理念，提出建设“健康、幸福”校园</w:t>
      </w:r>
      <w:r>
        <w:rPr>
          <w:rFonts w:hint="eastAsia"/>
          <w:lang w:eastAsia="zh-CN"/>
        </w:rPr>
        <w:t>、</w:t>
      </w:r>
      <w:r>
        <w:rPr>
          <w:rFonts w:hint="eastAsia"/>
        </w:rPr>
        <w:t>培养具有“平民本色、绅士风度”的新一代公民的办学目标，并以此作为学校开展工作的出发点和归宿点，致力于将办学理念、办学目标逐步从文字口号落实为学校师生共同的价值观。</w:t>
      </w:r>
    </w:p>
    <w:p w14:paraId="1752AF35">
      <w:pPr>
        <w:rPr>
          <w:rFonts w:hint="eastAsia"/>
        </w:rPr>
      </w:pPr>
      <w:r>
        <w:rPr>
          <w:rFonts w:hint="eastAsia"/>
          <w:b/>
          <w:bCs/>
        </w:rPr>
        <w:t>教育教学</w:t>
      </w:r>
      <w:r>
        <w:rPr>
          <w:rFonts w:hint="eastAsia"/>
          <w:b/>
          <w:bCs/>
          <w:lang w:val="en-US" w:eastAsia="zh-CN"/>
        </w:rPr>
        <w:t xml:space="preserve"> </w:t>
      </w:r>
      <w:r>
        <w:rPr>
          <w:rFonts w:hint="eastAsia"/>
          <w:lang w:val="en-US" w:eastAsia="zh-CN"/>
        </w:rPr>
        <w:t xml:space="preserve"> </w:t>
      </w:r>
      <w:r>
        <w:rPr>
          <w:rFonts w:hint="eastAsia"/>
        </w:rPr>
        <w:t>黄坑中学注重教师队伍的思想品德建设和业务素质提升。学校坚持用“二心</w:t>
      </w:r>
      <w:r>
        <w:rPr>
          <w:rFonts w:hint="eastAsia"/>
          <w:lang w:eastAsia="zh-CN"/>
        </w:rPr>
        <w:t>”—“</w:t>
      </w:r>
      <w:r>
        <w:t>工</w:t>
      </w:r>
      <w:r>
        <w:rPr>
          <w:rFonts w:hint="eastAsia"/>
        </w:rPr>
        <w:t>作上要有责任心，生活上要有平常心”教育教师，用“到、做、好”三字规范教师行为；学校还邀请了南雄市人大副主任罗勇新给全校教职工作“快乐由己”主题讲座。教学工作，学校强调走内涵发展道路，努力提升教师的业务素质。学校强调抓常规、抓过程、抓课堂，认真、扎实做好“备、教、辅、改、考”五环节；注重基础训练，强化了非毕业班的月测，提倡多读多背，努力营造良好的读书氛围。学校重视教师业务能力的提升，要求教师参加各种职务培训，参培率达到</w:t>
      </w:r>
      <w:r>
        <w:t>98%；强化教学科研</w:t>
      </w:r>
      <w:r>
        <w:rPr>
          <w:rFonts w:hint="eastAsia"/>
        </w:rPr>
        <w:t>工作，一年来有</w:t>
      </w:r>
      <w:r>
        <w:t>18人共23篇论文获市级以上奖</w:t>
      </w:r>
      <w:r>
        <w:rPr>
          <w:rFonts w:hint="eastAsia"/>
        </w:rPr>
        <w:t>励；鼓励教师参加业务考试，外派教师到外校、外市观摩学习，邀请专家教授来校传经送宝一韶关学院化学与环境工程学院曾懋华教授应邀于</w:t>
      </w:r>
      <w:r>
        <w:t>10月31</w:t>
      </w:r>
      <w:r>
        <w:rPr>
          <w:rFonts w:hint="eastAsia"/>
        </w:rPr>
        <w:t>日给我校全体教师作了题为“中学教师教学论文的写作与课题研究技巧”专题讲座。</w:t>
      </w:r>
    </w:p>
    <w:p w14:paraId="489C4F6D">
      <w:pPr>
        <w:rPr>
          <w:rFonts w:hint="eastAsia"/>
        </w:rPr>
      </w:pPr>
      <w:r>
        <w:rPr>
          <w:rFonts w:hint="eastAsia"/>
          <w:b/>
          <w:bCs/>
          <w:sz w:val="18"/>
          <w:szCs w:val="18"/>
        </w:rPr>
        <w:t>基础建设</w:t>
      </w:r>
      <w:r>
        <w:rPr>
          <w:rFonts w:hint="eastAsia"/>
          <w:lang w:val="en-US" w:eastAsia="zh-CN"/>
        </w:rPr>
        <w:t xml:space="preserve">  </w:t>
      </w:r>
      <w:r>
        <w:rPr>
          <w:rFonts w:hint="eastAsia"/>
        </w:rPr>
        <w:t>黄坑中学注重校园环境的美化、亮化。</w:t>
      </w:r>
      <w:r>
        <w:t>2013年9月，90届校友捐资建成一个灯光塑</w:t>
      </w:r>
      <w:r>
        <w:rPr>
          <w:rFonts w:hint="eastAsia"/>
        </w:rPr>
        <w:t>胶羽毛球场；</w:t>
      </w:r>
      <w:r>
        <w:t>8月30日，建筑面积1125平方米的</w:t>
      </w:r>
      <w:r>
        <w:rPr>
          <w:rFonts w:hint="eastAsia"/>
        </w:rPr>
        <w:t>“万年体育馆”招标成功，标价为</w:t>
      </w:r>
      <w:r>
        <w:t>230多万元，11</w:t>
      </w:r>
      <w:r>
        <w:rPr>
          <w:rFonts w:hint="eastAsia"/>
        </w:rPr>
        <w:t>月</w:t>
      </w:r>
      <w:r>
        <w:t>8日，体育馆正式破土动工，预计于2014年8月</w:t>
      </w:r>
      <w:r>
        <w:rPr>
          <w:rFonts w:hint="eastAsia"/>
        </w:rPr>
        <w:t>完工。</w:t>
      </w:r>
    </w:p>
    <w:p w14:paraId="36A15707">
      <w:pPr>
        <w:jc w:val="right"/>
        <w:rPr>
          <w:rFonts w:hint="eastAsia"/>
          <w:b/>
          <w:bCs/>
          <w:lang w:eastAsia="zh-CN"/>
        </w:rPr>
      </w:pPr>
      <w:r>
        <w:rPr>
          <w:rFonts w:hint="eastAsia"/>
          <w:b/>
          <w:bCs/>
        </w:rPr>
        <w:t>（曾宪圣</w:t>
      </w:r>
      <w:r>
        <w:rPr>
          <w:rFonts w:hint="eastAsia"/>
          <w:b/>
          <w:bCs/>
          <w:lang w:eastAsia="zh-CN"/>
        </w:rPr>
        <w:t>）</w:t>
      </w:r>
    </w:p>
    <w:p w14:paraId="210319C8">
      <w:pPr>
        <w:pStyle w:val="10"/>
        <w:bidi w:val="0"/>
        <w:rPr>
          <w:b/>
          <w:bCs/>
        </w:rPr>
      </w:pPr>
      <w:r>
        <w:rPr>
          <w:rFonts w:hint="eastAsia"/>
          <w:b/>
          <w:bCs/>
        </w:rPr>
        <w:t>附：</w:t>
      </w:r>
      <w:r>
        <w:rPr>
          <w:b/>
          <w:bCs/>
        </w:rPr>
        <w:t>2013年黄坑中学领导班子成员名单</w:t>
      </w:r>
    </w:p>
    <w:p w14:paraId="7D362F1F">
      <w:pPr>
        <w:pStyle w:val="10"/>
        <w:bidi w:val="0"/>
        <w:rPr>
          <w:rFonts w:hint="eastAsia"/>
        </w:rPr>
      </w:pPr>
      <w:r>
        <w:rPr>
          <w:rFonts w:hint="eastAsia"/>
          <w:b/>
          <w:bCs/>
        </w:rPr>
        <w:t>校</w:t>
      </w:r>
      <w:r>
        <w:rPr>
          <w:rFonts w:hint="eastAsia"/>
          <w:b/>
          <w:bCs/>
          <w:lang w:val="en-US" w:eastAsia="zh-CN"/>
        </w:rPr>
        <w:t xml:space="preserve">  </w:t>
      </w:r>
      <w:r>
        <w:rPr>
          <w:rFonts w:hint="eastAsia"/>
          <w:b/>
          <w:bCs/>
        </w:rPr>
        <w:t>长：</w:t>
      </w:r>
      <w:r>
        <w:rPr>
          <w:rFonts w:hint="eastAsia"/>
        </w:rPr>
        <w:t>李庚标</w:t>
      </w:r>
    </w:p>
    <w:p w14:paraId="4B527893">
      <w:pPr>
        <w:pStyle w:val="10"/>
        <w:bidi w:val="0"/>
        <w:rPr>
          <w:rFonts w:hint="eastAsia"/>
        </w:rPr>
      </w:pPr>
      <w:r>
        <w:rPr>
          <w:rFonts w:hint="eastAsia"/>
          <w:b/>
          <w:bCs/>
        </w:rPr>
        <w:t>副校长：</w:t>
      </w:r>
      <w:r>
        <w:rPr>
          <w:rFonts w:hint="eastAsia"/>
        </w:rPr>
        <w:t>叶桂林</w:t>
      </w:r>
      <w:r>
        <w:rPr>
          <w:rFonts w:hint="eastAsia"/>
          <w:lang w:val="en-US" w:eastAsia="zh-CN"/>
        </w:rPr>
        <w:t xml:space="preserve">   </w:t>
      </w:r>
      <w:r>
        <w:rPr>
          <w:rFonts w:hint="eastAsia"/>
        </w:rPr>
        <w:t>黄海斌</w:t>
      </w:r>
      <w:r>
        <w:rPr>
          <w:rFonts w:hint="eastAsia"/>
          <w:lang w:val="en-US" w:eastAsia="zh-CN"/>
        </w:rPr>
        <w:t xml:space="preserve">   </w:t>
      </w:r>
      <w:r>
        <w:rPr>
          <w:rFonts w:hint="eastAsia"/>
        </w:rPr>
        <w:t>张</w:t>
      </w:r>
      <w:r>
        <w:rPr>
          <w:rFonts w:hint="eastAsia"/>
          <w:lang w:val="en-US" w:eastAsia="zh-CN"/>
        </w:rPr>
        <w:t xml:space="preserve">  </w:t>
      </w:r>
      <w:r>
        <w:rPr>
          <w:rFonts w:hint="eastAsia"/>
        </w:rPr>
        <w:t>林</w:t>
      </w:r>
    </w:p>
    <w:p w14:paraId="14E681D1">
      <w:pPr>
        <w:pStyle w:val="4"/>
        <w:bidi w:val="0"/>
        <w:rPr>
          <w:rFonts w:hint="eastAsia"/>
        </w:rPr>
      </w:pPr>
      <w:r>
        <w:rPr>
          <w:rFonts w:hint="eastAsia"/>
        </w:rPr>
        <w:t>【南雄市中等职业学校】</w:t>
      </w:r>
    </w:p>
    <w:p w14:paraId="7CC01BDB">
      <w:r>
        <w:rPr>
          <w:rFonts w:hint="eastAsia"/>
        </w:rPr>
        <w:t>南雄市中等职业学校是南雄市唯一的一所中等职业学校，该校创办于</w:t>
      </w:r>
      <w:r>
        <w:t>1956</w:t>
      </w:r>
      <w:r>
        <w:rPr>
          <w:rFonts w:hint="eastAsia"/>
        </w:rPr>
        <w:t>年</w:t>
      </w:r>
      <w:r>
        <w:t>10月，原名为雄州镇第二中学，1990年2月更</w:t>
      </w:r>
      <w:r>
        <w:rPr>
          <w:rFonts w:hint="eastAsia"/>
        </w:rPr>
        <w:t>名为南雄县职业高级中学，</w:t>
      </w:r>
      <w:r>
        <w:t>1992年3月通过广东省</w:t>
      </w:r>
      <w:r>
        <w:rPr>
          <w:rFonts w:hint="eastAsia"/>
        </w:rPr>
        <w:t>教育厅评估，被广东省人民政府批准为省重点职业高中，</w:t>
      </w:r>
      <w:r>
        <w:t>2</w:t>
      </w:r>
      <w:r>
        <w:rPr>
          <w:rFonts w:hint="eastAsia"/>
          <w:lang w:val="en-US" w:eastAsia="zh-CN"/>
        </w:rPr>
        <w:t>0</w:t>
      </w:r>
      <w:r>
        <w:t>09年更名为南雄市中等职业学校，2008</w:t>
      </w:r>
      <w:r>
        <w:rPr>
          <w:rFonts w:hint="eastAsia"/>
        </w:rPr>
        <w:t>年，南雄市委、政府为进一步拓展学校发展空间，将原古市中学区划归该校改造为南校区。目前该校有南、北两个校区，形成以专业班为主的北校区和以高考班为主的南校区的学校格局。该校校园面积</w:t>
      </w:r>
      <w:r>
        <w:t>81.05亩（5.4公顷），建筑面积26036.25平方米。</w:t>
      </w:r>
    </w:p>
    <w:p w14:paraId="6A285472">
      <w:pPr>
        <w:rPr>
          <w:rFonts w:hint="eastAsia"/>
        </w:rPr>
      </w:pPr>
      <w:r>
        <w:t>该校拥有完善的教育教学设施设</w:t>
      </w:r>
      <w:r>
        <w:rPr>
          <w:rFonts w:hint="eastAsia"/>
        </w:rPr>
        <w:t>备：有教学楼</w:t>
      </w:r>
      <w:r>
        <w:t>4幢，学生宿舍4幢，实训中心1幢</w:t>
      </w:r>
      <w:r>
        <w:rPr>
          <w:rFonts w:hint="eastAsia"/>
        </w:rPr>
        <w:t>（共有</w:t>
      </w:r>
      <w:r>
        <w:t>42间功能室），实训设备总值达1460万元；</w:t>
      </w:r>
      <w:r>
        <w:rPr>
          <w:rFonts w:hint="eastAsia"/>
        </w:rPr>
        <w:t>师资力量雄厚：现有教职工</w:t>
      </w:r>
      <w:r>
        <w:t>121人，专任教师115</w:t>
      </w:r>
      <w:r>
        <w:rPr>
          <w:rFonts w:hint="eastAsia"/>
        </w:rPr>
        <w:t>人，其中专业教师</w:t>
      </w:r>
      <w:r>
        <w:t>57人，本科以上117人，高级</w:t>
      </w:r>
      <w:r>
        <w:rPr>
          <w:rFonts w:hint="eastAsia"/>
        </w:rPr>
        <w:t>教师</w:t>
      </w:r>
      <w:r>
        <w:t>31人，中级教师67人，双师型教师34人；办</w:t>
      </w:r>
      <w:r>
        <w:rPr>
          <w:rFonts w:hint="eastAsia"/>
        </w:rPr>
        <w:t>学规模不断扩大：在册学生</w:t>
      </w:r>
      <w:r>
        <w:t>1421人。学校开设了</w:t>
      </w:r>
      <w:r>
        <w:rPr>
          <w:rFonts w:hint="eastAsia"/>
        </w:rPr>
        <w:t>适应社会经济和市场发展需求的电气运行与控制</w:t>
      </w:r>
      <w:r>
        <w:rPr>
          <w:rFonts w:hint="eastAsia"/>
          <w:lang w:eastAsia="zh-CN"/>
        </w:rPr>
        <w:t>、</w:t>
      </w:r>
      <w:r>
        <w:rPr>
          <w:rFonts w:hint="eastAsia"/>
        </w:rPr>
        <w:t>机电技术应用、数控技术应用、模具制造技术、计算机平面设计、计算机网络、会计电算化等七个专业和“</w:t>
      </w:r>
      <w:r>
        <w:t>3+证书</w:t>
      </w:r>
      <w:r>
        <w:rPr>
          <w:rFonts w:hint="eastAsia" w:ascii="宋体" w:hAnsi="宋体" w:cs="宋体"/>
        </w:rPr>
        <w:t>”</w:t>
      </w:r>
      <w:r>
        <w:t>高考班，是全国计算机信息高新</w:t>
      </w:r>
      <w:r>
        <w:rPr>
          <w:rFonts w:hint="eastAsia"/>
        </w:rPr>
        <w:t>技术考试考场和韶关市特种作业培训考核单位。</w:t>
      </w:r>
    </w:p>
    <w:p w14:paraId="797753DA">
      <w:pPr>
        <w:rPr>
          <w:rFonts w:hint="eastAsia"/>
        </w:rPr>
      </w:pPr>
      <w:r>
        <w:rPr>
          <w:rFonts w:hint="eastAsia"/>
        </w:rPr>
        <w:t>多年来，该校坚持以以人为本，规范管理为管理原则，以“高考有希望，就业有保障”为办学目标，以“德以修身，技以立业”为校训，不断深化教育教学改革，注重内涵发展，形成“尚礼、精技、健体”的校风，“乐学多问、勤练技能、追求卓越”的学风。学校办学特色突出，成效显著：毕业生就业率达</w:t>
      </w:r>
      <w:r>
        <w:t>98%以上；</w:t>
      </w:r>
      <w:r>
        <w:rPr>
          <w:rFonts w:hint="eastAsia" w:ascii="宋体" w:hAnsi="宋体" w:cs="宋体"/>
        </w:rPr>
        <w:t>“</w:t>
      </w:r>
      <w:r>
        <w:t>3+证书</w:t>
      </w:r>
      <w:r>
        <w:rPr>
          <w:rFonts w:hint="eastAsia" w:ascii="宋体" w:hAnsi="宋体" w:cs="宋体"/>
        </w:rPr>
        <w:t>”</w:t>
      </w:r>
      <w:r>
        <w:t>高考入专A</w:t>
      </w:r>
      <w:r>
        <w:rPr>
          <w:rFonts w:hint="eastAsia"/>
        </w:rPr>
        <w:t>线达</w:t>
      </w:r>
      <w:r>
        <w:t>94%，位列韶关市同类学校首位；学生考证通</w:t>
      </w:r>
      <w:r>
        <w:rPr>
          <w:rFonts w:hint="eastAsia"/>
        </w:rPr>
        <w:t>过率达</w:t>
      </w:r>
      <w:r>
        <w:t>95%；学生参加韶关市中等职业学校技能竞</w:t>
      </w:r>
      <w:r>
        <w:rPr>
          <w:rFonts w:hint="eastAsia"/>
        </w:rPr>
        <w:t>赛，荣获计算机技术类团体二等奖、财经类三等奖和电子电工类三等奖。</w:t>
      </w:r>
    </w:p>
    <w:p w14:paraId="2A330A0E">
      <w:pPr>
        <w:rPr>
          <w:rFonts w:hint="eastAsia"/>
        </w:rPr>
      </w:pPr>
      <w:r>
        <w:rPr>
          <w:rFonts w:hint="eastAsia"/>
          <w:b/>
          <w:bCs/>
        </w:rPr>
        <w:t>队伍建设</w:t>
      </w:r>
      <w:r>
        <w:rPr>
          <w:rFonts w:hint="eastAsia"/>
          <w:b/>
          <w:bCs/>
          <w:lang w:val="en-US" w:eastAsia="zh-CN"/>
        </w:rPr>
        <w:t xml:space="preserve"> </w:t>
      </w:r>
      <w:r>
        <w:rPr>
          <w:rFonts w:hint="eastAsia"/>
          <w:lang w:val="en-US" w:eastAsia="zh-CN"/>
        </w:rPr>
        <w:t xml:space="preserve"> </w:t>
      </w:r>
      <w:r>
        <w:rPr>
          <w:rFonts w:hint="eastAsia"/>
        </w:rPr>
        <w:t>一是加强教师师德师风建设。组</w:t>
      </w:r>
      <w:r>
        <w:rPr>
          <w:rFonts w:hint="eastAsia"/>
          <w:lang w:val="en-US" w:eastAsia="zh-CN"/>
        </w:rPr>
        <w:t>织</w:t>
      </w:r>
      <w:r>
        <w:rPr>
          <w:rFonts w:hint="eastAsia"/>
        </w:rPr>
        <w:t>教师学习有关法律法规，观看优秀师德视频，通过做笔记、写心得，使教师行为规范内化为教师的自觉行动，提升教师的师德水平。二是提升教师的业务能力。积极开展以骨干教师为重点的学历和技能培训，鼓励教师提高学历层次和业务水平，组织全体教师分批到外县兄弟学校学习、参观。通过输出去、请进来的“两条腿走路”策略，切实提高教师的思想素质和业务水平，促进了教学质量的提高，真正达到了“高考有希望，就业有保障”的办学目标。</w:t>
      </w:r>
    </w:p>
    <w:p w14:paraId="163361C9">
      <w:pPr>
        <w:rPr>
          <w:rFonts w:hint="eastAsia"/>
        </w:rPr>
      </w:pPr>
      <w:r>
        <w:rPr>
          <w:rFonts w:hint="eastAsia"/>
          <w:b/>
          <w:bCs/>
        </w:rPr>
        <w:t>德育建设</w:t>
      </w:r>
      <w:r>
        <w:rPr>
          <w:rFonts w:hint="eastAsia"/>
          <w:b/>
          <w:bCs/>
          <w:lang w:val="en-US" w:eastAsia="zh-CN"/>
        </w:rPr>
        <w:t xml:space="preserve"> </w:t>
      </w:r>
      <w:r>
        <w:rPr>
          <w:rFonts w:hint="eastAsia"/>
          <w:lang w:val="en-US" w:eastAsia="zh-CN"/>
        </w:rPr>
        <w:t xml:space="preserve"> </w:t>
      </w:r>
      <w:r>
        <w:rPr>
          <w:rFonts w:hint="eastAsia"/>
        </w:rPr>
        <w:t>该校坚持“德育为首”的工作方针，以礼仪教育、养成教育、感恩教育为主线，通过学习、诵读《南雄中职学生养成歌》，通过写感恩故事、举办感恩故事演讲比赛，提升学生德育素质；进一步强化以人为本的思想，把品德行为教育、纪律教育、法制教育、文明礼仪教育作为学校德育的常规工作；同时加强班级管理、落实值日制度，特别落实了“副校长挂级、中层领导蹲班，科任教师跟班”的制度，不断提高德育工作实效。学生德育工作成为该校的一大特色，多年来，未出现学生严重违纪的现象。</w:t>
      </w:r>
    </w:p>
    <w:p w14:paraId="0F8C0E2F">
      <w:pPr>
        <w:rPr>
          <w:rFonts w:hint="eastAsia"/>
        </w:rPr>
      </w:pPr>
      <w:r>
        <w:rPr>
          <w:rFonts w:hint="eastAsia"/>
          <w:b/>
          <w:bCs/>
        </w:rPr>
        <w:t>设施设备建设</w:t>
      </w:r>
      <w:r>
        <w:rPr>
          <w:rFonts w:hint="eastAsia"/>
          <w:b/>
          <w:bCs/>
          <w:lang w:val="en-US" w:eastAsia="zh-CN"/>
        </w:rPr>
        <w:t xml:space="preserve"> </w:t>
      </w:r>
      <w:r>
        <w:rPr>
          <w:rFonts w:hint="eastAsia"/>
          <w:lang w:val="en-US" w:eastAsia="zh-CN"/>
        </w:rPr>
        <w:t xml:space="preserve"> </w:t>
      </w:r>
      <w:r>
        <w:rPr>
          <w:rFonts w:hint="eastAsia"/>
        </w:rPr>
        <w:t>该校充分利用中央补助实训基地建设</w:t>
      </w:r>
      <w:r>
        <w:t>360万元资金，配齐、配强科学信息设备，</w:t>
      </w:r>
      <w:r>
        <w:rPr>
          <w:rFonts w:hint="eastAsia"/>
        </w:rPr>
        <w:t>极大地便利师生学习、工作，使该校成为韶关市同类学校中科学信息设备最强的学校；针对学生宿舍热水供应不足问题，该校调整</w:t>
      </w:r>
      <w:r>
        <w:t>40多万元改造热水</w:t>
      </w:r>
      <w:r>
        <w:rPr>
          <w:rFonts w:hint="eastAsia"/>
        </w:rPr>
        <w:t>供应系统，解决了学生宿舍热水供应问题。</w:t>
      </w:r>
    </w:p>
    <w:p w14:paraId="64AE66AE">
      <w:pPr>
        <w:jc w:val="right"/>
        <w:rPr>
          <w:rFonts w:hint="eastAsia"/>
        </w:rPr>
      </w:pPr>
      <w:r>
        <w:rPr>
          <w:rFonts w:hint="eastAsia"/>
          <w:b/>
          <w:bCs/>
        </w:rPr>
        <w:t>（肖承军）</w:t>
      </w:r>
    </w:p>
    <w:p w14:paraId="12CEB7D4">
      <w:pPr>
        <w:pStyle w:val="10"/>
        <w:bidi w:val="0"/>
        <w:rPr>
          <w:b/>
          <w:bCs/>
        </w:rPr>
      </w:pPr>
      <w:r>
        <w:rPr>
          <w:rFonts w:hint="eastAsia"/>
          <w:b/>
          <w:bCs/>
        </w:rPr>
        <w:t>附：</w:t>
      </w:r>
      <w:r>
        <w:rPr>
          <w:b/>
          <w:bCs/>
        </w:rPr>
        <w:t>2013年市中等职业学校领导班子成员名单</w:t>
      </w:r>
    </w:p>
    <w:p w14:paraId="4742C7B3">
      <w:pPr>
        <w:pStyle w:val="10"/>
        <w:bidi w:val="0"/>
        <w:rPr>
          <w:rFonts w:hint="eastAsia"/>
        </w:rPr>
      </w:pPr>
      <w:r>
        <w:rPr>
          <w:rFonts w:hint="eastAsia"/>
          <w:b/>
          <w:bCs/>
        </w:rPr>
        <w:t>校</w:t>
      </w:r>
      <w:r>
        <w:rPr>
          <w:rFonts w:hint="eastAsia"/>
          <w:b/>
          <w:bCs/>
          <w:lang w:val="en-US" w:eastAsia="zh-CN"/>
        </w:rPr>
        <w:t xml:space="preserve">  </w:t>
      </w:r>
      <w:r>
        <w:rPr>
          <w:rFonts w:hint="eastAsia"/>
          <w:b/>
          <w:bCs/>
        </w:rPr>
        <w:t>长：</w:t>
      </w:r>
      <w:r>
        <w:rPr>
          <w:rFonts w:hint="eastAsia"/>
        </w:rPr>
        <w:t>曾昭贵</w:t>
      </w:r>
    </w:p>
    <w:p w14:paraId="59D60C9B">
      <w:pPr>
        <w:pStyle w:val="10"/>
        <w:bidi w:val="0"/>
        <w:rPr>
          <w:rFonts w:hint="eastAsia"/>
        </w:rPr>
      </w:pPr>
      <w:r>
        <w:rPr>
          <w:rFonts w:hint="eastAsia"/>
          <w:b/>
          <w:bCs/>
        </w:rPr>
        <w:t>副校长：</w:t>
      </w:r>
      <w:r>
        <w:rPr>
          <w:rFonts w:hint="eastAsia"/>
        </w:rPr>
        <w:t>肖秀珠</w:t>
      </w:r>
      <w:r>
        <w:rPr>
          <w:rFonts w:hint="eastAsia"/>
          <w:lang w:val="en-US" w:eastAsia="zh-CN"/>
        </w:rPr>
        <w:t xml:space="preserve">   </w:t>
      </w:r>
      <w:r>
        <w:rPr>
          <w:rFonts w:hint="eastAsia"/>
        </w:rPr>
        <w:t>曾昭东</w:t>
      </w:r>
      <w:r>
        <w:rPr>
          <w:rFonts w:hint="eastAsia"/>
          <w:lang w:val="en-US" w:eastAsia="zh-CN"/>
        </w:rPr>
        <w:t xml:space="preserve">   </w:t>
      </w:r>
      <w:r>
        <w:rPr>
          <w:rFonts w:hint="eastAsia"/>
        </w:rPr>
        <w:t>邓光拥</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E74D0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761213B">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7440" cy="4589145"/>
                  <wp:effectExtent l="0" t="0" r="3810" b="1905"/>
                  <wp:docPr id="58" name="图片 58" descr="南雄年鉴2014-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南雄年鉴2014-058"/>
                          <pic:cNvPicPr>
                            <a:picLocks noChangeAspect="1"/>
                          </pic:cNvPicPr>
                        </pic:nvPicPr>
                        <pic:blipFill>
                          <a:blip r:embed="rId128"/>
                          <a:stretch>
                            <a:fillRect/>
                          </a:stretch>
                        </pic:blipFill>
                        <pic:spPr>
                          <a:xfrm>
                            <a:off x="0" y="0"/>
                            <a:ext cx="6187440" cy="4589145"/>
                          </a:xfrm>
                          <a:prstGeom prst="rect">
                            <a:avLst/>
                          </a:prstGeom>
                        </pic:spPr>
                      </pic:pic>
                    </a:graphicData>
                  </a:graphic>
                </wp:inline>
              </w:drawing>
            </w:r>
          </w:p>
        </w:tc>
      </w:tr>
      <w:tr w14:paraId="362A4C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8D0AC5F">
            <w:pPr>
              <w:rPr>
                <w:rFonts w:hint="eastAsia"/>
                <w:vertAlign w:val="baseline"/>
              </w:rPr>
            </w:pPr>
            <w:r>
              <w:rPr>
                <w:rFonts w:hint="eastAsia"/>
              </w:rPr>
              <w:t>表彰参加韶关市技能大赛获奖师生</w:t>
            </w:r>
          </w:p>
        </w:tc>
      </w:tr>
    </w:tbl>
    <w:p w14:paraId="4267B67F">
      <w:pPr>
        <w:pStyle w:val="4"/>
        <w:bidi w:val="0"/>
        <w:rPr>
          <w:rFonts w:hint="eastAsia"/>
        </w:rPr>
      </w:pPr>
      <w:r>
        <w:rPr>
          <w:rFonts w:hint="eastAsia"/>
        </w:rPr>
        <w:t>【新城王锦辉中学】</w:t>
      </w:r>
    </w:p>
    <w:p w14:paraId="2DBC17F5">
      <w:pPr>
        <w:rPr>
          <w:rFonts w:hint="eastAsia"/>
        </w:rPr>
      </w:pPr>
      <w:r>
        <w:rPr>
          <w:rFonts w:hint="eastAsia"/>
        </w:rPr>
        <w:t>学校创办于</w:t>
      </w:r>
      <w:r>
        <w:t>1989年，原名为</w:t>
      </w:r>
      <w:r>
        <w:rPr>
          <w:rFonts w:hint="eastAsia"/>
        </w:rPr>
        <w:t>“南雄县新城中学”，</w:t>
      </w:r>
      <w:r>
        <w:t>2002年12月4日经南雄市人</w:t>
      </w:r>
      <w:r>
        <w:rPr>
          <w:rFonts w:hint="eastAsia"/>
        </w:rPr>
        <w:t>大常委会批准，易名为“南雄市新城王锦辉中学”。意在颂扬香港金城营造集团公司董事长王锦辉先生对学校捐资助学的善举。</w:t>
      </w:r>
    </w:p>
    <w:p w14:paraId="16B5D021">
      <w:r>
        <w:rPr>
          <w:rFonts w:hint="eastAsia"/>
        </w:rPr>
        <w:t>学校是市直初级中学。地处新城教育路，占地面积</w:t>
      </w:r>
      <w:r>
        <w:t>4万平方米。校内绿树掩映，花团锦簇，环境</w:t>
      </w:r>
      <w:r>
        <w:rPr>
          <w:rFonts w:hint="eastAsia"/>
        </w:rPr>
        <w:t>优美。有教学楼</w:t>
      </w:r>
      <w:r>
        <w:t>3栋，科学馆1栋（内有达到省</w:t>
      </w:r>
      <w:r>
        <w:rPr>
          <w:rFonts w:hint="eastAsia"/>
          <w:lang w:val="en-US" w:eastAsia="zh-CN"/>
        </w:rPr>
        <w:t>一</w:t>
      </w:r>
      <w:r>
        <w:rPr>
          <w:rFonts w:hint="eastAsia"/>
        </w:rPr>
        <w:t>级学校标准的电脑室、理化生实验室、舞蹈室、多媒体平台等），办公综合大楼</w:t>
      </w:r>
      <w:r>
        <w:t>1栋，学生宿舍楼2</w:t>
      </w:r>
      <w:r>
        <w:rPr>
          <w:rFonts w:hint="eastAsia"/>
        </w:rPr>
        <w:t>栋，有一间可容纳</w:t>
      </w:r>
      <w:r>
        <w:t>1000多人用餐的韶关市A级饭</w:t>
      </w:r>
      <w:r>
        <w:rPr>
          <w:rFonts w:hint="eastAsia"/>
        </w:rPr>
        <w:t>堂，还有学生图书室、阅览室、生物园、地理园及</w:t>
      </w:r>
      <w:r>
        <w:t>5000多平方米的文化广场。</w:t>
      </w:r>
    </w:p>
    <w:p w14:paraId="71B01340">
      <w:pPr>
        <w:rPr>
          <w:rFonts w:hint="eastAsia"/>
          <w:lang w:eastAsia="zh-CN"/>
        </w:rPr>
      </w:pPr>
      <w:r>
        <w:rPr>
          <w:rFonts w:hint="eastAsia"/>
        </w:rPr>
        <w:t>学校现有学生</w:t>
      </w:r>
      <w:r>
        <w:t>2497人，46个教学班。教师职</w:t>
      </w:r>
      <w:r>
        <w:rPr>
          <w:rFonts w:hint="eastAsia"/>
        </w:rPr>
        <w:t>工</w:t>
      </w:r>
      <w:r>
        <w:t>190人，高级职称62人（其中，2013年新晋升</w:t>
      </w:r>
      <w:r>
        <w:rPr>
          <w:rFonts w:hint="eastAsia"/>
        </w:rPr>
        <w:t>的</w:t>
      </w:r>
      <w:r>
        <w:t>12人），中学一级教师105人，教师本科学历114人，学历达标率为100%</w:t>
      </w:r>
      <w:r>
        <w:rPr>
          <w:rFonts w:hint="eastAsia"/>
          <w:lang w:eastAsia="zh-CN"/>
        </w:rPr>
        <w:t>。</w:t>
      </w:r>
    </w:p>
    <w:p w14:paraId="45DA9E73">
      <w:pPr>
        <w:rPr>
          <w:rFonts w:hint="eastAsia"/>
        </w:rPr>
      </w:pPr>
      <w:r>
        <w:rPr>
          <w:rFonts w:hint="eastAsia"/>
        </w:rPr>
        <w:t>学校倡导人性化的管理，坚持“以人为本、尊重的教育”的办学理念，秉承“明之以理，行之以德”的校训，形成“诚信和谐，求实进取”的校风、“严谨博学，敬业爱生”的教风和“励志勤学，慎思笃行”的学风。学生管理上，建立了行政领导蹲班负责制，形成德育处一年级一班级三位一体的德育管理工作机制。学校全面实施素质教育，全面推行新课程改革，提倡“立足过程、促进发展”的评价标准，狠抓研究性学习和校本课程的开发，致力走“专家治校、名师治教”的学校发展之路。</w:t>
      </w:r>
    </w:p>
    <w:p w14:paraId="683AE89E">
      <w:pPr>
        <w:rPr>
          <w:rFonts w:hint="eastAsia"/>
        </w:rPr>
      </w:pPr>
      <w:r>
        <w:t>2013年是雄州街道创强年，新城王锦辉中学作</w:t>
      </w:r>
      <w:r>
        <w:rPr>
          <w:rFonts w:hint="eastAsia"/>
        </w:rPr>
        <w:t>为创强学校，在配合上级领导部门工作的同时，积极争取上级支持，努力改善办学条件，添置一大批仪器设备及体育器材，在室外安装</w:t>
      </w:r>
      <w:r>
        <w:t>10张乒乓球台</w:t>
      </w:r>
      <w:r>
        <w:rPr>
          <w:rFonts w:hint="eastAsia"/>
        </w:rPr>
        <w:t>供学生课余时间锻炼使用，在学校文化广场建起了塑胶跑道，在</w:t>
      </w:r>
      <w:r>
        <w:t>5间教室添置电子白板，新装备一间</w:t>
      </w:r>
      <w:r>
        <w:rPr>
          <w:rFonts w:hint="eastAsia"/>
        </w:rPr>
        <w:t>电脑室。另外，每个教师办公室安装饮用净水器，添置一套学生饮水系统、修缮学生床架和课桌椅等。</w:t>
      </w:r>
    </w:p>
    <w:p w14:paraId="5B2EF6F7">
      <w:pPr>
        <w:rPr>
          <w:rFonts w:hint="eastAsia"/>
        </w:rPr>
      </w:pPr>
      <w:r>
        <w:t>2013年，通过走出去学习、请进来交流、坐下</w:t>
      </w:r>
      <w:r>
        <w:rPr>
          <w:rFonts w:hint="eastAsia"/>
        </w:rPr>
        <w:t>来研究的形式，派出骨干力量到香港、北江实验中学、坪田中学、帽子峰学校学习交流。通过教学交流活动，开阔教师视野，促进学校教学管理和教师教学观念的转变，提升教师专业水平和能力，推动学校教学质量的提高。</w:t>
      </w:r>
    </w:p>
    <w:p w14:paraId="32FD4501">
      <w:pPr>
        <w:rPr>
          <w:rFonts w:hint="eastAsia"/>
        </w:rPr>
      </w:pPr>
      <w:r>
        <w:rPr>
          <w:rFonts w:hint="eastAsia"/>
        </w:rPr>
        <w:t>经过全体师生的努力，取得显著的成绩，</w:t>
      </w:r>
      <w:r>
        <w:t>2013</w:t>
      </w:r>
      <w:r>
        <w:rPr>
          <w:rFonts w:hint="eastAsia"/>
        </w:rPr>
        <w:t>年中考以</w:t>
      </w:r>
      <w:r>
        <w:t>700分以上23人、650分以上77人、600</w:t>
      </w:r>
      <w:r>
        <w:rPr>
          <w:rFonts w:hint="eastAsia"/>
        </w:rPr>
        <w:t>分以上</w:t>
      </w:r>
      <w:r>
        <w:t>162人、550分以上271人、总分全市前20</w:t>
      </w:r>
      <w:r>
        <w:rPr>
          <w:rFonts w:hint="eastAsia"/>
        </w:rPr>
        <w:t>名</w:t>
      </w:r>
      <w:r>
        <w:t>1人、前100名9人的绝对优势雄踞全市同级同</w:t>
      </w:r>
      <w:r>
        <w:rPr>
          <w:rFonts w:hint="eastAsia"/>
        </w:rPr>
        <w:t>类学校前列。化学学科竞赛中郭威获韶关市二等奖，陈钰华、罗润获韶关市三等奖。</w:t>
      </w:r>
    </w:p>
    <w:p w14:paraId="1471AD97">
      <w:pPr>
        <w:pStyle w:val="10"/>
        <w:bidi w:val="0"/>
        <w:rPr>
          <w:b/>
          <w:bCs/>
        </w:rPr>
      </w:pPr>
      <w:r>
        <w:rPr>
          <w:rFonts w:hint="eastAsia"/>
          <w:b/>
          <w:bCs/>
        </w:rPr>
        <w:t>附：</w:t>
      </w:r>
      <w:r>
        <w:rPr>
          <w:b/>
          <w:bCs/>
        </w:rPr>
        <w:t>2013年新城王锦辉中学领导班子成员名单</w:t>
      </w:r>
    </w:p>
    <w:p w14:paraId="17AA8772">
      <w:pPr>
        <w:pStyle w:val="10"/>
        <w:bidi w:val="0"/>
        <w:rPr>
          <w:rFonts w:hint="eastAsia"/>
        </w:rPr>
      </w:pPr>
      <w:r>
        <w:rPr>
          <w:rFonts w:hint="eastAsia"/>
          <w:b/>
          <w:bCs/>
        </w:rPr>
        <w:t>校</w:t>
      </w:r>
      <w:r>
        <w:rPr>
          <w:rFonts w:hint="eastAsia"/>
          <w:b/>
          <w:bCs/>
          <w:lang w:val="en-US" w:eastAsia="zh-CN"/>
        </w:rPr>
        <w:t xml:space="preserve">  </w:t>
      </w:r>
      <w:r>
        <w:rPr>
          <w:rFonts w:hint="eastAsia"/>
          <w:b/>
          <w:bCs/>
        </w:rPr>
        <w:t>长：</w:t>
      </w:r>
      <w:r>
        <w:rPr>
          <w:rFonts w:hint="eastAsia"/>
        </w:rPr>
        <w:t>叶见荣</w:t>
      </w:r>
    </w:p>
    <w:p w14:paraId="5DC94EF3">
      <w:pPr>
        <w:pStyle w:val="10"/>
        <w:bidi w:val="0"/>
        <w:rPr>
          <w:rFonts w:hint="eastAsia"/>
        </w:rPr>
      </w:pPr>
      <w:r>
        <w:rPr>
          <w:rFonts w:hint="eastAsia"/>
          <w:b/>
          <w:bCs/>
        </w:rPr>
        <w:t>副校长：</w:t>
      </w:r>
      <w:r>
        <w:rPr>
          <w:rFonts w:hint="eastAsia"/>
        </w:rPr>
        <w:t>龚模洲</w:t>
      </w:r>
      <w:r>
        <w:rPr>
          <w:rFonts w:hint="eastAsia"/>
          <w:lang w:val="en-US" w:eastAsia="zh-CN"/>
        </w:rPr>
        <w:t xml:space="preserve">   </w:t>
      </w:r>
      <w:r>
        <w:rPr>
          <w:rFonts w:hint="eastAsia"/>
        </w:rPr>
        <w:t>蓝霞秀</w:t>
      </w:r>
      <w:r>
        <w:rPr>
          <w:rFonts w:hint="eastAsia"/>
          <w:lang w:val="en-US" w:eastAsia="zh-CN"/>
        </w:rPr>
        <w:t xml:space="preserve">   </w:t>
      </w:r>
      <w:r>
        <w:rPr>
          <w:rFonts w:hint="eastAsia"/>
        </w:rPr>
        <w:t>何漱兰</w:t>
      </w:r>
      <w:r>
        <w:rPr>
          <w:rFonts w:hint="eastAsia"/>
          <w:lang w:val="en-US" w:eastAsia="zh-CN"/>
        </w:rPr>
        <w:t xml:space="preserve">   </w:t>
      </w:r>
      <w:r>
        <w:rPr>
          <w:rFonts w:hint="eastAsia"/>
        </w:rPr>
        <w:t>张熙兰</w:t>
      </w:r>
    </w:p>
    <w:p w14:paraId="0AA32FED">
      <w:pPr>
        <w:pStyle w:val="4"/>
        <w:bidi w:val="0"/>
        <w:rPr>
          <w:rFonts w:hint="eastAsia"/>
        </w:rPr>
      </w:pPr>
      <w:r>
        <w:rPr>
          <w:rFonts w:hint="eastAsia"/>
        </w:rPr>
        <w:t>【南雄市第二中学】</w:t>
      </w:r>
    </w:p>
    <w:p w14:paraId="21363ADD">
      <w:pPr>
        <w:rPr>
          <w:rFonts w:hint="eastAsia"/>
        </w:rPr>
      </w:pPr>
      <w:r>
        <w:rPr>
          <w:rFonts w:hint="eastAsia"/>
        </w:rPr>
        <w:t>南雄市委、市政府为重新整合城区教育资源，优化学校布局，缓解周边初中学位紧张的矛盾，满足市民对优质教育的需求，将原黎口中学与雄州中学合并，</w:t>
      </w:r>
      <w:r>
        <w:t>2013年8月更名为“南</w:t>
      </w:r>
      <w:r>
        <w:rPr>
          <w:rFonts w:hint="eastAsia"/>
        </w:rPr>
        <w:t>雄市第二中学”。南雄二中以“立德树人，和谐发展”为办学理念；以“现代化、示范性、高质量有特色”为办学目标；以“创建适合学生的教育，提供师生满意的服务，营造教师价值的环境，打造</w:t>
      </w:r>
      <w:r>
        <w:rPr>
          <w:rFonts w:hint="eastAsia"/>
          <w:lang w:val="en-US" w:eastAsia="zh-CN"/>
        </w:rPr>
        <w:t>一</w:t>
      </w:r>
      <w:r>
        <w:rPr>
          <w:rFonts w:hint="eastAsia"/>
        </w:rPr>
        <w:t>流的教学质量”为办学思路；秉承“崇德、尚学、致远”校训。</w:t>
      </w:r>
    </w:p>
    <w:p w14:paraId="255249C7">
      <w:r>
        <w:rPr>
          <w:rFonts w:hint="eastAsia"/>
          <w:b/>
          <w:bCs/>
        </w:rPr>
        <w:t>底蕴深厚，办学经验更丰富。</w:t>
      </w:r>
      <w:r>
        <w:rPr>
          <w:rFonts w:hint="eastAsia"/>
        </w:rPr>
        <w:t>雄州中学是南雄市最早的城区初级中学之一，有着深厚的文化底蕴和丰富的城区办学经验，为城区培养大量优秀人才。近年来雄州中学更取得骄人的业绩，每年中考成绩均名列前茅，五夺南雄市中考状元，学生在各种竞技比赛中屡创佳绩，赢得了社会各界的赞誉。而黎口中学于</w:t>
      </w:r>
      <w:r>
        <w:t>1991年搬迁到现址，曾有过十四年</w:t>
      </w:r>
      <w:r>
        <w:rPr>
          <w:rFonts w:hint="eastAsia"/>
        </w:rPr>
        <w:t>中考连冠的辉煌成绩，是南雄市初级中学的一面旗帜，也为南雄培养大量优秀人才。现两校“强强联合”，优化教育资源配置，实现优势互补，使学校实现跨越式发展，把二中打造成南雄市优质初中。南雄市第二中学是南雄市最早之一的韶关市一级学校、广东省义务教育规范化学校、广东省安全教育基地学校、广东省群体</w:t>
      </w:r>
      <w:r>
        <w:rPr>
          <w:rFonts w:hint="eastAsia"/>
          <w:lang w:val="en-US" w:eastAsia="zh-CN"/>
        </w:rPr>
        <w:t>工</w:t>
      </w:r>
      <w:r>
        <w:rPr>
          <w:rFonts w:hint="eastAsia"/>
        </w:rPr>
        <w:t>作先进单位、韶关市教学质量优秀单位、韶关市教改先进单位、韶关市毒品预防教育示范学校，是长期被评为教学先进的示范单位。</w:t>
      </w:r>
      <w:r>
        <w:t>2013年被评韶关市高考优质生源学校。</w:t>
      </w:r>
    </w:p>
    <w:p w14:paraId="62C22830">
      <w:pPr>
        <w:rPr>
          <w:rFonts w:hint="eastAsia"/>
        </w:rPr>
      </w:pPr>
      <w:r>
        <w:rPr>
          <w:rFonts w:hint="eastAsia"/>
          <w:b/>
          <w:bCs/>
        </w:rPr>
        <w:t>规模扩大，办学条件更优越。</w:t>
      </w:r>
      <w:r>
        <w:rPr>
          <w:rFonts w:hint="eastAsia"/>
        </w:rPr>
        <w:t>南雄二中优雅的教育环境、先进的教学设施和一流的生活条件，将为莘莘学子提供更优质的教育。新校区占地</w:t>
      </w:r>
      <w:r>
        <w:t>43200</w:t>
      </w:r>
      <w:r>
        <w:rPr>
          <w:rFonts w:hint="eastAsia"/>
        </w:rPr>
        <w:t>平方米，总建筑面积</w:t>
      </w:r>
      <w:r>
        <w:t>15000平方米，总投资达2950</w:t>
      </w:r>
      <w:r>
        <w:rPr>
          <w:rFonts w:hint="eastAsia"/>
        </w:rPr>
        <w:t>万元，可容纳</w:t>
      </w:r>
      <w:r>
        <w:t>56个教学班、3000名学生就读。现</w:t>
      </w:r>
      <w:r>
        <w:rPr>
          <w:rFonts w:hint="eastAsia"/>
        </w:rPr>
        <w:t>有教学楼三幢、实验楼一幢、综合楼一幢、学生餐厅一幢、学生公寓两幢、</w:t>
      </w:r>
      <w:r>
        <w:t>250米标准化塑胶运动场</w:t>
      </w:r>
      <w:r>
        <w:rPr>
          <w:rFonts w:hint="eastAsia"/>
        </w:rPr>
        <w:t>一个，还有各项附属工程等配套设施。学校将逐步每班配齐电子白板，理、化、生实验室实现高标准配备，音乐、美术学科实现多媒体教学，图书、阅览室等各功能室一应俱全，实现教育信息化带动教育现代化。以“文化立校，美丽校园”为校园文化建设目标，从精神文化、环境文化、管理文化、课程文化、行为文化等</w:t>
      </w:r>
      <w:r>
        <w:t>5个方面全面、协调发展，为</w:t>
      </w:r>
      <w:r>
        <w:rPr>
          <w:rFonts w:hint="eastAsia"/>
        </w:rPr>
        <w:t>学校树立起完整的文化形象，实现内涵与外在美的和谐统一，彰显学校办学特色。</w:t>
      </w:r>
    </w:p>
    <w:p w14:paraId="3FDEBDF3">
      <w:pPr>
        <w:rPr>
          <w:rFonts w:hint="eastAsia"/>
        </w:rPr>
      </w:pPr>
      <w:r>
        <w:rPr>
          <w:rFonts w:hint="eastAsia"/>
          <w:b/>
          <w:bCs/>
        </w:rPr>
        <w:t>强强联合，师资力量更雄厚。</w:t>
      </w:r>
      <w:r>
        <w:rPr>
          <w:rFonts w:hint="eastAsia"/>
        </w:rPr>
        <w:t>现有教职工</w:t>
      </w:r>
      <w:r>
        <w:t>243</w:t>
      </w:r>
      <w:r>
        <w:rPr>
          <w:rFonts w:hint="eastAsia"/>
        </w:rPr>
        <w:t>人，其中高级职称</w:t>
      </w:r>
      <w:r>
        <w:t>41人，其余教师全部取得中级</w:t>
      </w:r>
      <w:r>
        <w:rPr>
          <w:rFonts w:hint="eastAsia"/>
        </w:rPr>
        <w:t>职称，学历达标率</w:t>
      </w:r>
      <w:r>
        <w:t>100%；省级骨干教师2人，市</w:t>
      </w:r>
      <w:r>
        <w:rPr>
          <w:rFonts w:hint="eastAsia"/>
        </w:rPr>
        <w:t>级骨干教师</w:t>
      </w:r>
      <w:r>
        <w:t>20人，市级名师5人。还有一大批市</w:t>
      </w:r>
      <w:r>
        <w:rPr>
          <w:rFonts w:hint="eastAsia"/>
        </w:rPr>
        <w:t>级教学能手、学科带头人和名班主任。南雄市第二中学将建设一支以名师为龙头、骨干为主力、青年教师为梯队的业务精良的师资队伍。</w:t>
      </w:r>
    </w:p>
    <w:p w14:paraId="3F503B61">
      <w:pPr>
        <w:rPr>
          <w:rFonts w:hint="eastAsia"/>
        </w:rPr>
      </w:pPr>
      <w:r>
        <w:rPr>
          <w:rFonts w:hint="eastAsia"/>
          <w:b/>
          <w:bCs/>
        </w:rPr>
        <w:t>精心规划，办学方向更明确。</w:t>
      </w:r>
      <w:r>
        <w:rPr>
          <w:rFonts w:hint="eastAsia"/>
        </w:rPr>
        <w:t>南雄市第二中学将遵循“扬两校之长，取两校之优”原则，携手发挥各自资源和品牌优势，秉承已有的成功办学模式与管理经验，以创建“一流的初级中学”为契机，以活动为载体的德育新亮点，以有效课堂实施为增长点，以和谐促发展，以质量铸品牌的办学思路，形成依法治校、规范办学的大好局面。不断推进教育改革和制度创新，着力将二中建设成为“现代化、示范性、高质量、有特色”的一流初级中学。</w:t>
      </w:r>
    </w:p>
    <w:p w14:paraId="624726CC">
      <w:pPr>
        <w:jc w:val="right"/>
        <w:rPr>
          <w:rFonts w:hint="eastAsia"/>
          <w:b/>
          <w:bCs/>
        </w:rPr>
      </w:pPr>
      <w:r>
        <w:rPr>
          <w:rFonts w:hint="eastAsia"/>
          <w:b/>
          <w:bCs/>
        </w:rPr>
        <w:t>（市二中）</w:t>
      </w:r>
    </w:p>
    <w:p w14:paraId="50552259">
      <w:pPr>
        <w:pStyle w:val="10"/>
        <w:bidi w:val="0"/>
        <w:rPr>
          <w:b/>
          <w:bCs/>
        </w:rPr>
      </w:pPr>
      <w:r>
        <w:rPr>
          <w:rFonts w:hint="eastAsia"/>
          <w:b/>
          <w:bCs/>
        </w:rPr>
        <w:t>附：</w:t>
      </w:r>
      <w:r>
        <w:rPr>
          <w:b/>
          <w:bCs/>
        </w:rPr>
        <w:t>2013年市二中领导班子成员名单</w:t>
      </w:r>
    </w:p>
    <w:p w14:paraId="492390F8">
      <w:pPr>
        <w:pStyle w:val="10"/>
        <w:bidi w:val="0"/>
        <w:rPr>
          <w:rFonts w:hint="eastAsia"/>
        </w:rPr>
      </w:pPr>
      <w:r>
        <w:rPr>
          <w:rFonts w:hint="eastAsia"/>
          <w:b/>
          <w:bCs/>
        </w:rPr>
        <w:t>校</w:t>
      </w:r>
      <w:r>
        <w:rPr>
          <w:rFonts w:hint="eastAsia"/>
          <w:b/>
          <w:bCs/>
          <w:lang w:val="en-US" w:eastAsia="zh-CN"/>
        </w:rPr>
        <w:t xml:space="preserve">  </w:t>
      </w:r>
      <w:r>
        <w:rPr>
          <w:rFonts w:hint="eastAsia"/>
          <w:b/>
          <w:bCs/>
        </w:rPr>
        <w:t>长：</w:t>
      </w:r>
      <w:r>
        <w:rPr>
          <w:rFonts w:hint="eastAsia"/>
        </w:rPr>
        <w:t>邓应福</w:t>
      </w:r>
    </w:p>
    <w:p w14:paraId="6CAF4307">
      <w:pPr>
        <w:pStyle w:val="10"/>
        <w:bidi w:val="0"/>
        <w:rPr>
          <w:rFonts w:hint="eastAsia"/>
        </w:rPr>
      </w:pPr>
      <w:r>
        <w:rPr>
          <w:rFonts w:hint="eastAsia"/>
          <w:b/>
          <w:bCs/>
        </w:rPr>
        <w:t>副校长：</w:t>
      </w:r>
      <w:r>
        <w:rPr>
          <w:rFonts w:hint="eastAsia"/>
        </w:rPr>
        <w:t>刘发荣</w:t>
      </w:r>
      <w:r>
        <w:rPr>
          <w:rFonts w:hint="eastAsia"/>
          <w:lang w:val="en-US" w:eastAsia="zh-CN"/>
        </w:rPr>
        <w:t xml:space="preserve">   </w:t>
      </w:r>
      <w:r>
        <w:rPr>
          <w:rFonts w:hint="eastAsia"/>
        </w:rPr>
        <w:t>陈</w:t>
      </w:r>
      <w:r>
        <w:rPr>
          <w:rFonts w:hint="eastAsia"/>
          <w:lang w:val="en-US" w:eastAsia="zh-CN"/>
        </w:rPr>
        <w:t xml:space="preserve">  </w:t>
      </w:r>
      <w:r>
        <w:rPr>
          <w:rFonts w:hint="eastAsia"/>
        </w:rPr>
        <w:t>斌</w:t>
      </w:r>
      <w:r>
        <w:rPr>
          <w:rFonts w:hint="eastAsia"/>
          <w:lang w:val="en-US" w:eastAsia="zh-CN"/>
        </w:rPr>
        <w:t xml:space="preserve">   </w:t>
      </w:r>
      <w:r>
        <w:rPr>
          <w:rFonts w:hint="eastAsia"/>
        </w:rPr>
        <w:t>丁德英</w:t>
      </w:r>
      <w:r>
        <w:rPr>
          <w:rFonts w:hint="eastAsia"/>
          <w:lang w:val="en-US" w:eastAsia="zh-CN"/>
        </w:rPr>
        <w:t xml:space="preserve">   </w:t>
      </w:r>
      <w:r>
        <w:rPr>
          <w:rFonts w:hint="eastAsia"/>
        </w:rPr>
        <w:t>何世超</w:t>
      </w:r>
    </w:p>
    <w:p w14:paraId="65E0F167">
      <w:pPr>
        <w:pStyle w:val="4"/>
        <w:bidi w:val="0"/>
        <w:rPr>
          <w:rFonts w:hint="eastAsia"/>
        </w:rPr>
      </w:pPr>
      <w:r>
        <w:rPr>
          <w:rFonts w:hint="eastAsia"/>
          <w:lang w:eastAsia="zh-CN"/>
        </w:rPr>
        <w:t>【</w:t>
      </w:r>
      <w:r>
        <w:rPr>
          <w:rFonts w:hint="eastAsia"/>
          <w:lang w:val="en-US" w:eastAsia="zh-CN"/>
        </w:rPr>
        <w:t>乌</w:t>
      </w:r>
      <w:r>
        <w:rPr>
          <w:rFonts w:hint="eastAsia"/>
        </w:rPr>
        <w:t>迳中学】</w:t>
      </w:r>
    </w:p>
    <w:p w14:paraId="1E60FEF0">
      <w:pPr>
        <w:rPr>
          <w:rFonts w:hint="eastAsia"/>
          <w:lang w:eastAsia="zh-CN"/>
        </w:rPr>
      </w:pPr>
      <w:r>
        <w:rPr>
          <w:rFonts w:hint="eastAsia"/>
        </w:rPr>
        <w:t>创办于</w:t>
      </w:r>
      <w:r>
        <w:t>1958年，原址在乌迳圩老市</w:t>
      </w:r>
      <w:r>
        <w:rPr>
          <w:rFonts w:hint="eastAsia"/>
        </w:rPr>
        <w:t>场的南边（即现在的乌迳医院旧宿舍楼区），始称为乌迳公社乌迳小学初中部，</w:t>
      </w:r>
      <w:r>
        <w:t>1960年迁至雄信公路</w:t>
      </w:r>
      <w:r>
        <w:rPr>
          <w:rFonts w:hint="eastAsia"/>
        </w:rPr>
        <w:t>旁现今地址。</w:t>
      </w:r>
      <w:r>
        <w:t>1968年高中开始招生，成为当时南雄</w:t>
      </w:r>
      <w:r>
        <w:rPr>
          <w:rFonts w:hint="eastAsia"/>
        </w:rPr>
        <w:t>市上片地区规模较大的农村完全中学。“文化大革命”期间曾一度易名为“燎原中学”。</w:t>
      </w:r>
      <w:r>
        <w:t>1987年高中</w:t>
      </w:r>
      <w:r>
        <w:rPr>
          <w:rFonts w:hint="eastAsia"/>
        </w:rPr>
        <w:t>改制为农村职业高中，</w:t>
      </w:r>
      <w:r>
        <w:t>1990年升格为科级单位，1998年停设高中部，成为农村一所初级中学，1999</w:t>
      </w:r>
      <w:r>
        <w:rPr>
          <w:rFonts w:hint="eastAsia"/>
        </w:rPr>
        <w:t>年被评定为“南雄市一级学校”，教工会被晋升为</w:t>
      </w:r>
      <w:r>
        <w:rPr>
          <w:rFonts w:hint="eastAsia"/>
          <w:lang w:eastAsia="zh-CN"/>
        </w:rPr>
        <w:t>“</w:t>
      </w:r>
      <w:r>
        <w:rPr>
          <w:rFonts w:hint="eastAsia"/>
        </w:rPr>
        <w:t>韶关市一级职代会”。进入二十一世纪，学校教育改革发展迅速</w:t>
      </w:r>
      <w:r>
        <w:rPr>
          <w:rFonts w:hint="eastAsia"/>
          <w:lang w:eastAsia="zh-CN"/>
        </w:rPr>
        <w:t>。</w:t>
      </w:r>
    </w:p>
    <w:p w14:paraId="4E7A5097">
      <w:pPr>
        <w:rPr>
          <w:rFonts w:hint="eastAsia"/>
        </w:rPr>
      </w:pPr>
      <w:r>
        <w:rPr>
          <w:rFonts w:hint="eastAsia"/>
        </w:rPr>
        <w:t>学校校园占地总面积近</w:t>
      </w:r>
      <w:r>
        <w:t>6万平方米，其中校舍</w:t>
      </w:r>
      <w:r>
        <w:rPr>
          <w:rFonts w:hint="eastAsia"/>
        </w:rPr>
        <w:t>面积达近</w:t>
      </w:r>
      <w:r>
        <w:t>2万平方米。2013年秋季入学共有教学班22个，在校学生1160人（其中七年级7个教学班</w:t>
      </w:r>
      <w:r>
        <w:rPr>
          <w:rFonts w:hint="eastAsia"/>
        </w:rPr>
        <w:t>共</w:t>
      </w:r>
      <w:r>
        <w:t>375人，八年级7个教学班共389人，九年级8</w:t>
      </w:r>
      <w:r>
        <w:rPr>
          <w:rFonts w:hint="eastAsia"/>
        </w:rPr>
        <w:t>个教学班共</w:t>
      </w:r>
      <w:r>
        <w:t>404人，在岗教职工111人。2013年毕</w:t>
      </w:r>
      <w:r>
        <w:rPr>
          <w:rFonts w:hint="eastAsia"/>
        </w:rPr>
        <w:t>业生情况：九年级毕业生共</w:t>
      </w:r>
      <w:r>
        <w:t>527人，其中242人被</w:t>
      </w:r>
      <w:r>
        <w:rPr>
          <w:rFonts w:hint="eastAsia"/>
        </w:rPr>
        <w:t>南雄中学、南雄一中入取，</w:t>
      </w:r>
      <w:r>
        <w:t>52人考入黄坑中学，36</w:t>
      </w:r>
      <w:r>
        <w:rPr>
          <w:rFonts w:hint="eastAsia"/>
        </w:rPr>
        <w:t>人入读南雄职中，其余选择其他技工学校入读。</w:t>
      </w:r>
    </w:p>
    <w:p w14:paraId="39D12511">
      <w:pPr>
        <w:rPr>
          <w:rFonts w:hint="eastAsia"/>
        </w:rPr>
      </w:pPr>
      <w:r>
        <w:rPr>
          <w:rFonts w:hint="eastAsia"/>
          <w:b/>
          <w:bCs/>
        </w:rPr>
        <w:t>设施建设</w:t>
      </w:r>
      <w:r>
        <w:rPr>
          <w:rFonts w:hint="eastAsia"/>
          <w:b/>
          <w:bCs/>
          <w:lang w:val="en-US" w:eastAsia="zh-CN"/>
        </w:rPr>
        <w:t xml:space="preserve">  </w:t>
      </w:r>
      <w:r>
        <w:rPr>
          <w:rFonts w:hint="eastAsia"/>
        </w:rPr>
        <w:t>学校拥有“八室一场”（生化、物理实验室，生化、物理仪器室，语音室，电脑室，图书室，阅览室，运动场），教学设施较为齐全。另外，还不断加大校园建设的资金投入，先后搬迁学校厨房，新建学校招待室，学生宿舍楼四栋，教师楼四栋、教学楼一栋，综合楼</w:t>
      </w:r>
      <w:r>
        <w:t>1栋，实现了师生</w:t>
      </w:r>
      <w:r>
        <w:rPr>
          <w:rFonts w:hint="eastAsia"/>
        </w:rPr>
        <w:t>工作、学习和生活楼房化；同时，又修建了花园小景和文化长廊，美化绿化校园，使校园绿树成荫，花红草绿，亭台轩榭，</w:t>
      </w:r>
      <w:r>
        <w:rPr>
          <w:rFonts w:hint="eastAsia"/>
          <w:lang w:val="en-US" w:eastAsia="zh-CN"/>
        </w:rPr>
        <w:t>假</w:t>
      </w:r>
      <w:r>
        <w:rPr>
          <w:rFonts w:hint="eastAsia"/>
        </w:rPr>
        <w:t>山池沼相辉映，风景秀丽怡人，并能做到教学、生活、运动三区分开，整个校园布局科学合理，为师生的工作、学习和生活创设优美环境，提供良好条件。</w:t>
      </w:r>
    </w:p>
    <w:p w14:paraId="1CC6D8CF">
      <w:r>
        <w:rPr>
          <w:rFonts w:hint="eastAsia"/>
          <w:b/>
          <w:bCs/>
        </w:rPr>
        <w:t>师资队伍</w:t>
      </w:r>
      <w:r>
        <w:rPr>
          <w:rFonts w:hint="eastAsia"/>
          <w:b/>
          <w:bCs/>
          <w:lang w:val="en-US" w:eastAsia="zh-CN"/>
        </w:rPr>
        <w:t xml:space="preserve"> </w:t>
      </w:r>
      <w:r>
        <w:rPr>
          <w:rFonts w:hint="eastAsia"/>
          <w:lang w:val="en-US" w:eastAsia="zh-CN"/>
        </w:rPr>
        <w:t xml:space="preserve"> </w:t>
      </w:r>
      <w:r>
        <w:rPr>
          <w:rFonts w:hint="eastAsia"/>
        </w:rPr>
        <w:t>学校现有</w:t>
      </w:r>
      <w:r>
        <w:t>111名教师中，高级教师4人，一级教师71人。大学本科学历68人，专科</w:t>
      </w:r>
      <w:r>
        <w:rPr>
          <w:rFonts w:hint="eastAsia"/>
        </w:rPr>
        <w:t>学历</w:t>
      </w:r>
      <w:r>
        <w:t>35人，工人7人，达标率99.2%。先后参加</w:t>
      </w:r>
      <w:r>
        <w:rPr>
          <w:rFonts w:hint="eastAsia"/>
        </w:rPr>
        <w:t>过省市骨干教师培训及业务培训的有</w:t>
      </w:r>
      <w:r>
        <w:t>37人，先后</w:t>
      </w:r>
      <w:r>
        <w:rPr>
          <w:rFonts w:hint="eastAsia"/>
        </w:rPr>
        <w:t>评为全国省市级先进教师或优秀班主任共有</w:t>
      </w:r>
      <w:r>
        <w:t>27人。</w:t>
      </w:r>
      <w:r>
        <w:rPr>
          <w:rFonts w:hint="eastAsia"/>
        </w:rPr>
        <w:t>批教学骨干常年活跃在省市各学科的专业学术团体及其活动中。</w:t>
      </w:r>
      <w:r>
        <w:t>2013年师资变动情况：东莞市虎门</w:t>
      </w:r>
      <w:r>
        <w:rPr>
          <w:rFonts w:hint="eastAsia"/>
        </w:rPr>
        <w:t>三中廖学志老师支教</w:t>
      </w:r>
      <w:r>
        <w:t>1年期满回原单位，珠玑中学</w:t>
      </w:r>
      <w:r>
        <w:rPr>
          <w:rFonts w:hint="eastAsia"/>
        </w:rPr>
        <w:t>李华忠老师来学校支教</w:t>
      </w:r>
      <w:r>
        <w:t>1年，朱德彩老师考入南雄</w:t>
      </w:r>
      <w:r>
        <w:rPr>
          <w:rFonts w:hint="eastAsia"/>
        </w:rPr>
        <w:t>一中任教，赖华岗、严超林</w:t>
      </w:r>
      <w:r>
        <w:t>2位老师于12月退休。</w:t>
      </w:r>
    </w:p>
    <w:p w14:paraId="15639696">
      <w:pPr>
        <w:rPr>
          <w:rFonts w:hint="eastAsia"/>
        </w:rPr>
      </w:pPr>
      <w:r>
        <w:rPr>
          <w:rFonts w:hint="eastAsia"/>
          <w:b/>
          <w:bCs/>
        </w:rPr>
        <w:t>课程设置</w:t>
      </w:r>
      <w:r>
        <w:rPr>
          <w:rFonts w:hint="eastAsia"/>
          <w:b/>
          <w:bCs/>
          <w:lang w:val="en-US" w:eastAsia="zh-CN"/>
        </w:rPr>
        <w:t xml:space="preserve"> </w:t>
      </w:r>
      <w:r>
        <w:rPr>
          <w:rFonts w:hint="eastAsia"/>
          <w:lang w:val="en-US" w:eastAsia="zh-CN"/>
        </w:rPr>
        <w:t xml:space="preserve"> </w:t>
      </w:r>
      <w:r>
        <w:rPr>
          <w:rFonts w:hint="eastAsia"/>
        </w:rPr>
        <w:t>乌迳中学课程设置采用广东省九年义务教育初中教材，包括思想品德、语文、数学、英语、历史、地理、生物、美术、音乐、体育与健康、物理、化学、信息技术等课程。</w:t>
      </w:r>
    </w:p>
    <w:p w14:paraId="0C373522">
      <w:pPr>
        <w:ind w:firstLine="420"/>
      </w:pPr>
      <w:r>
        <w:rPr>
          <w:rFonts w:hint="eastAsia"/>
        </w:rPr>
        <w:t>附：乌迳中学课程设置一览表：</w:t>
      </w:r>
    </w:p>
    <w:p w14:paraId="0DCF89A6">
      <w:pPr>
        <w:bidi w:val="0"/>
        <w:ind w:left="0" w:leftChars="0" w:firstLine="0" w:firstLineChars="0"/>
        <w:jc w:val="center"/>
        <w:rPr>
          <w:rFonts w:hint="eastAsia"/>
          <w:b/>
          <w:bCs/>
        </w:rPr>
      </w:pPr>
      <w:r>
        <w:rPr>
          <w:rFonts w:hint="eastAsia"/>
          <w:b/>
          <w:bCs/>
        </w:rPr>
        <w:t>乌迳中学课程设置一览表</w:t>
      </w:r>
    </w:p>
    <w:p w14:paraId="02AFAAC2">
      <w:pPr>
        <w:bidi w:val="0"/>
        <w:rPr>
          <w:rFonts w:hint="eastAsia"/>
        </w:rPr>
      </w:pPr>
      <w:r>
        <w:rPr>
          <w:rFonts w:hint="eastAsia"/>
        </w:rPr>
        <w:t>表32</w:t>
      </w:r>
    </w:p>
    <w:tbl>
      <w:tblPr>
        <w:tblStyle w:val="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569"/>
        <w:gridCol w:w="2735"/>
        <w:gridCol w:w="2735"/>
        <w:gridCol w:w="2733"/>
      </w:tblGrid>
      <w:tr w14:paraId="6D0FF2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5" w:hRule="atLeast"/>
          <w:jc w:val="center"/>
        </w:trPr>
        <w:tc>
          <w:tcPr>
            <w:tcW w:w="803" w:type="pct"/>
            <w:tcBorders>
              <w:top w:val="single" w:color="000000" w:sz="8" w:space="0"/>
              <w:left w:val="nil"/>
              <w:bottom w:val="single" w:color="000000" w:sz="8" w:space="0"/>
              <w:right w:val="single" w:color="000000" w:sz="8" w:space="0"/>
            </w:tcBorders>
            <w:shd w:val="clear" w:color="auto" w:fill="FFFFFF"/>
            <w:noWrap w:val="0"/>
            <w:tcMar>
              <w:top w:w="15" w:type="dxa"/>
              <w:left w:w="15" w:type="dxa"/>
              <w:bottom w:w="0" w:type="dxa"/>
              <w:right w:w="15" w:type="dxa"/>
            </w:tcMar>
            <w:vAlign w:val="center"/>
          </w:tcPr>
          <w:p w14:paraId="2CEF523A">
            <w:pPr>
              <w:pStyle w:val="10"/>
              <w:bidi w:val="0"/>
              <w:jc w:val="center"/>
              <w:rPr>
                <w:rFonts w:hint="eastAsia"/>
                <w:b/>
                <w:bCs/>
                <w:color w:val="000000"/>
              </w:rPr>
            </w:pPr>
            <w:r>
              <w:rPr>
                <w:rFonts w:hint="eastAsia"/>
                <w:b/>
                <w:bCs/>
                <w:color w:val="000000"/>
              </w:rPr>
              <w:t>课程</w:t>
            </w:r>
          </w:p>
        </w:tc>
        <w:tc>
          <w:tcPr>
            <w:tcW w:w="1399" w:type="pct"/>
            <w:tcBorders>
              <w:top w:val="single" w:color="000000" w:sz="8" w:space="0"/>
              <w:left w:val="single" w:color="000000" w:sz="8" w:space="0"/>
              <w:bottom w:val="single" w:color="000000" w:sz="8" w:space="0"/>
              <w:right w:val="single" w:color="000000" w:sz="8" w:space="0"/>
            </w:tcBorders>
            <w:shd w:val="clear" w:color="auto" w:fill="FFFFFF"/>
            <w:noWrap w:val="0"/>
            <w:tcMar>
              <w:top w:w="15" w:type="dxa"/>
              <w:left w:w="15" w:type="dxa"/>
              <w:bottom w:w="0" w:type="dxa"/>
              <w:right w:w="15" w:type="dxa"/>
            </w:tcMar>
            <w:vAlign w:val="center"/>
          </w:tcPr>
          <w:p w14:paraId="5698C77F">
            <w:pPr>
              <w:pStyle w:val="10"/>
              <w:bidi w:val="0"/>
              <w:jc w:val="center"/>
              <w:rPr>
                <w:rFonts w:hint="eastAsia"/>
                <w:b/>
                <w:bCs/>
                <w:color w:val="000000"/>
              </w:rPr>
            </w:pPr>
            <w:r>
              <w:rPr>
                <w:rFonts w:hint="eastAsia"/>
                <w:b/>
                <w:bCs/>
                <w:color w:val="000000"/>
              </w:rPr>
              <w:t>七年级</w:t>
            </w:r>
          </w:p>
        </w:tc>
        <w:tc>
          <w:tcPr>
            <w:tcW w:w="1399" w:type="pct"/>
            <w:tcBorders>
              <w:top w:val="single" w:color="000000" w:sz="8" w:space="0"/>
              <w:left w:val="single" w:color="000000" w:sz="8" w:space="0"/>
              <w:bottom w:val="single" w:color="000000" w:sz="8" w:space="0"/>
              <w:right w:val="single" w:color="000000" w:sz="8" w:space="0"/>
            </w:tcBorders>
            <w:shd w:val="clear" w:color="auto" w:fill="FFFFFF"/>
            <w:noWrap w:val="0"/>
            <w:tcMar>
              <w:top w:w="15" w:type="dxa"/>
              <w:left w:w="15" w:type="dxa"/>
              <w:bottom w:w="0" w:type="dxa"/>
              <w:right w:w="15" w:type="dxa"/>
            </w:tcMar>
            <w:vAlign w:val="center"/>
          </w:tcPr>
          <w:p w14:paraId="3ED6E8FB">
            <w:pPr>
              <w:pStyle w:val="10"/>
              <w:bidi w:val="0"/>
              <w:jc w:val="center"/>
              <w:rPr>
                <w:rFonts w:hint="eastAsia"/>
                <w:b/>
                <w:bCs/>
                <w:color w:val="000000"/>
              </w:rPr>
            </w:pPr>
            <w:r>
              <w:rPr>
                <w:rFonts w:hint="eastAsia"/>
                <w:b/>
                <w:bCs/>
                <w:color w:val="000000"/>
              </w:rPr>
              <w:t>八年级</w:t>
            </w:r>
          </w:p>
        </w:tc>
        <w:tc>
          <w:tcPr>
            <w:tcW w:w="1398" w:type="pct"/>
            <w:tcBorders>
              <w:top w:val="single" w:color="000000" w:sz="8" w:space="0"/>
              <w:left w:val="single" w:color="000000" w:sz="8" w:space="0"/>
              <w:bottom w:val="single" w:color="000000" w:sz="8" w:space="0"/>
              <w:right w:val="nil"/>
            </w:tcBorders>
            <w:shd w:val="clear" w:color="auto" w:fill="FFFFFF"/>
            <w:noWrap w:val="0"/>
            <w:tcMar>
              <w:top w:w="15" w:type="dxa"/>
              <w:left w:w="15" w:type="dxa"/>
              <w:bottom w:w="0" w:type="dxa"/>
              <w:right w:w="15" w:type="dxa"/>
            </w:tcMar>
            <w:vAlign w:val="center"/>
          </w:tcPr>
          <w:p w14:paraId="1EF753EA">
            <w:pPr>
              <w:pStyle w:val="10"/>
              <w:bidi w:val="0"/>
              <w:jc w:val="center"/>
              <w:rPr>
                <w:rFonts w:hint="eastAsia"/>
                <w:b/>
                <w:bCs/>
                <w:color w:val="000000"/>
              </w:rPr>
            </w:pPr>
            <w:r>
              <w:rPr>
                <w:rFonts w:hint="eastAsia"/>
                <w:b/>
                <w:bCs/>
                <w:color w:val="000000"/>
              </w:rPr>
              <w:t>九年级</w:t>
            </w:r>
          </w:p>
        </w:tc>
      </w:tr>
      <w:tr w14:paraId="70802E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72" w:hRule="atLeast"/>
          <w:jc w:val="center"/>
        </w:trPr>
        <w:tc>
          <w:tcPr>
            <w:tcW w:w="803" w:type="pct"/>
            <w:tcBorders>
              <w:top w:val="single" w:color="000000" w:sz="8" w:space="0"/>
              <w:left w:val="nil"/>
              <w:bottom w:val="single" w:color="000000" w:sz="8" w:space="0"/>
              <w:right w:val="single" w:color="000000" w:sz="8" w:space="0"/>
            </w:tcBorders>
            <w:shd w:val="clear" w:color="auto" w:fill="FFFFFF"/>
            <w:noWrap w:val="0"/>
            <w:tcMar>
              <w:top w:w="15" w:type="dxa"/>
              <w:left w:w="15" w:type="dxa"/>
              <w:bottom w:w="0" w:type="dxa"/>
              <w:right w:w="15" w:type="dxa"/>
            </w:tcMar>
            <w:vAlign w:val="center"/>
          </w:tcPr>
          <w:p w14:paraId="410E4C39">
            <w:pPr>
              <w:pStyle w:val="10"/>
              <w:bidi w:val="0"/>
              <w:jc w:val="center"/>
              <w:rPr>
                <w:rFonts w:hint="eastAsia"/>
                <w:color w:val="000000"/>
              </w:rPr>
            </w:pPr>
            <w:r>
              <w:rPr>
                <w:rFonts w:hint="eastAsia"/>
                <w:color w:val="000000"/>
              </w:rPr>
              <w:t>必修科目</w:t>
            </w:r>
          </w:p>
        </w:tc>
        <w:tc>
          <w:tcPr>
            <w:tcW w:w="1399" w:type="pct"/>
            <w:tcBorders>
              <w:top w:val="single" w:color="000000" w:sz="8" w:space="0"/>
              <w:left w:val="single" w:color="000000" w:sz="8" w:space="0"/>
              <w:bottom w:val="single" w:color="000000" w:sz="8" w:space="0"/>
              <w:right w:val="single" w:color="000000" w:sz="8" w:space="0"/>
            </w:tcBorders>
            <w:shd w:val="clear" w:color="auto" w:fill="FFFFFF"/>
            <w:noWrap w:val="0"/>
            <w:tcMar>
              <w:top w:w="15" w:type="dxa"/>
              <w:left w:w="15" w:type="dxa"/>
              <w:bottom w:w="0" w:type="dxa"/>
              <w:right w:w="15" w:type="dxa"/>
            </w:tcMar>
            <w:vAlign w:val="center"/>
          </w:tcPr>
          <w:p w14:paraId="07D7F808">
            <w:pPr>
              <w:pStyle w:val="10"/>
              <w:bidi w:val="0"/>
              <w:jc w:val="both"/>
              <w:rPr>
                <w:rFonts w:hint="eastAsia"/>
                <w:color w:val="000000"/>
              </w:rPr>
            </w:pPr>
            <w:r>
              <w:rPr>
                <w:rFonts w:hint="eastAsia"/>
                <w:color w:val="000000"/>
              </w:rPr>
              <w:t>语文、数学、英语、历史、思想品德、地理、生物、体育与健康、美术、音乐、信息技术、廉洁修身。</w:t>
            </w:r>
          </w:p>
        </w:tc>
        <w:tc>
          <w:tcPr>
            <w:tcW w:w="1399" w:type="pct"/>
            <w:tcBorders>
              <w:top w:val="single" w:color="000000" w:sz="8" w:space="0"/>
              <w:left w:val="single" w:color="000000" w:sz="8" w:space="0"/>
              <w:bottom w:val="single" w:color="000000" w:sz="8" w:space="0"/>
              <w:right w:val="single" w:color="000000" w:sz="8" w:space="0"/>
            </w:tcBorders>
            <w:shd w:val="clear" w:color="auto" w:fill="FFFFFF"/>
            <w:noWrap w:val="0"/>
            <w:tcMar>
              <w:top w:w="15" w:type="dxa"/>
              <w:left w:w="15" w:type="dxa"/>
              <w:bottom w:w="0" w:type="dxa"/>
              <w:right w:w="15" w:type="dxa"/>
            </w:tcMar>
            <w:vAlign w:val="center"/>
          </w:tcPr>
          <w:p w14:paraId="3485203C">
            <w:pPr>
              <w:pStyle w:val="10"/>
              <w:bidi w:val="0"/>
              <w:jc w:val="both"/>
              <w:rPr>
                <w:rFonts w:hint="eastAsia"/>
                <w:color w:val="000000"/>
              </w:rPr>
            </w:pPr>
            <w:r>
              <w:rPr>
                <w:rFonts w:hint="eastAsia"/>
                <w:color w:val="000000"/>
              </w:rPr>
              <w:t>语文、数学、英语、历史、思想品德、地理、物理、生物、体育与健康、美术、音乐、信息技术。</w:t>
            </w:r>
          </w:p>
        </w:tc>
        <w:tc>
          <w:tcPr>
            <w:tcW w:w="1398" w:type="pct"/>
            <w:tcBorders>
              <w:top w:val="single" w:color="000000" w:sz="8" w:space="0"/>
              <w:left w:val="single" w:color="000000" w:sz="8" w:space="0"/>
              <w:bottom w:val="single" w:color="000000" w:sz="8" w:space="0"/>
              <w:right w:val="nil"/>
            </w:tcBorders>
            <w:shd w:val="clear" w:color="auto" w:fill="FFFFFF"/>
            <w:noWrap w:val="0"/>
            <w:tcMar>
              <w:top w:w="15" w:type="dxa"/>
              <w:left w:w="15" w:type="dxa"/>
              <w:bottom w:w="0" w:type="dxa"/>
              <w:right w:w="15" w:type="dxa"/>
            </w:tcMar>
            <w:vAlign w:val="center"/>
          </w:tcPr>
          <w:p w14:paraId="35ADD368">
            <w:pPr>
              <w:pStyle w:val="10"/>
              <w:bidi w:val="0"/>
              <w:jc w:val="both"/>
              <w:rPr>
                <w:rFonts w:hint="eastAsia"/>
                <w:color w:val="000000"/>
              </w:rPr>
            </w:pPr>
            <w:r>
              <w:rPr>
                <w:rFonts w:hint="eastAsia"/>
                <w:color w:val="000000"/>
              </w:rPr>
              <w:t>语文、数学、英语、历史、思想品德、物理、化学、体育与健康、美术、音乐、信息技术。</w:t>
            </w:r>
          </w:p>
        </w:tc>
      </w:tr>
      <w:tr w14:paraId="1629F8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72" w:hRule="atLeast"/>
          <w:jc w:val="center"/>
        </w:trPr>
        <w:tc>
          <w:tcPr>
            <w:tcW w:w="803" w:type="pct"/>
            <w:tcBorders>
              <w:top w:val="single" w:color="000000" w:sz="8" w:space="0"/>
              <w:left w:val="nil"/>
              <w:bottom w:val="single" w:color="000000" w:sz="8" w:space="0"/>
              <w:right w:val="single" w:color="000000" w:sz="8" w:space="0"/>
            </w:tcBorders>
            <w:shd w:val="clear" w:color="auto" w:fill="FFFFFF"/>
            <w:noWrap w:val="0"/>
            <w:tcMar>
              <w:top w:w="15" w:type="dxa"/>
              <w:left w:w="15" w:type="dxa"/>
              <w:bottom w:w="0" w:type="dxa"/>
              <w:right w:w="15" w:type="dxa"/>
            </w:tcMar>
            <w:vAlign w:val="center"/>
          </w:tcPr>
          <w:p w14:paraId="7BBBCC7A">
            <w:pPr>
              <w:pStyle w:val="10"/>
              <w:bidi w:val="0"/>
              <w:jc w:val="center"/>
              <w:rPr>
                <w:rFonts w:hint="eastAsia"/>
                <w:color w:val="000000"/>
              </w:rPr>
            </w:pPr>
            <w:r>
              <w:rPr>
                <w:rFonts w:hint="eastAsia"/>
                <w:color w:val="000000"/>
              </w:rPr>
              <w:t>选修/兴趣科目</w:t>
            </w:r>
          </w:p>
        </w:tc>
        <w:tc>
          <w:tcPr>
            <w:tcW w:w="1399" w:type="pct"/>
            <w:tcBorders>
              <w:top w:val="single" w:color="000000" w:sz="8" w:space="0"/>
              <w:left w:val="single" w:color="000000" w:sz="8" w:space="0"/>
              <w:bottom w:val="single" w:color="000000" w:sz="8" w:space="0"/>
              <w:right w:val="single" w:color="000000" w:sz="8" w:space="0"/>
            </w:tcBorders>
            <w:shd w:val="clear" w:color="auto" w:fill="FFFFFF"/>
            <w:noWrap w:val="0"/>
            <w:tcMar>
              <w:top w:w="15" w:type="dxa"/>
              <w:left w:w="15" w:type="dxa"/>
              <w:bottom w:w="0" w:type="dxa"/>
              <w:right w:w="15" w:type="dxa"/>
            </w:tcMar>
            <w:vAlign w:val="center"/>
          </w:tcPr>
          <w:p w14:paraId="0BAAC9B2">
            <w:pPr>
              <w:pStyle w:val="10"/>
              <w:bidi w:val="0"/>
              <w:jc w:val="both"/>
              <w:rPr>
                <w:rFonts w:hint="eastAsia"/>
                <w:color w:val="000000"/>
              </w:rPr>
            </w:pPr>
            <w:r>
              <w:rPr>
                <w:rFonts w:hint="eastAsia"/>
                <w:color w:val="000000"/>
              </w:rPr>
              <w:t>社团活动</w:t>
            </w:r>
          </w:p>
        </w:tc>
        <w:tc>
          <w:tcPr>
            <w:tcW w:w="1399" w:type="pct"/>
            <w:tcBorders>
              <w:top w:val="single" w:color="000000" w:sz="8" w:space="0"/>
              <w:left w:val="single" w:color="000000" w:sz="8" w:space="0"/>
              <w:bottom w:val="single" w:color="000000" w:sz="8" w:space="0"/>
              <w:right w:val="single" w:color="000000" w:sz="8" w:space="0"/>
            </w:tcBorders>
            <w:shd w:val="clear" w:color="auto" w:fill="FFFFFF"/>
            <w:noWrap w:val="0"/>
            <w:tcMar>
              <w:top w:w="15" w:type="dxa"/>
              <w:left w:w="15" w:type="dxa"/>
              <w:bottom w:w="0" w:type="dxa"/>
              <w:right w:w="15" w:type="dxa"/>
            </w:tcMar>
            <w:vAlign w:val="center"/>
          </w:tcPr>
          <w:p w14:paraId="59A50F95">
            <w:pPr>
              <w:pStyle w:val="10"/>
              <w:bidi w:val="0"/>
              <w:jc w:val="both"/>
              <w:rPr>
                <w:rFonts w:hint="eastAsia"/>
                <w:color w:val="000000"/>
              </w:rPr>
            </w:pPr>
            <w:r>
              <w:rPr>
                <w:rFonts w:hint="eastAsia"/>
                <w:color w:val="000000"/>
              </w:rPr>
              <w:t>社团活动</w:t>
            </w:r>
          </w:p>
        </w:tc>
        <w:tc>
          <w:tcPr>
            <w:tcW w:w="1398" w:type="pct"/>
            <w:tcBorders>
              <w:top w:val="single" w:color="000000" w:sz="8" w:space="0"/>
              <w:left w:val="single" w:color="000000" w:sz="8" w:space="0"/>
              <w:bottom w:val="single" w:color="000000" w:sz="8" w:space="0"/>
              <w:right w:val="nil"/>
            </w:tcBorders>
            <w:shd w:val="clear" w:color="auto" w:fill="FFFFFF"/>
            <w:noWrap w:val="0"/>
            <w:tcMar>
              <w:top w:w="15" w:type="dxa"/>
              <w:left w:w="15" w:type="dxa"/>
              <w:bottom w:w="0" w:type="dxa"/>
              <w:right w:w="15" w:type="dxa"/>
            </w:tcMar>
            <w:vAlign w:val="center"/>
          </w:tcPr>
          <w:p w14:paraId="6AF30924">
            <w:pPr>
              <w:pStyle w:val="10"/>
              <w:bidi w:val="0"/>
              <w:jc w:val="both"/>
              <w:rPr>
                <w:rFonts w:hint="eastAsia"/>
                <w:color w:val="000000"/>
              </w:rPr>
            </w:pPr>
            <w:r>
              <w:rPr>
                <w:rFonts w:hint="eastAsia"/>
                <w:color w:val="000000"/>
              </w:rPr>
              <w:t>社团活动</w:t>
            </w:r>
          </w:p>
        </w:tc>
      </w:tr>
      <w:tr w14:paraId="66500F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8" w:hRule="atLeast"/>
          <w:jc w:val="center"/>
        </w:trPr>
        <w:tc>
          <w:tcPr>
            <w:tcW w:w="803" w:type="pct"/>
            <w:tcBorders>
              <w:top w:val="single" w:color="000000" w:sz="8" w:space="0"/>
              <w:left w:val="nil"/>
              <w:bottom w:val="single" w:color="000000" w:sz="8" w:space="0"/>
              <w:right w:val="single" w:color="000000" w:sz="8" w:space="0"/>
            </w:tcBorders>
            <w:shd w:val="clear" w:color="auto" w:fill="FFFFFF"/>
            <w:noWrap w:val="0"/>
            <w:tcMar>
              <w:top w:w="15" w:type="dxa"/>
              <w:left w:w="15" w:type="dxa"/>
              <w:bottom w:w="0" w:type="dxa"/>
              <w:right w:w="15" w:type="dxa"/>
            </w:tcMar>
            <w:vAlign w:val="center"/>
          </w:tcPr>
          <w:p w14:paraId="7DBEF398">
            <w:pPr>
              <w:pStyle w:val="10"/>
              <w:bidi w:val="0"/>
              <w:jc w:val="center"/>
              <w:rPr>
                <w:rFonts w:hint="eastAsia"/>
                <w:color w:val="000000"/>
              </w:rPr>
            </w:pPr>
            <w:r>
              <w:rPr>
                <w:rFonts w:hint="eastAsia"/>
                <w:color w:val="000000"/>
              </w:rPr>
              <w:t>校本课程</w:t>
            </w:r>
          </w:p>
        </w:tc>
        <w:tc>
          <w:tcPr>
            <w:tcW w:w="4196" w:type="pct"/>
            <w:gridSpan w:val="3"/>
            <w:tcBorders>
              <w:top w:val="single" w:color="000000" w:sz="8" w:space="0"/>
              <w:left w:val="single" w:color="000000" w:sz="8" w:space="0"/>
              <w:bottom w:val="single" w:color="000000" w:sz="8" w:space="0"/>
              <w:right w:val="nil"/>
            </w:tcBorders>
            <w:shd w:val="clear" w:color="auto" w:fill="FFFFFF"/>
            <w:noWrap w:val="0"/>
            <w:tcMar>
              <w:top w:w="15" w:type="dxa"/>
              <w:left w:w="15" w:type="dxa"/>
              <w:bottom w:w="0" w:type="dxa"/>
              <w:right w:w="15" w:type="dxa"/>
            </w:tcMar>
            <w:vAlign w:val="center"/>
          </w:tcPr>
          <w:p w14:paraId="6A8132D2">
            <w:pPr>
              <w:pStyle w:val="10"/>
              <w:bidi w:val="0"/>
              <w:jc w:val="both"/>
              <w:rPr>
                <w:rFonts w:hint="eastAsia"/>
                <w:color w:val="000000"/>
              </w:rPr>
            </w:pPr>
            <w:r>
              <w:rPr>
                <w:rFonts w:hint="eastAsia"/>
                <w:color w:val="000000"/>
              </w:rPr>
              <w:t>品行</w:t>
            </w:r>
          </w:p>
        </w:tc>
      </w:tr>
      <w:tr w14:paraId="4942DB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04" w:hRule="atLeast"/>
          <w:jc w:val="center"/>
        </w:trPr>
        <w:tc>
          <w:tcPr>
            <w:tcW w:w="803" w:type="pct"/>
            <w:tcBorders>
              <w:top w:val="single" w:color="000000" w:sz="8" w:space="0"/>
              <w:left w:val="nil"/>
              <w:bottom w:val="single" w:color="000000" w:sz="8" w:space="0"/>
              <w:right w:val="single" w:color="000000" w:sz="8" w:space="0"/>
            </w:tcBorders>
            <w:shd w:val="clear" w:color="auto" w:fill="FFFFFF"/>
            <w:noWrap w:val="0"/>
            <w:vAlign w:val="center"/>
          </w:tcPr>
          <w:p w14:paraId="47D0C1EA">
            <w:pPr>
              <w:pStyle w:val="10"/>
              <w:bidi w:val="0"/>
              <w:jc w:val="center"/>
              <w:rPr>
                <w:rFonts w:hint="eastAsia"/>
                <w:color w:val="000000"/>
              </w:rPr>
            </w:pPr>
            <w:r>
              <w:rPr>
                <w:rFonts w:hint="eastAsia"/>
                <w:color w:val="000000"/>
              </w:rPr>
              <w:t>教学说明</w:t>
            </w:r>
          </w:p>
        </w:tc>
        <w:tc>
          <w:tcPr>
            <w:tcW w:w="4196" w:type="pct"/>
            <w:gridSpan w:val="3"/>
            <w:tcBorders>
              <w:top w:val="single" w:color="000000" w:sz="8" w:space="0"/>
              <w:left w:val="single" w:color="000000" w:sz="8" w:space="0"/>
              <w:bottom w:val="single" w:color="000000" w:sz="8" w:space="0"/>
              <w:right w:val="nil"/>
            </w:tcBorders>
            <w:shd w:val="clear" w:color="auto" w:fill="FFFFFF"/>
            <w:noWrap w:val="0"/>
            <w:tcMar>
              <w:top w:w="15" w:type="dxa"/>
              <w:left w:w="15" w:type="dxa"/>
              <w:bottom w:w="0" w:type="dxa"/>
              <w:right w:w="15" w:type="dxa"/>
            </w:tcMar>
            <w:vAlign w:val="center"/>
          </w:tcPr>
          <w:p w14:paraId="475DE95D">
            <w:pPr>
              <w:pStyle w:val="10"/>
              <w:bidi w:val="0"/>
              <w:jc w:val="both"/>
              <w:rPr>
                <w:rFonts w:hint="eastAsia"/>
                <w:color w:val="000000"/>
              </w:rPr>
            </w:pPr>
            <w:r>
              <w:rPr>
                <w:rFonts w:hint="eastAsia"/>
                <w:color w:val="000000"/>
              </w:rPr>
              <w:t>课程采用广东省教育厅规定的统一教材,教学与本市各中学基本同步,教师用普通话授课。</w:t>
            </w:r>
          </w:p>
        </w:tc>
      </w:tr>
    </w:tbl>
    <w:p w14:paraId="047C02C0">
      <w:pPr>
        <w:rPr>
          <w:rFonts w:hint="eastAsia"/>
        </w:rPr>
      </w:pPr>
      <w:r>
        <w:rPr>
          <w:rFonts w:hint="eastAsia"/>
          <w:b/>
          <w:bCs/>
        </w:rPr>
        <w:t>办学特色</w:t>
      </w:r>
      <w:r>
        <w:rPr>
          <w:rFonts w:hint="eastAsia"/>
          <w:b/>
          <w:bCs/>
          <w:lang w:val="en-US" w:eastAsia="zh-CN"/>
        </w:rPr>
        <w:t xml:space="preserve">  </w:t>
      </w:r>
      <w:r>
        <w:t>1.文化教育与素质教育并重。学校一直</w:t>
      </w:r>
      <w:r>
        <w:rPr>
          <w:rFonts w:hint="eastAsia"/>
        </w:rPr>
        <w:t>把文化教育和素质教育摆在重要的位置上。为了浓郁校园文化气氛，给学生一个展示和发展自我的舞台，成功创办了花迳文学社，并且在粤北文学社团中有了较大的影响。学校的篮球队、文娱队、广播</w:t>
      </w:r>
      <w:r>
        <w:rPr>
          <w:rFonts w:hint="eastAsia"/>
          <w:lang w:val="en-US" w:eastAsia="zh-CN"/>
        </w:rPr>
        <w:t>站</w:t>
      </w:r>
      <w:r>
        <w:rPr>
          <w:rFonts w:hint="eastAsia"/>
        </w:rPr>
        <w:t>等社团也如雨后春笋般成立并壮大。同时，研究性学习也蓬蓬勃勃地开展起来。</w:t>
      </w:r>
      <w:r>
        <w:t>2.弘扬中华传统文</w:t>
      </w:r>
      <w:r>
        <w:rPr>
          <w:rFonts w:hint="eastAsia"/>
        </w:rPr>
        <w:t>化，培育时代新人。多年来，学校已形成独特的以年级为阶梯的系列教育活动，寻找“传统、现代、现实”的最佳结合点。让学生从小感悟博大精深的中华传统文化的精髓，注重人文底蕴的积淀和熏陶，不断强化每位学生未来可持续发展的文化基因。传承粤北民间文化艺术、训练有素的乌迳中学板凳龙队，一度被广东省民间文艺家协会主席罗汉光称为“民间艺术奇葩”，并与其他地方的板凳龙队作了比较，原本以“舞龙求雨”形式而出现的板凳龙是以板凳出现的，而乌迳的板凳龙更具有艺术性，装饰和美术效果更好。叶教授曾肯定地称乌中板凳龙队，“底蕴深厚、魅力独具、极有特点”，并指出这是古村落历史文化遗产中的非物质文化遗</w:t>
      </w:r>
      <w:r>
        <w:rPr>
          <w:rFonts w:hint="eastAsia"/>
          <w:lang w:eastAsia="zh-CN"/>
        </w:rPr>
        <w:t>产。</w:t>
      </w:r>
      <w:r>
        <w:rPr>
          <w:rFonts w:hint="eastAsia"/>
        </w:rPr>
        <w:t>同时希望能继续传承、发展、创新这一项目，挖掘其文化底蕴。</w:t>
      </w:r>
      <w:r>
        <w:t>3.德育为先，育人为本。学校始</w:t>
      </w:r>
      <w:r>
        <w:rPr>
          <w:rFonts w:hint="eastAsia"/>
        </w:rPr>
        <w:t>终坚持社会主义办学方向，全面贯彻教育方针，全面提高教育教学质量，遵循“勤奋求是、务实创新”的校训，秉承“传承文明、教书育人”的办学理念。多年来，学校以人为本，大力培养学生综合素质上下功夫，积累了一定的办学经验。</w:t>
      </w:r>
    </w:p>
    <w:p w14:paraId="67065358">
      <w:pPr>
        <w:pStyle w:val="10"/>
        <w:bidi w:val="0"/>
        <w:jc w:val="center"/>
        <w:rPr>
          <w:rFonts w:hint="eastAsia"/>
          <w:b/>
          <w:bCs/>
        </w:rPr>
      </w:pPr>
      <w:r>
        <w:rPr>
          <w:rFonts w:hint="eastAsia"/>
          <w:b/>
          <w:bCs/>
        </w:rPr>
        <w:t>2013年学校荣誉情况</w:t>
      </w:r>
    </w:p>
    <w:p w14:paraId="34B5B556">
      <w:pPr>
        <w:bidi w:val="0"/>
        <w:rPr>
          <w:rFonts w:hint="eastAsia"/>
        </w:rPr>
      </w:pPr>
      <w:r>
        <w:rPr>
          <w:rFonts w:hint="eastAsia"/>
        </w:rPr>
        <w:t>表33</w:t>
      </w:r>
    </w:p>
    <w:tbl>
      <w:tblPr>
        <w:tblStyle w:val="7"/>
        <w:tblW w:w="499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96"/>
        <w:gridCol w:w="1916"/>
        <w:gridCol w:w="1530"/>
        <w:gridCol w:w="906"/>
      </w:tblGrid>
      <w:tr w14:paraId="3933D5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4" w:hRule="atLeast"/>
          <w:jc w:val="center"/>
        </w:trPr>
        <w:tc>
          <w:tcPr>
            <w:tcW w:w="2812" w:type="pct"/>
            <w:tcBorders>
              <w:top w:val="single" w:color="000000" w:sz="8" w:space="0"/>
              <w:left w:val="nil"/>
              <w:bottom w:val="single" w:color="000000" w:sz="8" w:space="0"/>
              <w:right w:val="single" w:color="000000" w:sz="8" w:space="0"/>
            </w:tcBorders>
            <w:shd w:val="clear" w:color="auto" w:fill="FFFFFF"/>
            <w:noWrap w:val="0"/>
            <w:vAlign w:val="center"/>
          </w:tcPr>
          <w:p w14:paraId="28BEFD9F">
            <w:pPr>
              <w:pStyle w:val="10"/>
              <w:bidi w:val="0"/>
              <w:jc w:val="center"/>
              <w:rPr>
                <w:rFonts w:hint="eastAsia"/>
                <w:b/>
                <w:bCs/>
                <w:color w:val="000000"/>
              </w:rPr>
            </w:pPr>
            <w:r>
              <w:rPr>
                <w:rFonts w:hint="eastAsia"/>
                <w:b/>
                <w:bCs/>
                <w:color w:val="000000"/>
              </w:rPr>
              <w:t>荣誉名称</w:t>
            </w:r>
          </w:p>
        </w:tc>
        <w:tc>
          <w:tcPr>
            <w:tcW w:w="96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E1AC040">
            <w:pPr>
              <w:pStyle w:val="10"/>
              <w:bidi w:val="0"/>
              <w:jc w:val="center"/>
              <w:rPr>
                <w:rFonts w:hint="eastAsia"/>
                <w:b/>
                <w:bCs/>
                <w:color w:val="000000"/>
              </w:rPr>
            </w:pPr>
            <w:r>
              <w:rPr>
                <w:rFonts w:hint="eastAsia"/>
                <w:b/>
                <w:bCs/>
                <w:color w:val="000000"/>
              </w:rPr>
              <w:t>发证单位</w:t>
            </w:r>
          </w:p>
        </w:tc>
        <w:tc>
          <w:tcPr>
            <w:tcW w:w="76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ACFA410">
            <w:pPr>
              <w:pStyle w:val="10"/>
              <w:bidi w:val="0"/>
              <w:jc w:val="center"/>
              <w:rPr>
                <w:rFonts w:hint="eastAsia"/>
                <w:b/>
                <w:bCs/>
                <w:color w:val="000000"/>
              </w:rPr>
            </w:pPr>
            <w:r>
              <w:rPr>
                <w:rFonts w:hint="eastAsia"/>
                <w:b/>
                <w:bCs/>
                <w:color w:val="000000"/>
              </w:rPr>
              <w:t>发证时间</w:t>
            </w:r>
          </w:p>
        </w:tc>
        <w:tc>
          <w:tcPr>
            <w:tcW w:w="455" w:type="pct"/>
            <w:tcBorders>
              <w:top w:val="single" w:color="000000" w:sz="8" w:space="0"/>
              <w:left w:val="single" w:color="000000" w:sz="8" w:space="0"/>
              <w:bottom w:val="single" w:color="000000" w:sz="8" w:space="0"/>
              <w:right w:val="nil"/>
            </w:tcBorders>
            <w:shd w:val="clear" w:color="auto" w:fill="FFFFFF"/>
            <w:noWrap w:val="0"/>
            <w:vAlign w:val="center"/>
          </w:tcPr>
          <w:p w14:paraId="1DCFD393">
            <w:pPr>
              <w:pStyle w:val="10"/>
              <w:bidi w:val="0"/>
              <w:jc w:val="center"/>
              <w:rPr>
                <w:rFonts w:hint="eastAsia"/>
                <w:b/>
                <w:bCs/>
                <w:color w:val="000000"/>
              </w:rPr>
            </w:pPr>
            <w:r>
              <w:rPr>
                <w:rFonts w:hint="eastAsia"/>
                <w:b/>
                <w:bCs/>
                <w:color w:val="000000"/>
              </w:rPr>
              <w:t>级别</w:t>
            </w:r>
          </w:p>
        </w:tc>
      </w:tr>
      <w:tr w14:paraId="07C87C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2812" w:type="pct"/>
            <w:tcBorders>
              <w:top w:val="single" w:color="000000" w:sz="8" w:space="0"/>
              <w:left w:val="nil"/>
              <w:bottom w:val="single" w:color="000000" w:sz="8" w:space="0"/>
              <w:right w:val="single" w:color="000000" w:sz="8" w:space="0"/>
            </w:tcBorders>
            <w:shd w:val="clear" w:color="auto" w:fill="FFFFFF"/>
            <w:noWrap w:val="0"/>
            <w:vAlign w:val="center"/>
          </w:tcPr>
          <w:p w14:paraId="05E771E8">
            <w:pPr>
              <w:pStyle w:val="10"/>
              <w:bidi w:val="0"/>
              <w:jc w:val="center"/>
              <w:rPr>
                <w:rFonts w:hint="eastAsia"/>
                <w:color w:val="000000"/>
              </w:rPr>
            </w:pPr>
            <w:r>
              <w:rPr>
                <w:rFonts w:hint="eastAsia"/>
                <w:color w:val="000000"/>
              </w:rPr>
              <w:t>广东省义“教育强镇”通过验收</w:t>
            </w:r>
          </w:p>
        </w:tc>
        <w:tc>
          <w:tcPr>
            <w:tcW w:w="96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BB36E3B">
            <w:pPr>
              <w:pStyle w:val="10"/>
              <w:bidi w:val="0"/>
              <w:jc w:val="center"/>
              <w:rPr>
                <w:rFonts w:hint="eastAsia"/>
                <w:color w:val="000000"/>
              </w:rPr>
            </w:pPr>
            <w:r>
              <w:rPr>
                <w:rFonts w:hint="eastAsia"/>
                <w:color w:val="000000"/>
              </w:rPr>
              <w:t>广东省教育督导室</w:t>
            </w:r>
          </w:p>
        </w:tc>
        <w:tc>
          <w:tcPr>
            <w:tcW w:w="76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523A813">
            <w:pPr>
              <w:pStyle w:val="10"/>
              <w:bidi w:val="0"/>
              <w:jc w:val="center"/>
              <w:rPr>
                <w:rFonts w:hint="eastAsia"/>
                <w:color w:val="000000"/>
              </w:rPr>
            </w:pPr>
            <w:r>
              <w:rPr>
                <w:rFonts w:hint="eastAsia"/>
                <w:color w:val="000000"/>
              </w:rPr>
              <w:t>2013、1、16</w:t>
            </w:r>
          </w:p>
        </w:tc>
        <w:tc>
          <w:tcPr>
            <w:tcW w:w="455" w:type="pct"/>
            <w:tcBorders>
              <w:top w:val="single" w:color="000000" w:sz="8" w:space="0"/>
              <w:left w:val="single" w:color="000000" w:sz="8" w:space="0"/>
              <w:bottom w:val="single" w:color="000000" w:sz="8" w:space="0"/>
              <w:right w:val="nil"/>
            </w:tcBorders>
            <w:shd w:val="clear" w:color="auto" w:fill="FFFFFF"/>
            <w:noWrap w:val="0"/>
            <w:vAlign w:val="center"/>
          </w:tcPr>
          <w:p w14:paraId="3D7EC9B5">
            <w:pPr>
              <w:pStyle w:val="10"/>
              <w:bidi w:val="0"/>
              <w:jc w:val="center"/>
              <w:rPr>
                <w:rFonts w:hint="eastAsia"/>
                <w:color w:val="000000"/>
              </w:rPr>
            </w:pPr>
            <w:r>
              <w:rPr>
                <w:rFonts w:hint="eastAsia"/>
                <w:color w:val="000000"/>
              </w:rPr>
              <w:t>省级</w:t>
            </w:r>
          </w:p>
        </w:tc>
      </w:tr>
      <w:tr w14:paraId="0CE5C9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0" w:hRule="atLeast"/>
          <w:jc w:val="center"/>
        </w:trPr>
        <w:tc>
          <w:tcPr>
            <w:tcW w:w="2812" w:type="pct"/>
            <w:tcBorders>
              <w:top w:val="single" w:color="000000" w:sz="8" w:space="0"/>
              <w:left w:val="nil"/>
              <w:bottom w:val="single" w:color="000000" w:sz="8" w:space="0"/>
              <w:right w:val="single" w:color="000000" w:sz="8" w:space="0"/>
            </w:tcBorders>
            <w:shd w:val="clear" w:color="auto" w:fill="FFFFFF"/>
            <w:noWrap w:val="0"/>
            <w:vAlign w:val="center"/>
          </w:tcPr>
          <w:p w14:paraId="03172711">
            <w:pPr>
              <w:pStyle w:val="10"/>
              <w:bidi w:val="0"/>
              <w:jc w:val="center"/>
              <w:rPr>
                <w:rFonts w:hint="eastAsia"/>
                <w:color w:val="000000"/>
              </w:rPr>
            </w:pPr>
            <w:r>
              <w:rPr>
                <w:rFonts w:hint="eastAsia"/>
                <w:color w:val="000000"/>
              </w:rPr>
              <w:t>南雄市二○一三年中小学乒乓球比赛中学女子团体第一名</w:t>
            </w:r>
          </w:p>
        </w:tc>
        <w:tc>
          <w:tcPr>
            <w:tcW w:w="96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2EC68BA">
            <w:pPr>
              <w:pStyle w:val="10"/>
              <w:bidi w:val="0"/>
              <w:jc w:val="center"/>
              <w:rPr>
                <w:rFonts w:hint="eastAsia"/>
                <w:color w:val="000000"/>
              </w:rPr>
            </w:pPr>
            <w:r>
              <w:rPr>
                <w:rFonts w:hint="eastAsia"/>
                <w:color w:val="000000"/>
              </w:rPr>
              <w:t>南雄市教育局</w:t>
            </w:r>
          </w:p>
        </w:tc>
        <w:tc>
          <w:tcPr>
            <w:tcW w:w="76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490FFC1">
            <w:pPr>
              <w:pStyle w:val="10"/>
              <w:bidi w:val="0"/>
              <w:jc w:val="center"/>
              <w:rPr>
                <w:rFonts w:hint="eastAsia"/>
                <w:color w:val="000000"/>
              </w:rPr>
            </w:pPr>
            <w:r>
              <w:rPr>
                <w:rFonts w:hint="eastAsia"/>
                <w:color w:val="000000"/>
              </w:rPr>
              <w:t>2013、4、28</w:t>
            </w:r>
          </w:p>
        </w:tc>
        <w:tc>
          <w:tcPr>
            <w:tcW w:w="455" w:type="pct"/>
            <w:tcBorders>
              <w:top w:val="single" w:color="000000" w:sz="8" w:space="0"/>
              <w:left w:val="single" w:color="000000" w:sz="8" w:space="0"/>
              <w:bottom w:val="single" w:color="000000" w:sz="8" w:space="0"/>
              <w:right w:val="nil"/>
            </w:tcBorders>
            <w:shd w:val="clear" w:color="auto" w:fill="FFFFFF"/>
            <w:noWrap w:val="0"/>
            <w:vAlign w:val="center"/>
          </w:tcPr>
          <w:p w14:paraId="025EF7E3">
            <w:pPr>
              <w:pStyle w:val="10"/>
              <w:bidi w:val="0"/>
              <w:jc w:val="center"/>
              <w:rPr>
                <w:rFonts w:hint="eastAsia"/>
                <w:color w:val="000000"/>
              </w:rPr>
            </w:pPr>
            <w:r>
              <w:rPr>
                <w:rFonts w:hint="eastAsia"/>
                <w:color w:val="000000"/>
              </w:rPr>
              <w:t>县级市</w:t>
            </w:r>
          </w:p>
        </w:tc>
      </w:tr>
      <w:tr w14:paraId="6209C2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jc w:val="center"/>
        </w:trPr>
        <w:tc>
          <w:tcPr>
            <w:tcW w:w="2812" w:type="pct"/>
            <w:tcBorders>
              <w:top w:val="single" w:color="000000" w:sz="8" w:space="0"/>
              <w:left w:val="nil"/>
              <w:bottom w:val="single" w:color="000000" w:sz="8" w:space="0"/>
              <w:right w:val="single" w:color="000000" w:sz="8" w:space="0"/>
            </w:tcBorders>
            <w:shd w:val="clear" w:color="auto" w:fill="FFFFFF"/>
            <w:noWrap w:val="0"/>
            <w:vAlign w:val="center"/>
          </w:tcPr>
          <w:p w14:paraId="080AA468">
            <w:pPr>
              <w:pStyle w:val="10"/>
              <w:bidi w:val="0"/>
              <w:jc w:val="center"/>
              <w:rPr>
                <w:rFonts w:hint="eastAsia"/>
                <w:color w:val="000000"/>
              </w:rPr>
            </w:pPr>
            <w:r>
              <w:rPr>
                <w:rFonts w:hint="eastAsia"/>
                <w:color w:val="000000"/>
              </w:rPr>
              <w:t>南雄市二○一三年中小学乒乓球比赛中学男子团体第六名</w:t>
            </w:r>
          </w:p>
        </w:tc>
        <w:tc>
          <w:tcPr>
            <w:tcW w:w="96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8FFCD44">
            <w:pPr>
              <w:pStyle w:val="10"/>
              <w:bidi w:val="0"/>
              <w:jc w:val="center"/>
              <w:rPr>
                <w:rFonts w:hint="eastAsia"/>
                <w:color w:val="000000"/>
              </w:rPr>
            </w:pPr>
            <w:r>
              <w:rPr>
                <w:rFonts w:hint="eastAsia"/>
                <w:color w:val="000000"/>
              </w:rPr>
              <w:t>南雄市教育局</w:t>
            </w:r>
          </w:p>
        </w:tc>
        <w:tc>
          <w:tcPr>
            <w:tcW w:w="76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6B3876F">
            <w:pPr>
              <w:pStyle w:val="10"/>
              <w:bidi w:val="0"/>
              <w:jc w:val="center"/>
              <w:rPr>
                <w:rFonts w:hint="eastAsia"/>
                <w:color w:val="000000"/>
              </w:rPr>
            </w:pPr>
            <w:r>
              <w:rPr>
                <w:rFonts w:hint="eastAsia"/>
                <w:color w:val="000000"/>
              </w:rPr>
              <w:t>2013、4、28</w:t>
            </w:r>
          </w:p>
        </w:tc>
        <w:tc>
          <w:tcPr>
            <w:tcW w:w="455" w:type="pct"/>
            <w:tcBorders>
              <w:top w:val="single" w:color="000000" w:sz="8" w:space="0"/>
              <w:left w:val="single" w:color="000000" w:sz="8" w:space="0"/>
              <w:bottom w:val="single" w:color="000000" w:sz="8" w:space="0"/>
              <w:right w:val="nil"/>
            </w:tcBorders>
            <w:shd w:val="clear" w:color="auto" w:fill="FFFFFF"/>
            <w:noWrap w:val="0"/>
            <w:vAlign w:val="center"/>
          </w:tcPr>
          <w:p w14:paraId="22C68E8D">
            <w:pPr>
              <w:pStyle w:val="10"/>
              <w:bidi w:val="0"/>
              <w:jc w:val="center"/>
              <w:rPr>
                <w:rFonts w:hint="eastAsia"/>
                <w:color w:val="000000"/>
              </w:rPr>
            </w:pPr>
            <w:r>
              <w:rPr>
                <w:rFonts w:hint="eastAsia"/>
                <w:color w:val="000000"/>
              </w:rPr>
              <w:t>县级市</w:t>
            </w:r>
          </w:p>
        </w:tc>
      </w:tr>
      <w:tr w14:paraId="3650F7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2812" w:type="pct"/>
            <w:tcBorders>
              <w:top w:val="single" w:color="000000" w:sz="8" w:space="0"/>
              <w:left w:val="nil"/>
              <w:bottom w:val="single" w:color="000000" w:sz="8" w:space="0"/>
              <w:right w:val="single" w:color="000000" w:sz="8" w:space="0"/>
            </w:tcBorders>
            <w:shd w:val="clear" w:color="auto" w:fill="FFFFFF"/>
            <w:noWrap w:val="0"/>
            <w:vAlign w:val="center"/>
          </w:tcPr>
          <w:p w14:paraId="23BC99A0">
            <w:pPr>
              <w:pStyle w:val="10"/>
              <w:bidi w:val="0"/>
              <w:jc w:val="center"/>
              <w:rPr>
                <w:rFonts w:hint="eastAsia"/>
                <w:color w:val="000000"/>
              </w:rPr>
            </w:pPr>
            <w:r>
              <w:rPr>
                <w:rFonts w:hint="eastAsia"/>
                <w:color w:val="000000"/>
              </w:rPr>
              <w:t>乌迳中学获“大课间活动”二等奖</w:t>
            </w:r>
          </w:p>
        </w:tc>
        <w:tc>
          <w:tcPr>
            <w:tcW w:w="96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0BE697B">
            <w:pPr>
              <w:pStyle w:val="10"/>
              <w:bidi w:val="0"/>
              <w:jc w:val="center"/>
              <w:rPr>
                <w:rFonts w:hint="eastAsia"/>
                <w:color w:val="000000"/>
              </w:rPr>
            </w:pPr>
            <w:r>
              <w:rPr>
                <w:rFonts w:hint="eastAsia"/>
                <w:color w:val="000000"/>
              </w:rPr>
              <w:t>南雄市教育局</w:t>
            </w:r>
          </w:p>
        </w:tc>
        <w:tc>
          <w:tcPr>
            <w:tcW w:w="76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942C0ED">
            <w:pPr>
              <w:pStyle w:val="10"/>
              <w:bidi w:val="0"/>
              <w:jc w:val="center"/>
              <w:rPr>
                <w:rFonts w:hint="eastAsia"/>
                <w:color w:val="000000"/>
              </w:rPr>
            </w:pPr>
            <w:r>
              <w:rPr>
                <w:rFonts w:hint="eastAsia"/>
                <w:color w:val="000000"/>
              </w:rPr>
              <w:t>2012、12、17</w:t>
            </w:r>
          </w:p>
        </w:tc>
        <w:tc>
          <w:tcPr>
            <w:tcW w:w="455" w:type="pct"/>
            <w:tcBorders>
              <w:top w:val="single" w:color="000000" w:sz="8" w:space="0"/>
              <w:left w:val="single" w:color="000000" w:sz="8" w:space="0"/>
              <w:bottom w:val="single" w:color="000000" w:sz="8" w:space="0"/>
              <w:right w:val="nil"/>
            </w:tcBorders>
            <w:shd w:val="clear" w:color="auto" w:fill="FFFFFF"/>
            <w:noWrap w:val="0"/>
            <w:vAlign w:val="center"/>
          </w:tcPr>
          <w:p w14:paraId="5EECBE04">
            <w:pPr>
              <w:pStyle w:val="10"/>
              <w:bidi w:val="0"/>
              <w:jc w:val="center"/>
              <w:rPr>
                <w:rFonts w:hint="eastAsia"/>
                <w:color w:val="000000"/>
              </w:rPr>
            </w:pPr>
            <w:r>
              <w:rPr>
                <w:rFonts w:hint="eastAsia"/>
                <w:color w:val="000000"/>
              </w:rPr>
              <w:t>县级市</w:t>
            </w:r>
          </w:p>
        </w:tc>
      </w:tr>
    </w:tbl>
    <w:p w14:paraId="321BEB51">
      <w:pPr>
        <w:ind w:firstLine="420"/>
        <w:jc w:val="right"/>
        <w:rPr>
          <w:rFonts w:hint="eastAsia"/>
        </w:rPr>
      </w:pPr>
      <w:r>
        <w:rPr>
          <w:rFonts w:hint="eastAsia"/>
        </w:rPr>
        <w:t>（叶华南）</w:t>
      </w:r>
    </w:p>
    <w:p w14:paraId="24BBA5CA">
      <w:pPr>
        <w:pStyle w:val="10"/>
        <w:bidi w:val="0"/>
        <w:rPr>
          <w:b/>
          <w:bCs/>
        </w:rPr>
      </w:pPr>
      <w:r>
        <w:rPr>
          <w:rFonts w:hint="eastAsia"/>
          <w:b/>
          <w:bCs/>
        </w:rPr>
        <w:t>附：</w:t>
      </w:r>
      <w:r>
        <w:rPr>
          <w:b/>
          <w:bCs/>
        </w:rPr>
        <w:t>2013年</w:t>
      </w:r>
      <w:r>
        <w:rPr>
          <w:rFonts w:hint="eastAsia"/>
          <w:b/>
          <w:bCs/>
          <w:lang w:val="en-US" w:eastAsia="zh-CN"/>
        </w:rPr>
        <w:t>乌</w:t>
      </w:r>
      <w:r>
        <w:rPr>
          <w:b/>
          <w:bCs/>
        </w:rPr>
        <w:t>迳中学领导班子成员名单</w:t>
      </w:r>
    </w:p>
    <w:p w14:paraId="077532DB">
      <w:pPr>
        <w:pStyle w:val="10"/>
        <w:bidi w:val="0"/>
        <w:rPr>
          <w:rFonts w:hint="eastAsia"/>
        </w:rPr>
      </w:pPr>
      <w:r>
        <w:rPr>
          <w:rFonts w:hint="eastAsia"/>
          <w:b/>
          <w:bCs/>
        </w:rPr>
        <w:t>校</w:t>
      </w:r>
      <w:r>
        <w:rPr>
          <w:rFonts w:hint="eastAsia"/>
          <w:b/>
          <w:bCs/>
          <w:lang w:val="en-US" w:eastAsia="zh-CN"/>
        </w:rPr>
        <w:t xml:space="preserve">  </w:t>
      </w:r>
      <w:r>
        <w:rPr>
          <w:rFonts w:hint="eastAsia"/>
          <w:b/>
          <w:bCs/>
        </w:rPr>
        <w:t>长：</w:t>
      </w:r>
      <w:r>
        <w:rPr>
          <w:rFonts w:hint="eastAsia"/>
        </w:rPr>
        <w:t>黄国专</w:t>
      </w:r>
    </w:p>
    <w:p w14:paraId="14787CB7">
      <w:pPr>
        <w:pStyle w:val="10"/>
        <w:bidi w:val="0"/>
      </w:pPr>
      <w:r>
        <w:rPr>
          <w:rFonts w:hint="eastAsia"/>
          <w:b/>
          <w:bCs/>
        </w:rPr>
        <w:t>副校长：</w:t>
      </w:r>
      <w:r>
        <w:rPr>
          <w:rFonts w:hint="eastAsia"/>
        </w:rPr>
        <w:t>叶勤生</w:t>
      </w:r>
      <w:r>
        <w:rPr>
          <w:rFonts w:hint="eastAsia"/>
          <w:lang w:val="en-US" w:eastAsia="zh-CN"/>
        </w:rPr>
        <w:t xml:space="preserve">   </w:t>
      </w:r>
      <w:r>
        <w:rPr>
          <w:rFonts w:hint="eastAsia"/>
        </w:rPr>
        <w:t>彭</w:t>
      </w:r>
      <w:r>
        <w:rPr>
          <w:rFonts w:hint="eastAsia"/>
          <w:lang w:val="en-US" w:eastAsia="zh-CN"/>
        </w:rPr>
        <w:t xml:space="preserve">  </w:t>
      </w:r>
      <w:r>
        <w:rPr>
          <w:rFonts w:hint="eastAsia"/>
        </w:rPr>
        <w:t>华</w:t>
      </w:r>
      <w:r>
        <w:rPr>
          <w:rFonts w:hint="eastAsia"/>
          <w:lang w:val="en-US" w:eastAsia="zh-CN"/>
        </w:rPr>
        <w:t xml:space="preserve">   </w:t>
      </w:r>
      <w:r>
        <w:rPr>
          <w:rFonts w:hint="eastAsia"/>
        </w:rPr>
        <w:t>邓胜文（</w:t>
      </w:r>
      <w:r>
        <w:t>10月任）</w:t>
      </w:r>
    </w:p>
    <w:p w14:paraId="4E49BD49">
      <w:pPr>
        <w:pStyle w:val="2"/>
        <w:bidi w:val="0"/>
        <w:rPr>
          <w:rFonts w:hint="default"/>
          <w:lang w:val="en-US" w:eastAsia="zh-CN"/>
        </w:rPr>
      </w:pPr>
      <w:r>
        <w:rPr>
          <w:rFonts w:hint="eastAsia"/>
        </w:rPr>
        <w:t>文化·广</w:t>
      </w:r>
      <w:r>
        <w:rPr>
          <w:rFonts w:hint="eastAsia"/>
          <w:lang w:val="en-US" w:eastAsia="zh-CN"/>
        </w:rPr>
        <w:t>播电视</w:t>
      </w:r>
    </w:p>
    <w:p w14:paraId="7E261242">
      <w:pPr>
        <w:pStyle w:val="3"/>
        <w:bidi w:val="0"/>
        <w:rPr>
          <w:rFonts w:hint="default"/>
          <w:lang w:val="en-US" w:eastAsia="zh-CN"/>
        </w:rPr>
      </w:pPr>
      <w:r>
        <w:rPr>
          <w:rFonts w:hint="eastAsia"/>
          <w:lang w:val="en-US" w:eastAsia="zh-CN"/>
        </w:rPr>
        <w:t>文化综述</w:t>
      </w:r>
    </w:p>
    <w:p w14:paraId="5F07AA9B">
      <w:pPr>
        <w:pStyle w:val="4"/>
        <w:bidi w:val="0"/>
        <w:rPr>
          <w:rFonts w:hint="eastAsia"/>
        </w:rPr>
      </w:pPr>
      <w:r>
        <w:rPr>
          <w:rFonts w:hint="eastAsia"/>
        </w:rPr>
        <w:t>【概况】</w:t>
      </w:r>
    </w:p>
    <w:p w14:paraId="06471F2E">
      <w:pPr>
        <w:rPr>
          <w:rFonts w:hint="eastAsia"/>
        </w:rPr>
      </w:pPr>
      <w:r>
        <w:rPr>
          <w:rFonts w:hint="eastAsia"/>
        </w:rPr>
        <w:t>南雄市文化广电新闻出版局（简称“文广新局”），担负着宣传贯彻、执行党和国家的各项路线、方针、政策，制定本地区内的文化政策，指导和管理本地区的文化工作，执行国家的各项文化法规，依法行政、依法治文、繁荣文学艺术创作</w:t>
      </w:r>
      <w:r>
        <w:rPr>
          <w:rFonts w:hint="eastAsia"/>
          <w:lang w:eastAsia="zh-CN"/>
        </w:rPr>
        <w:t>，</w:t>
      </w:r>
      <w:r>
        <w:rPr>
          <w:rFonts w:hint="eastAsia"/>
        </w:rPr>
        <w:t>加强自身队伍的建设，培养高素质的文化人才，承办市委、市政府和上级文化部门交办的其它事项。</w:t>
      </w:r>
    </w:p>
    <w:p w14:paraId="5885303B">
      <w:r>
        <w:rPr>
          <w:rFonts w:hint="eastAsia"/>
        </w:rPr>
        <w:t>南雄市文化广电新闻出版局属正科级单位，内设人秘股、社会文化股、广电管理股、文化市场管理股、新闻出版管理股。其直属单位有南雄市文化市场综合执法大队，下属有文化馆（采茶剧团）</w:t>
      </w:r>
      <w:r>
        <w:rPr>
          <w:rFonts w:hint="eastAsia"/>
          <w:lang w:eastAsia="zh-CN"/>
        </w:rPr>
        <w:t>、</w:t>
      </w:r>
      <w:r>
        <w:rPr>
          <w:rFonts w:hint="eastAsia"/>
        </w:rPr>
        <w:t>图书馆、博物馆、影剧院及</w:t>
      </w:r>
      <w:r>
        <w:t>18个镇文化站。</w:t>
      </w:r>
    </w:p>
    <w:p w14:paraId="75B8A0EA">
      <w:pPr>
        <w:pStyle w:val="4"/>
        <w:bidi w:val="0"/>
        <w:rPr>
          <w:rFonts w:hint="eastAsia"/>
        </w:rPr>
      </w:pPr>
      <w:r>
        <w:rPr>
          <w:rFonts w:hint="eastAsia"/>
        </w:rPr>
        <w:t>【文化设施重点工程稳步推进】</w:t>
      </w:r>
    </w:p>
    <w:p w14:paraId="42041BB6">
      <w:r>
        <w:rPr>
          <w:rFonts w:hint="eastAsia"/>
        </w:rPr>
        <w:t>珠影文化广场建设工作顺利开展，文化广场及地下停车场建设井然有序。博物馆、文化馆、图书馆的异地重建选址及规划工作有序推进，其中图书馆已搬至南雄市一小实行对外开放，文化馆已搬至原新华书店服务群众文化，三影塔维修工程已完成施工前期各项准备工作。珠玑文化产业园珠玑巷博物馆建设开展顺利，已完成阵地修缮。积极推进基层文化阵地建设，完成对</w:t>
      </w:r>
      <w:r>
        <w:t>12个乡镇文化站评估达标工作，文化三馆</w:t>
      </w:r>
      <w:r>
        <w:rPr>
          <w:rFonts w:hint="eastAsia"/>
        </w:rPr>
        <w:t>（图、文、博）全面通过国家评估定级；稳步推进乡镇文化站电子阅览室建设及</w:t>
      </w:r>
      <w:r>
        <w:t>6个乡镇文化站改扩</w:t>
      </w:r>
      <w:r>
        <w:rPr>
          <w:rFonts w:hint="eastAsia"/>
        </w:rPr>
        <w:t>建工程，获得中央及省文化厅对南雄市文化阵地建设及免费开放资金</w:t>
      </w:r>
      <w:r>
        <w:t>262万元，争取国家文物局对三</w:t>
      </w:r>
      <w:r>
        <w:rPr>
          <w:rFonts w:hint="eastAsia"/>
        </w:rPr>
        <w:t>影塔维修资金</w:t>
      </w:r>
      <w:r>
        <w:t>170万元。</w:t>
      </w:r>
    </w:p>
    <w:p w14:paraId="5E77F83D">
      <w:pPr>
        <w:pStyle w:val="4"/>
        <w:bidi w:val="0"/>
        <w:rPr>
          <w:rFonts w:hint="eastAsia"/>
        </w:rPr>
      </w:pPr>
      <w:r>
        <w:rPr>
          <w:rFonts w:hint="eastAsia"/>
        </w:rPr>
        <w:t>【群众文化活动丰富多彩】</w:t>
      </w:r>
    </w:p>
    <w:p w14:paraId="70C9BBC5">
      <w:pPr>
        <w:rPr>
          <w:rFonts w:hint="eastAsia"/>
        </w:rPr>
      </w:pPr>
      <w:r>
        <w:rPr>
          <w:rFonts w:hint="eastAsia"/>
        </w:rPr>
        <w:t>传承传统文化，活跃群众生活，在春节、元宵、端午等传统节庆期间开展丰富多彩的群众文化活动，以活动促品牌。丰富</w:t>
      </w:r>
      <w:r>
        <w:rPr>
          <w:rFonts w:hint="eastAsia"/>
          <w:lang w:eastAsia="zh-CN"/>
        </w:rPr>
        <w:t>广</w:t>
      </w:r>
      <w:r>
        <w:rPr>
          <w:rFonts w:hint="eastAsia"/>
        </w:rPr>
        <w:t>播电视的民间传统活动，展示了南雄丰富的人文历史资源。迎春文艺晚会立足本地特色，以歌舞、音乐快板、南雄方言表演等优秀节目为主，展示了南雄的精神风貌；元宵民间艺术巡游将香火龙、划旱船</w:t>
      </w:r>
      <w:r>
        <w:rPr>
          <w:rFonts w:hint="eastAsia"/>
          <w:lang w:eastAsia="zh-CN"/>
        </w:rPr>
        <w:t>、</w:t>
      </w:r>
      <w:r>
        <w:rPr>
          <w:rFonts w:hint="eastAsia"/>
        </w:rPr>
        <w:t>飘色表演、采茶表演等集中展现给市民，吸引数万居民沿街观看；三影塔举办的“金蛇贺岁，欢乐吉祥”</w:t>
      </w:r>
      <w:r>
        <w:t>2013新春谜语有奖竞猜活动，知识性趣味性共</w:t>
      </w:r>
      <w:r>
        <w:rPr>
          <w:rFonts w:hint="eastAsia"/>
        </w:rPr>
        <w:t>存，深受群众欢迎。</w:t>
      </w:r>
    </w:p>
    <w:p w14:paraId="29431EB2">
      <w:pPr>
        <w:rPr>
          <w:rFonts w:hint="eastAsia"/>
        </w:rPr>
      </w:pPr>
      <w:r>
        <w:rPr>
          <w:rFonts w:hint="eastAsia"/>
        </w:rPr>
        <w:t>充分发挥三影塔广场服务平台的作用，组织全市各类文艺队伍、广大群众开展每月一演广场群众文化活动。春节和国庆期间举办群众广场文艺展演活动，文艺爱好者为市民表演歌舞、采茶戏、乐器演奏等各类优秀节目，来自城乡的艺术表演队展现了群众的文艺风采。</w:t>
      </w:r>
      <w:r>
        <w:t>7月至8月，举办2013年唱响</w:t>
      </w:r>
      <w:r>
        <w:rPr>
          <w:rFonts w:hint="eastAsia"/>
        </w:rPr>
        <w:t>中国梦·好歌献给党，经贸杯“开心广场幸福南雄”群众歌咏大赛，吸引</w:t>
      </w:r>
      <w:r>
        <w:t>500多名选手参加，历经</w:t>
      </w:r>
      <w:r>
        <w:rPr>
          <w:rFonts w:hint="eastAsia"/>
        </w:rPr>
        <w:t>初赛、复赛、总决赛活动共</w:t>
      </w:r>
      <w:r>
        <w:t>19场，选手们出色地</w:t>
      </w:r>
      <w:r>
        <w:rPr>
          <w:rFonts w:hint="eastAsia"/>
        </w:rPr>
        <w:t>演绎经典歌曲，唱出心中的中国梦，唱出南雄人民的爱国情怀。</w:t>
      </w:r>
    </w:p>
    <w:p w14:paraId="386A5377">
      <w:pPr>
        <w:rPr>
          <w:rFonts w:hint="eastAsia"/>
        </w:rPr>
      </w:pPr>
      <w:r>
        <w:rPr>
          <w:rFonts w:hint="eastAsia"/>
        </w:rPr>
        <w:t>注重文艺节目创新，为送戏下乡和开展群众展演活动注入新鲜活力。</w:t>
      </w:r>
      <w:r>
        <w:t>2013年创作小品《两子</w:t>
      </w:r>
      <w:r>
        <w:rPr>
          <w:rFonts w:hint="eastAsia"/>
        </w:rPr>
        <w:t>嫂》、《孕前检</w:t>
      </w:r>
      <w:r>
        <w:rPr>
          <w:rFonts w:hint="eastAsia"/>
          <w:lang w:eastAsia="zh-CN"/>
        </w:rPr>
        <w:t>查</w:t>
      </w:r>
      <w:r>
        <w:rPr>
          <w:rFonts w:hint="eastAsia"/>
        </w:rPr>
        <w:t>》和音乐快板《计生春风暖雄州》及烟叶种植宣传专题节目等，并进行乡镇巡回演出，丰富群众文化生活，同时通过活动普及相关法律、科学知识的宣传。市文化馆编排了采茶歌舞《珠玑巷里故事多》，赴韶关参加广东省广府人世界张氏恳亲大会演出，精彩的演绎为广府人后裔展现当年珠玑巷的繁荣景象和传统采茶技艺表演。排演录制了采茶传统节目《阿三戏公爷》选送至广东戏剧大典库。</w:t>
      </w:r>
    </w:p>
    <w:p w14:paraId="391C5188">
      <w:pPr>
        <w:pStyle w:val="4"/>
        <w:bidi w:val="0"/>
        <w:rPr>
          <w:rFonts w:hint="eastAsia"/>
        </w:rPr>
      </w:pPr>
      <w:r>
        <w:rPr>
          <w:rFonts w:hint="eastAsia"/>
        </w:rPr>
        <w:t>【文化惠民工程形式多样】</w:t>
      </w:r>
    </w:p>
    <w:p w14:paraId="1FA92032">
      <w:pPr>
        <w:rPr>
          <w:rFonts w:hint="eastAsia"/>
        </w:rPr>
      </w:pPr>
      <w:r>
        <w:rPr>
          <w:rFonts w:hint="eastAsia"/>
        </w:rPr>
        <w:t>不断加强公益性博物馆、图书馆、文化馆的免费开放力度，着力提升</w:t>
      </w:r>
      <w:r>
        <w:rPr>
          <w:rFonts w:hint="eastAsia"/>
          <w:lang w:eastAsia="zh-CN"/>
        </w:rPr>
        <w:t>三</w:t>
      </w:r>
      <w:r>
        <w:rPr>
          <w:rFonts w:hint="eastAsia"/>
        </w:rPr>
        <w:t>馆的服务水平，为市民提供优质多样的文化服务。</w:t>
      </w:r>
    </w:p>
    <w:p w14:paraId="6739EF76">
      <w:pPr>
        <w:rPr>
          <w:rFonts w:hint="eastAsia"/>
        </w:rPr>
      </w:pPr>
      <w:r>
        <w:rPr>
          <w:rFonts w:hint="eastAsia"/>
        </w:rPr>
        <w:t>市图书馆开展各类读书活动，接待读者约</w:t>
      </w:r>
      <w:r>
        <w:t>10</w:t>
      </w:r>
      <w:r>
        <w:rPr>
          <w:rFonts w:hint="eastAsia"/>
        </w:rPr>
        <w:t>万人次；在乌迳镇、水口镇、界址镇设立“关爱留守儿童图书室”，共捐赠</w:t>
      </w:r>
      <w:r>
        <w:t>1083册图书；开展送书活</w:t>
      </w:r>
      <w:r>
        <w:rPr>
          <w:rFonts w:hint="eastAsia"/>
        </w:rPr>
        <w:t>动及举办读书活动共</w:t>
      </w:r>
      <w:r>
        <w:t>18场。2013年通过了全国公</w:t>
      </w:r>
      <w:r>
        <w:rPr>
          <w:rFonts w:hint="eastAsia"/>
        </w:rPr>
        <w:t>共图书馆第五次评估定级评估工作，被评为“国家二级图书馆”。</w:t>
      </w:r>
    </w:p>
    <w:p w14:paraId="33B58ADD">
      <w:pPr>
        <w:rPr>
          <w:rFonts w:hint="eastAsia"/>
        </w:rPr>
      </w:pPr>
      <w:r>
        <w:rPr>
          <w:rFonts w:hint="eastAsia"/>
        </w:rPr>
        <w:t>市博物馆举办南雄经济成果展、海洋公园展</w:t>
      </w:r>
      <w:r>
        <w:rPr>
          <w:rFonts w:hint="eastAsia"/>
          <w:lang w:eastAsia="zh-CN"/>
        </w:rPr>
        <w:t>、</w:t>
      </w:r>
      <w:r>
        <w:rPr>
          <w:rFonts w:hint="eastAsia"/>
        </w:rPr>
        <w:t>奇石展览、油画展等</w:t>
      </w:r>
      <w:r>
        <w:t>17场各类免费展览活动，投</w:t>
      </w:r>
      <w:r>
        <w:rPr>
          <w:rFonts w:hint="eastAsia"/>
        </w:rPr>
        <w:t>入</w:t>
      </w:r>
      <w:r>
        <w:t>25万元提升博物馆大厅及革命历史展览馆建设，</w:t>
      </w:r>
      <w:r>
        <w:rPr>
          <w:rFonts w:hint="eastAsia"/>
        </w:rPr>
        <w:t>恐龙展厅布展工作顺利开展，预计春节前开放，瑶坑省委旧址继续免费开放，充分发挥博物馆革命教育宣传阵地的作用。</w:t>
      </w:r>
    </w:p>
    <w:p w14:paraId="652C2CDA">
      <w:r>
        <w:rPr>
          <w:rFonts w:hint="eastAsia"/>
        </w:rPr>
        <w:t>市文化馆积极开展各项群众文化活动，工作中注重公共文化服务，发挥群众文化骨干引领作用，指导镇、村文化站（室）开展文化活动；免费指导培训城乡群众文艺演出队伍，加强艺术培训力度，免费开办声乐、乐器、舞蹈、少儿采茶等培训班；全年免费培训群众</w:t>
      </w:r>
      <w:r>
        <w:t>2464人次，免费开班辅导共56</w:t>
      </w:r>
      <w:r>
        <w:rPr>
          <w:rFonts w:hint="eastAsia"/>
        </w:rPr>
        <w:t>期。选送群众书法、论文、小品等作品参加各类活动荣获多项奖项；开展送戏下乡（进社区）活动</w:t>
      </w:r>
      <w:r>
        <w:t>118场。</w:t>
      </w:r>
    </w:p>
    <w:p w14:paraId="060E744E">
      <w:pPr>
        <w:rPr>
          <w:rFonts w:hint="eastAsia"/>
        </w:rPr>
      </w:pPr>
      <w:r>
        <w:rPr>
          <w:rFonts w:hint="eastAsia"/>
        </w:rPr>
        <w:t>广电民生工程惠及百姓，不断加强对广电民生工程的建设，丰富群众文化娱乐生活，取得显著成效。一是农村公益电影放映工程规范实施。按照《农村电影放映实施方案》严格开展放映工程，全年完成</w:t>
      </w:r>
      <w:r>
        <w:t>2496场的任务场次。二是县级多厅数字影</w:t>
      </w:r>
      <w:r>
        <w:rPr>
          <w:rFonts w:hint="eastAsia"/>
        </w:rPr>
        <w:t>院实现公映。珠影文化中心于</w:t>
      </w:r>
      <w:r>
        <w:t>2013年2月2日实现</w:t>
      </w:r>
      <w:r>
        <w:rPr>
          <w:rFonts w:hint="eastAsia"/>
        </w:rPr>
        <w:t>公映，</w:t>
      </w:r>
      <w:r>
        <w:t>2D、3D、5D放映齐全，为全市人民带来卓</w:t>
      </w:r>
      <w:r>
        <w:rPr>
          <w:rFonts w:hint="eastAsia"/>
        </w:rPr>
        <w:t>越的感官感受。三是广播电视“户户通”工程开展顺利。争取省广电民生工程建设项目，为</w:t>
      </w:r>
      <w:r>
        <w:t>431个自</w:t>
      </w:r>
      <w:r>
        <w:rPr>
          <w:rFonts w:hint="eastAsia"/>
        </w:rPr>
        <w:t>然村</w:t>
      </w:r>
      <w:r>
        <w:t>5472户农户免费安装广播电视接收设备，惠</w:t>
      </w:r>
      <w:r>
        <w:rPr>
          <w:rFonts w:hint="eastAsia"/>
        </w:rPr>
        <w:t>及农民广电民生工程建设资金达</w:t>
      </w:r>
      <w:r>
        <w:t>285万元，安装数</w:t>
      </w:r>
      <w:r>
        <w:rPr>
          <w:rFonts w:hint="eastAsia"/>
        </w:rPr>
        <w:t>量占韶关市全年总数的四分之三，并成立</w:t>
      </w:r>
      <w:r>
        <w:t>6个便民</w:t>
      </w:r>
      <w:r>
        <w:rPr>
          <w:rFonts w:hint="eastAsia"/>
        </w:rPr>
        <w:t>维修服务点，实现</w:t>
      </w:r>
      <w:r>
        <w:t>2年免费维修，使偏远地区群众</w:t>
      </w:r>
      <w:r>
        <w:rPr>
          <w:rFonts w:hint="eastAsia"/>
        </w:rPr>
        <w:t>享受同等文化服务。</w:t>
      </w:r>
    </w:p>
    <w:p w14:paraId="1DC35C69">
      <w:pPr>
        <w:pStyle w:val="4"/>
        <w:bidi w:val="0"/>
        <w:rPr>
          <w:rFonts w:hint="eastAsia"/>
        </w:rPr>
      </w:pPr>
      <w:r>
        <w:rPr>
          <w:rFonts w:hint="eastAsia"/>
        </w:rPr>
        <w:t>【文化遗产保护工作成效显著】</w:t>
      </w:r>
    </w:p>
    <w:p w14:paraId="4C3F2251">
      <w:pPr>
        <w:rPr>
          <w:rFonts w:hint="eastAsia"/>
        </w:rPr>
      </w:pPr>
      <w:r>
        <w:rPr>
          <w:rFonts w:hint="eastAsia"/>
        </w:rPr>
        <w:t>高度重视文化遗</w:t>
      </w:r>
      <w:r>
        <w:rPr>
          <w:rFonts w:hint="eastAsia"/>
          <w:lang w:val="en-US" w:eastAsia="zh-CN"/>
        </w:rPr>
        <w:t>产</w:t>
      </w:r>
      <w:r>
        <w:rPr>
          <w:rFonts w:hint="eastAsia"/>
        </w:rPr>
        <w:t>保护工作，顺利通过南粤雄关与古道为第七批全国重点文物保护单位；大成殿、溪头塔、罗田塔为第七批省级文物保护单位；完成南雄市已公布的</w:t>
      </w:r>
      <w:r>
        <w:t>320处不可移动文物名录的编辑印刷工作。通过多</w:t>
      </w:r>
      <w:r>
        <w:rPr>
          <w:rFonts w:hint="eastAsia"/>
        </w:rPr>
        <w:t>种形式开展非物质文化遗产保护工作：协助完成省文化厅组织的“广东非物质百集记录之南雄舞龙（香火龙）”拍摄工作；深入到南亩镇收集整理传统花灯非物质文化遗产资料，深入坪田镇等地考察非物质文化遗产项目《都统节》；成功申报民间文学《珠玑巷人南迁》为第五批省级非物质文化遗产项目。</w:t>
      </w:r>
    </w:p>
    <w:p w14:paraId="573FAD6F">
      <w:pPr>
        <w:pStyle w:val="4"/>
        <w:bidi w:val="0"/>
        <w:rPr>
          <w:rFonts w:hint="eastAsia"/>
        </w:rPr>
      </w:pPr>
      <w:r>
        <w:rPr>
          <w:rFonts w:hint="eastAsia"/>
        </w:rPr>
        <w:t>【文化市场管理监管有力】</w:t>
      </w:r>
    </w:p>
    <w:p w14:paraId="66DBCA5A">
      <w:r>
        <w:rPr>
          <w:rFonts w:hint="eastAsia"/>
        </w:rPr>
        <w:t>以创建“平安文化市场”为工作目标，大力整治和规范文化市场经营秩序。加强对出版物市场的检</w:t>
      </w:r>
      <w:r>
        <w:rPr>
          <w:rFonts w:hint="eastAsia"/>
          <w:lang w:eastAsia="zh-CN"/>
        </w:rPr>
        <w:t>查</w:t>
      </w:r>
      <w:r>
        <w:rPr>
          <w:rFonts w:hint="eastAsia"/>
        </w:rPr>
        <w:t>、巡</w:t>
      </w:r>
      <w:r>
        <w:rPr>
          <w:rFonts w:hint="eastAsia"/>
          <w:lang w:eastAsia="zh-CN"/>
        </w:rPr>
        <w:t>查</w:t>
      </w:r>
      <w:r>
        <w:rPr>
          <w:rFonts w:hint="eastAsia"/>
        </w:rPr>
        <w:t>和对娱乐场所、网吧等违规经营行为的</w:t>
      </w:r>
      <w:r>
        <w:rPr>
          <w:rFonts w:hint="eastAsia"/>
          <w:lang w:eastAsia="zh-CN"/>
        </w:rPr>
        <w:t>查</w:t>
      </w:r>
      <w:r>
        <w:rPr>
          <w:rFonts w:hint="eastAsia"/>
        </w:rPr>
        <w:t>处，开展为期</w:t>
      </w:r>
      <w:r>
        <w:t>4个月</w:t>
      </w:r>
      <w:r>
        <w:rPr>
          <w:rFonts w:hint="eastAsia"/>
        </w:rPr>
        <w:t>的文化市场安全生产大检</w:t>
      </w:r>
      <w:r>
        <w:rPr>
          <w:rFonts w:hint="eastAsia"/>
          <w:lang w:eastAsia="zh-CN"/>
        </w:rPr>
        <w:t>查</w:t>
      </w:r>
      <w:r>
        <w:rPr>
          <w:rFonts w:hint="eastAsia"/>
        </w:rPr>
        <w:t>专项行动，出动文化执法人员</w:t>
      </w:r>
      <w:r>
        <w:t>720人次，检</w:t>
      </w:r>
      <w:r>
        <w:rPr>
          <w:rFonts w:hint="eastAsia"/>
          <w:lang w:eastAsia="zh-CN"/>
        </w:rPr>
        <w:t>查</w:t>
      </w:r>
      <w:r>
        <w:t>网吧130家次，娱乐场所75</w:t>
      </w:r>
      <w:r>
        <w:rPr>
          <w:rFonts w:hint="eastAsia"/>
        </w:rPr>
        <w:t>家次，出版物市场</w:t>
      </w:r>
      <w:r>
        <w:t>151家次，印刷厂53家次。在</w:t>
      </w:r>
      <w:r>
        <w:rPr>
          <w:rFonts w:hint="eastAsia"/>
        </w:rPr>
        <w:t>举行的</w:t>
      </w:r>
      <w:r>
        <w:rPr>
          <w:rFonts w:hint="eastAsia"/>
          <w:lang w:eastAsia="zh-CN"/>
        </w:rPr>
        <w:t>查</w:t>
      </w:r>
      <w:r>
        <w:rPr>
          <w:rFonts w:hint="eastAsia"/>
        </w:rPr>
        <w:t>缴文化市场非法物品销毁现场会中，销毁违禁赌博机</w:t>
      </w:r>
      <w:r>
        <w:t>26台，电子游戏机主板32块，盗版</w:t>
      </w:r>
      <w:r>
        <w:rPr>
          <w:rFonts w:hint="eastAsia"/>
          <w:lang w:eastAsia="zh-CN"/>
        </w:rPr>
        <w:t>、</w:t>
      </w:r>
      <w:r>
        <w:rPr>
          <w:rFonts w:hint="eastAsia"/>
        </w:rPr>
        <w:t>淫秽出版物</w:t>
      </w:r>
      <w:r>
        <w:t>2835册，盗版、淫秽音像制品7356张</w:t>
      </w:r>
      <w:r>
        <w:rPr>
          <w:rFonts w:hint="eastAsia"/>
        </w:rPr>
        <w:t>（盒），非法报刊</w:t>
      </w:r>
      <w:r>
        <w:t>353份，电脑主机28套。</w:t>
      </w:r>
    </w:p>
    <w:p w14:paraId="141D865C">
      <w:pPr>
        <w:rPr>
          <w:rFonts w:hint="eastAsia"/>
        </w:rPr>
      </w:pPr>
      <w:r>
        <w:rPr>
          <w:rFonts w:hint="eastAsia"/>
        </w:rPr>
        <w:t>认真落实新闻出版管理的各项法律法规和规章制度，履行职责，做好舆论导向，促进印刷复制企业、出版物发行行业规范经营，健康发展，全面完成全市行政机关单位安装使用正版软件工作。按照围绕各个重要安全播出保障期的管理要求，局高度重视，认真部署，认真组织，认真监管，实现了</w:t>
      </w:r>
      <w:r>
        <w:t>2013年南雄市“春节”、</w:t>
      </w:r>
      <w:r>
        <w:rPr>
          <w:rFonts w:hint="eastAsia"/>
          <w:lang w:eastAsia="zh-CN"/>
        </w:rPr>
        <w:t>两会</w:t>
      </w:r>
      <w:r>
        <w:t>、国庆等重要保障</w:t>
      </w:r>
      <w:r>
        <w:rPr>
          <w:rFonts w:hint="eastAsia"/>
        </w:rPr>
        <w:t>期广播电视安全播出（传输）。</w:t>
      </w:r>
    </w:p>
    <w:p w14:paraId="476A3C98">
      <w:pPr>
        <w:pStyle w:val="3"/>
        <w:bidi w:val="0"/>
        <w:rPr>
          <w:rFonts w:hint="default"/>
          <w:lang w:val="en-US" w:eastAsia="zh-CN"/>
        </w:rPr>
      </w:pPr>
      <w:r>
        <w:rPr>
          <w:rFonts w:hint="eastAsia"/>
          <w:lang w:val="en-US" w:eastAsia="zh-CN"/>
        </w:rPr>
        <w:t>文化艺术</w:t>
      </w:r>
    </w:p>
    <w:p w14:paraId="28DBB3CF">
      <w:pPr>
        <w:pStyle w:val="4"/>
        <w:bidi w:val="0"/>
        <w:rPr>
          <w:rFonts w:hint="eastAsia"/>
        </w:rPr>
      </w:pPr>
      <w:r>
        <w:rPr>
          <w:rFonts w:hint="eastAsia"/>
        </w:rPr>
        <w:t>【南雄市文化馆】</w:t>
      </w:r>
    </w:p>
    <w:p w14:paraId="016C6A73">
      <w:pPr>
        <w:rPr>
          <w:rFonts w:hint="eastAsia"/>
        </w:rPr>
      </w:pPr>
      <w:r>
        <w:rPr>
          <w:rFonts w:hint="eastAsia"/>
        </w:rPr>
        <w:t>南雄市文化馆是股级公益性事业单位，内设文艺培训组、演出队、音乐辅导组</w:t>
      </w:r>
      <w:r>
        <w:rPr>
          <w:rFonts w:hint="eastAsia"/>
          <w:lang w:eastAsia="zh-CN"/>
        </w:rPr>
        <w:t>、</w:t>
      </w:r>
      <w:r>
        <w:rPr>
          <w:rFonts w:hint="eastAsia"/>
        </w:rPr>
        <w:t>非遗组、书法美术摄影辅导组。文化馆始终坚持“繁荣群众文化服务人民大众”的文化宗旨，参加与组织南雄市大型文艺活动，负责对外宣传南雄市珠玑文化，开展群众文化艺术活动和辅导，培训群文干部，少儿艺术幼苗，编发群文刊物，开展业余文艺创作，搜集、整理、申报、保护非物质文化遗产工作。</w:t>
      </w:r>
    </w:p>
    <w:p w14:paraId="5C5EEC04">
      <w:pPr>
        <w:pStyle w:val="4"/>
        <w:bidi w:val="0"/>
        <w:rPr>
          <w:rFonts w:hint="eastAsia"/>
          <w:lang w:eastAsia="zh-CN"/>
        </w:rPr>
      </w:pPr>
      <w:r>
        <w:rPr>
          <w:rFonts w:hint="eastAsia"/>
          <w:lang w:eastAsia="zh-CN"/>
        </w:rPr>
        <w:t>【</w:t>
      </w:r>
      <w:r>
        <w:rPr>
          <w:rFonts w:hint="eastAsia"/>
        </w:rPr>
        <w:t>紧扣时代主旋律，开展丰富多彩群众文化活动</w:t>
      </w:r>
      <w:r>
        <w:rPr>
          <w:rFonts w:hint="eastAsia"/>
          <w:lang w:eastAsia="zh-CN"/>
        </w:rPr>
        <w:t>】</w:t>
      </w:r>
    </w:p>
    <w:p w14:paraId="5697F5D3">
      <w:pPr>
        <w:rPr>
          <w:rFonts w:hint="eastAsia"/>
        </w:rPr>
      </w:pPr>
      <w:r>
        <w:rPr>
          <w:rFonts w:hint="eastAsia"/>
        </w:rPr>
        <w:t>搞好群众文化活动，丰富人民群众精神文化生活是文化馆工作中的重中之重，全馆人员在全局的统</w:t>
      </w:r>
      <w:r>
        <w:rPr>
          <w:rFonts w:hint="eastAsia"/>
          <w:lang w:val="en-US" w:eastAsia="zh-CN"/>
        </w:rPr>
        <w:t>一</w:t>
      </w:r>
      <w:r>
        <w:rPr>
          <w:rFonts w:hint="eastAsia"/>
        </w:rPr>
        <w:t>布置和领导下，大家主动工作，积极做好辅导</w:t>
      </w:r>
      <w:r>
        <w:rPr>
          <w:rFonts w:hint="eastAsia"/>
          <w:lang w:eastAsia="zh-CN"/>
        </w:rPr>
        <w:t>、</w:t>
      </w:r>
      <w:r>
        <w:rPr>
          <w:rFonts w:hint="eastAsia"/>
        </w:rPr>
        <w:t>督促、组织工作，每个同志都能够按照分工各负其职，履行自己的工作职责，相互配合，通力合作，顺利圆满地使各项文娱活动收到良好的效果。春节期间，承办由市委宣传部，文化广电新闻出版局主办的南雄市</w:t>
      </w:r>
      <w:r>
        <w:t>2013年春节广场文艺演出活动；元宵</w:t>
      </w:r>
      <w:r>
        <w:rPr>
          <w:rFonts w:hint="eastAsia"/>
        </w:rPr>
        <w:t>节协助、策划、辅导</w:t>
      </w:r>
      <w:r>
        <w:t>2013年元宵民间艺术演出工</w:t>
      </w:r>
      <w:r>
        <w:rPr>
          <w:rFonts w:hint="eastAsia"/>
        </w:rPr>
        <w:t>作；筹备、协助宣传部和文化广电新闻出版局举办唱响“中国梦”颂歌献给党南雄市喜迎建党</w:t>
      </w:r>
      <w:r>
        <w:t>92周</w:t>
      </w:r>
      <w:r>
        <w:rPr>
          <w:rFonts w:hint="eastAsia"/>
        </w:rPr>
        <w:t>年群众才艺表演；国庆期间举办“庆祝中华人民共和国成立</w:t>
      </w:r>
      <w:r>
        <w:t>64周年”群众广场文艺演出活动；协助</w:t>
      </w:r>
      <w:r>
        <w:rPr>
          <w:rFonts w:hint="eastAsia"/>
        </w:rPr>
        <w:t>省文化厅组织的“开心广场、百姓舞台”广东省文化志愿者惠民巡演下基层演出晚会的工作；组织排演南雄市创建“国优”计生专题文艺晚会，并下乡巡回演出；每月举办“开心广场、幸福雄州”群众月月秀文艺演出。</w:t>
      </w:r>
    </w:p>
    <w:p w14:paraId="6DFF03AD">
      <w:pPr>
        <w:pStyle w:val="4"/>
        <w:bidi w:val="0"/>
        <w:rPr>
          <w:rFonts w:hint="eastAsia"/>
        </w:rPr>
      </w:pPr>
      <w:r>
        <w:rPr>
          <w:rFonts w:hint="eastAsia"/>
          <w:lang w:eastAsia="zh-CN"/>
        </w:rPr>
        <w:t>【</w:t>
      </w:r>
      <w:r>
        <w:rPr>
          <w:rFonts w:hint="eastAsia"/>
        </w:rPr>
        <w:t>免费开放服务工作，丰富文化惠民工程】</w:t>
      </w:r>
    </w:p>
    <w:p w14:paraId="009ED0BC">
      <w:pPr>
        <w:rPr>
          <w:rFonts w:hint="eastAsia"/>
        </w:rPr>
      </w:pPr>
      <w:r>
        <w:rPr>
          <w:rFonts w:hint="eastAsia"/>
        </w:rPr>
        <w:t>文化馆坚持做好免费开放服务，艺术培训工作，始终高度重视丰富惠民工程，立足实际、锐意创新，积极打造和培育独具特色的南雄群众文化品牌。免费举办文化站人员培训班</w:t>
      </w:r>
      <w:r>
        <w:t>4期，举办社会文化艺术培训</w:t>
      </w:r>
      <w:r>
        <w:rPr>
          <w:rFonts w:hint="eastAsia"/>
        </w:rPr>
        <w:t>班</w:t>
      </w:r>
      <w:r>
        <w:t>4期，举办外来务工人员培训班3期，深入基层</w:t>
      </w:r>
      <w:r>
        <w:rPr>
          <w:rFonts w:hint="eastAsia"/>
        </w:rPr>
        <w:t>培训、辅导调研</w:t>
      </w:r>
      <w:r>
        <w:t>30多天。集中开展基层文化指导</w:t>
      </w:r>
      <w:r>
        <w:rPr>
          <w:rFonts w:hint="eastAsia"/>
        </w:rPr>
        <w:t>员培训班</w:t>
      </w:r>
      <w:r>
        <w:t>4期，文化馆业务干部下基层免费辅导群</w:t>
      </w:r>
      <w:r>
        <w:rPr>
          <w:rFonts w:hint="eastAsia"/>
        </w:rPr>
        <w:t>众业余文艺团体人均</w:t>
      </w:r>
      <w:r>
        <w:t>10多次。通过完善的基层文</w:t>
      </w:r>
      <w:r>
        <w:rPr>
          <w:rFonts w:hint="eastAsia"/>
        </w:rPr>
        <w:t>化服务，有效满足了群众文化需求，调动了群众自娱自乐的积极性和主动性，真正实现了公共文化免费服务的全覆盖。</w:t>
      </w:r>
    </w:p>
    <w:p w14:paraId="213016BC">
      <w:pPr>
        <w:pStyle w:val="4"/>
        <w:bidi w:val="0"/>
        <w:rPr>
          <w:rFonts w:hint="eastAsia"/>
        </w:rPr>
      </w:pPr>
      <w:r>
        <w:rPr>
          <w:rFonts w:hint="eastAsia"/>
        </w:rPr>
        <w:t>【文艺创作硕果累累】</w:t>
      </w:r>
    </w:p>
    <w:p w14:paraId="62B16478">
      <w:pPr>
        <w:rPr>
          <w:rFonts w:hint="eastAsia"/>
        </w:rPr>
      </w:pPr>
      <w:r>
        <w:rPr>
          <w:rFonts w:hint="eastAsia"/>
        </w:rPr>
        <w:t>努力做好群众文化工作的同时，文化馆精心打造文化精品的创作，在戏剧</w:t>
      </w:r>
      <w:r>
        <w:rPr>
          <w:rFonts w:hint="eastAsia"/>
          <w:lang w:eastAsia="zh-CN"/>
        </w:rPr>
        <w:t>、</w:t>
      </w:r>
      <w:r>
        <w:rPr>
          <w:rFonts w:hint="eastAsia"/>
        </w:rPr>
        <w:t>小品、舞蹈、美术、音乐等艺术门类的创作方面，取得了令人瞩目的丰硕成果，业余作者张朝花选送的小品《证明》获省二等奖，李光利选送的小品《送锦旗》获韶关市二等奖；选送作品参加广东省第十二届美术、书法、摄影联展</w:t>
      </w:r>
      <w:r>
        <w:t>7人入选展获，其</w:t>
      </w:r>
      <w:r>
        <w:rPr>
          <w:rFonts w:hint="eastAsia"/>
        </w:rPr>
        <w:t>中美术书法类</w:t>
      </w:r>
      <w:r>
        <w:t>2书法类5人；选送的书法作品参加</w:t>
      </w:r>
      <w:r>
        <w:rPr>
          <w:rFonts w:hint="eastAsia"/>
        </w:rPr>
        <w:t>广东省群众廉政书画作品展获优秀奖；在广东省群众文化论坛的征文评奖中，我馆报送的</w:t>
      </w:r>
      <w:r>
        <w:t>1篇论文入</w:t>
      </w:r>
      <w:r>
        <w:rPr>
          <w:rFonts w:hint="eastAsia"/>
        </w:rPr>
        <w:t>选论文集。</w:t>
      </w:r>
    </w:p>
    <w:p w14:paraId="6F5AA769">
      <w:pPr>
        <w:pStyle w:val="4"/>
        <w:bidi w:val="0"/>
        <w:rPr>
          <w:rFonts w:hint="eastAsia"/>
        </w:rPr>
      </w:pPr>
      <w:r>
        <w:rPr>
          <w:rFonts w:hint="eastAsia"/>
          <w:lang w:eastAsia="zh-CN"/>
        </w:rPr>
        <w:t>【</w:t>
      </w:r>
      <w:r>
        <w:rPr>
          <w:rFonts w:hint="eastAsia"/>
        </w:rPr>
        <w:t>加强非物质文化遗产保护工程】</w:t>
      </w:r>
    </w:p>
    <w:p w14:paraId="486DD659">
      <w:pPr>
        <w:rPr>
          <w:rFonts w:hint="eastAsia"/>
        </w:rPr>
      </w:pPr>
      <w:r>
        <w:rPr>
          <w:rFonts w:hint="eastAsia"/>
        </w:rPr>
        <w:t>为使非物质文化遗产得到进一步保护，文化馆认真做好抓重点</w:t>
      </w:r>
      <w:r>
        <w:rPr>
          <w:rFonts w:hint="eastAsia"/>
          <w:lang w:eastAsia="zh-CN"/>
        </w:rPr>
        <w:t>、</w:t>
      </w:r>
      <w:r>
        <w:rPr>
          <w:rFonts w:hint="eastAsia"/>
        </w:rPr>
        <w:t>强辅导。辅导人员不辞辛苦，爬山涉水下到各乡镇先后挖掘、普</w:t>
      </w:r>
      <w:r>
        <w:rPr>
          <w:rFonts w:hint="eastAsia"/>
          <w:lang w:eastAsia="zh-CN"/>
        </w:rPr>
        <w:t>查</w:t>
      </w:r>
      <w:r>
        <w:rPr>
          <w:rFonts w:hint="eastAsia"/>
        </w:rPr>
        <w:t>，调</w:t>
      </w:r>
      <w:r>
        <w:rPr>
          <w:rFonts w:hint="eastAsia"/>
          <w:lang w:eastAsia="zh-CN"/>
        </w:rPr>
        <w:t>查</w:t>
      </w:r>
      <w:r>
        <w:rPr>
          <w:rFonts w:hint="eastAsia"/>
        </w:rPr>
        <w:t>整理南雄市非物质文化遗产项目民俗“姓氏节”、民间文学《珠玑巷人南迁》材料申报第五批省级非物质文化遗产项目，其中民间文学《珠玑巷人南迁》申报成功省级非遗项目，现南雄市有国家级项目</w:t>
      </w:r>
      <w:r>
        <w:t>2项，省级项目3项，市级</w:t>
      </w:r>
      <w:r>
        <w:rPr>
          <w:rFonts w:hint="eastAsia"/>
        </w:rPr>
        <w:t>项目</w:t>
      </w:r>
      <w:r>
        <w:t>5项，县级项目11项，省级代表性传承人3</w:t>
      </w:r>
      <w:r>
        <w:rPr>
          <w:rFonts w:hint="eastAsia"/>
        </w:rPr>
        <w:t>人，市级代表性传承人</w:t>
      </w:r>
      <w:r>
        <w:t>5人。协助广东省文化厅组</w:t>
      </w:r>
      <w:r>
        <w:rPr>
          <w:rFonts w:hint="eastAsia"/>
        </w:rPr>
        <w:t>织“广东非遗百集纪录之南雄龙舞（香火龙）”拍摄工作，并圆满完成任务；复排粤北采茶戏《阿三戏公爷》，并入选广东省文化厅珍稀戏剧大典。</w:t>
      </w:r>
    </w:p>
    <w:p w14:paraId="61E7BA3A">
      <w:pPr>
        <w:pStyle w:val="3"/>
        <w:bidi w:val="0"/>
        <w:rPr>
          <w:rFonts w:hint="eastAsia"/>
          <w:lang w:val="en-US" w:eastAsia="zh-CN"/>
        </w:rPr>
      </w:pPr>
      <w:r>
        <w:rPr>
          <w:rFonts w:hint="eastAsia"/>
        </w:rPr>
        <w:t>图书馆</w:t>
      </w:r>
      <w:r>
        <w:rPr>
          <w:rFonts w:hint="eastAsia"/>
          <w:lang w:val="en-US" w:eastAsia="zh-CN"/>
        </w:rPr>
        <w:t>管理</w:t>
      </w:r>
    </w:p>
    <w:p w14:paraId="474CC887">
      <w:pPr>
        <w:pStyle w:val="4"/>
        <w:bidi w:val="0"/>
        <w:rPr>
          <w:rFonts w:hint="eastAsia"/>
        </w:rPr>
      </w:pPr>
      <w:r>
        <w:rPr>
          <w:rFonts w:hint="eastAsia"/>
          <w:lang w:eastAsia="zh-CN"/>
        </w:rPr>
        <w:t>【</w:t>
      </w:r>
      <w:r>
        <w:rPr>
          <w:rFonts w:hint="eastAsia"/>
        </w:rPr>
        <w:t>南雄市图书馆】</w:t>
      </w:r>
    </w:p>
    <w:p w14:paraId="5138ED87">
      <w:r>
        <w:rPr>
          <w:rFonts w:hint="eastAsia"/>
        </w:rPr>
        <w:t>南雄市图书馆是正股级公益类事业单位，全馆核定事业编制</w:t>
      </w:r>
      <w:r>
        <w:t>11名（其中馆长1</w:t>
      </w:r>
      <w:r>
        <w:rPr>
          <w:rFonts w:hint="eastAsia"/>
        </w:rPr>
        <w:t>名，副馆长</w:t>
      </w:r>
      <w:r>
        <w:t>2名）。至2013年底，有干部职工10</w:t>
      </w:r>
      <w:r>
        <w:rPr>
          <w:rFonts w:hint="eastAsia"/>
        </w:rPr>
        <w:t>人，其中大专学历以上</w:t>
      </w:r>
      <w:r>
        <w:t>9人，具备中级馆员职称6</w:t>
      </w:r>
      <w:r>
        <w:rPr>
          <w:rFonts w:hint="eastAsia"/>
        </w:rPr>
        <w:t>人。馆长陈丽娟，副馆长廖南城、张二妹。图书馆以“读者第一、服务至上”为宗旨，本着人性化服务的理念，坚持优质服务、便民服务、惠民服务，处处为读者着想，事事以读者为先，不断提升图书馆在读者心中的认知度和美誉度。馆藏文献</w:t>
      </w:r>
      <w:r>
        <w:t>8万余</w:t>
      </w:r>
      <w:r>
        <w:rPr>
          <w:rFonts w:hint="eastAsia"/>
        </w:rPr>
        <w:t>册，订阅报刊</w:t>
      </w:r>
      <w:r>
        <w:t>100余种。2013年，新办理图书证860余张，拥有持证读者4650余人，外借图书达8</w:t>
      </w:r>
      <w:r>
        <w:rPr>
          <w:rFonts w:hint="eastAsia"/>
        </w:rPr>
        <w:t>万册次以上，接待各类读者约</w:t>
      </w:r>
      <w:r>
        <w:t>10万人次。</w:t>
      </w:r>
    </w:p>
    <w:p w14:paraId="79889698">
      <w:pPr>
        <w:rPr>
          <w:rFonts w:hint="eastAsia"/>
        </w:rPr>
      </w:pPr>
      <w:r>
        <w:rPr>
          <w:rFonts w:hint="eastAsia"/>
        </w:rPr>
        <w:t>南雄市图书馆采用开放灵活的藏、借、阅、</w:t>
      </w:r>
      <w:r>
        <w:rPr>
          <w:rFonts w:hint="eastAsia"/>
          <w:lang w:eastAsia="zh-CN"/>
        </w:rPr>
        <w:t>查</w:t>
      </w:r>
      <w:r>
        <w:rPr>
          <w:rFonts w:hint="eastAsia"/>
        </w:rPr>
        <w:t>体的服务模式，设有图书外借室、内参地文资料室、少儿借阅室、报刊阅览室、全国文化信息资源共享工程南雄县级支中心（多媒体电子阅览室）</w:t>
      </w:r>
      <w:r>
        <w:rPr>
          <w:rFonts w:hint="eastAsia"/>
          <w:lang w:eastAsia="zh-CN"/>
        </w:rPr>
        <w:t>、</w:t>
      </w:r>
      <w:r>
        <w:rPr>
          <w:rFonts w:hint="eastAsia"/>
        </w:rPr>
        <w:t>广东流动图书馆南雄分馆等服务窗口。所有服务窗口实行全年免费开放、开架自助借阅、电话续借图书、免费上网、取消办证工本费等便民服务。创新图书馆导读和服务的方式，利用网络开展图书推介和宣传，定期推荐好书、新碟以及专题书目。向读者推荐新书并做好预借、续借、导读工作；电子阅览室全年免费向读者开放，方便读者阅读电子图书，</w:t>
      </w:r>
      <w:r>
        <w:rPr>
          <w:rFonts w:hint="eastAsia"/>
          <w:lang w:eastAsia="zh-CN"/>
        </w:rPr>
        <w:t>查</w:t>
      </w:r>
      <w:r>
        <w:rPr>
          <w:rFonts w:hint="eastAsia"/>
        </w:rPr>
        <w:t>阅资料等，努力建设一个集传统文献资源和现代网络资源为一体的现代化图书馆。为广大人民群众提供多渠道、多层次的读书服务，推动学习型社会的建设，是知识信息的集散地，市民终身教育的学校。</w:t>
      </w:r>
    </w:p>
    <w:p w14:paraId="4C4839B3">
      <w:pPr>
        <w:rPr>
          <w:rFonts w:hint="eastAsia"/>
        </w:rPr>
      </w:pPr>
      <w:r>
        <w:t>2013年，以优异成绩通过了全国公共图书馆第五</w:t>
      </w:r>
      <w:r>
        <w:rPr>
          <w:rFonts w:hint="eastAsia"/>
        </w:rPr>
        <w:t>次评估定级评估工作，被评为“国家二级图书馆”。</w:t>
      </w:r>
    </w:p>
    <w:p w14:paraId="6DF3E577">
      <w:pPr>
        <w:rPr>
          <w:rFonts w:hint="eastAsia"/>
        </w:rPr>
      </w:pPr>
      <w:r>
        <w:t>8月，为积极配合市委、市政府和市文广新局</w:t>
      </w:r>
      <w:r>
        <w:rPr>
          <w:rFonts w:hint="eastAsia"/>
        </w:rPr>
        <w:t>关于建设珠影文化广场项目，重建图书馆中心工作的需要，图书馆搬迁到一小校园内继续开展读者服务工作。由于场馆所限，目前临时馆舍仅省流动图书馆南雄分馆、报刊阅览室继续向社会开展免费服务工作。</w:t>
      </w:r>
    </w:p>
    <w:p w14:paraId="155385E9">
      <w:pPr>
        <w:pStyle w:val="4"/>
        <w:bidi w:val="0"/>
        <w:rPr>
          <w:rFonts w:hint="eastAsia"/>
        </w:rPr>
      </w:pPr>
      <w:r>
        <w:rPr>
          <w:rFonts w:hint="eastAsia"/>
        </w:rPr>
        <w:t>【举行迎新春灯谜竞猜惠民活动】</w:t>
      </w:r>
    </w:p>
    <w:p w14:paraId="72049758">
      <w:pPr>
        <w:rPr>
          <w:rFonts w:hint="eastAsia"/>
        </w:rPr>
      </w:pPr>
      <w:r>
        <w:t>2月13日（正</w:t>
      </w:r>
      <w:r>
        <w:rPr>
          <w:rFonts w:hint="eastAsia"/>
        </w:rPr>
        <w:t>月初四）下午，由市文广新局主办、图书馆承办的“金蛇贺岁，欢乐吉祥”</w:t>
      </w:r>
      <w:r>
        <w:t>2013年新春谜语有奖竞猜</w:t>
      </w:r>
      <w:r>
        <w:rPr>
          <w:rFonts w:hint="eastAsia"/>
        </w:rPr>
        <w:t>活动暨流动书香车送祝福、送文化进社区活动在三影塔广场举行。现场提供</w:t>
      </w:r>
      <w:r>
        <w:t>380条谜语和380份奖</w:t>
      </w:r>
      <w:r>
        <w:rPr>
          <w:rFonts w:hint="eastAsia"/>
        </w:rPr>
        <w:t>品，场面活跃热烈，提升了市民文化品味，深受群众的欢迎和好评。</w:t>
      </w:r>
    </w:p>
    <w:p w14:paraId="7C4982EE">
      <w:pPr>
        <w:pStyle w:val="4"/>
        <w:bidi w:val="0"/>
        <w:rPr>
          <w:rFonts w:hint="eastAsia"/>
        </w:rPr>
      </w:pPr>
      <w:r>
        <w:rPr>
          <w:rFonts w:hint="eastAsia"/>
        </w:rPr>
        <w:t>【世界读书日，服务宣传周活动丰富】</w:t>
      </w:r>
    </w:p>
    <w:p w14:paraId="6F65CDB1">
      <w:pPr>
        <w:rPr>
          <w:rFonts w:hint="eastAsia"/>
        </w:rPr>
      </w:pPr>
      <w:r>
        <w:t>4月23日</w:t>
      </w:r>
      <w:r>
        <w:rPr>
          <w:rFonts w:hint="eastAsia"/>
        </w:rPr>
        <w:t>是第十八个“世界读书日”，为迎接“世界读书日”的到来，引导和鼓励市民，尤其是中小学生养成多读书、读好书的良好习惯，使人们在读书中陶冶情操，健全人格，发挥公共图书馆宣传教育的社会职能，图书馆于</w:t>
      </w:r>
      <w:r>
        <w:t>4月21日在一楼展览大厅举办</w:t>
      </w:r>
      <w:r>
        <w:rPr>
          <w:rFonts w:hint="eastAsia"/>
        </w:rPr>
        <w:t>“点燃读书激情、共建书香南雄”有奖猜谜活动，此外还有现场办理书证、发放农技图书等活动内容，吸引众多读者参加。</w:t>
      </w:r>
    </w:p>
    <w:p w14:paraId="03DB4C90">
      <w:pPr>
        <w:pStyle w:val="4"/>
        <w:bidi w:val="0"/>
        <w:rPr>
          <w:rFonts w:hint="eastAsia"/>
        </w:rPr>
      </w:pPr>
      <w:r>
        <w:rPr>
          <w:rFonts w:hint="eastAsia"/>
        </w:rPr>
        <w:t>【红色电影展播，丰富群众文娱生活】</w:t>
      </w:r>
    </w:p>
    <w:p w14:paraId="089DEA4B">
      <w:pPr>
        <w:rPr>
          <w:rFonts w:hint="eastAsia"/>
        </w:rPr>
      </w:pPr>
      <w:r>
        <w:rPr>
          <w:rFonts w:hint="eastAsia"/>
        </w:rPr>
        <w:t>春节期间，举办春节系列读书活动与利用文化信息资源系统开展红色电影展播，丰富读书形式。“图书馆服务</w:t>
      </w:r>
      <w:r>
        <w:rPr>
          <w:rFonts w:hint="eastAsia"/>
          <w:lang w:eastAsia="zh-CN"/>
        </w:rPr>
        <w:t>宣</w:t>
      </w:r>
      <w:r>
        <w:rPr>
          <w:rFonts w:hint="eastAsia"/>
        </w:rPr>
        <w:t>传周”，共享支中心每周日下午</w:t>
      </w:r>
      <w:r>
        <w:t>3：00进行廉政电</w:t>
      </w:r>
      <w:r>
        <w:rPr>
          <w:rFonts w:hint="eastAsia"/>
        </w:rPr>
        <w:t>影展播，吸引众多读者，尤其是学生、家长前来观看。</w:t>
      </w:r>
      <w:r>
        <w:t>5月18日，为配合市文广新局中心工作，在共</w:t>
      </w:r>
      <w:r>
        <w:rPr>
          <w:rFonts w:hint="eastAsia"/>
        </w:rPr>
        <w:t>享支中心播放“国际博物馆日”宣传电影、讲座</w:t>
      </w:r>
      <w:r>
        <w:t>3</w:t>
      </w:r>
      <w:r>
        <w:rPr>
          <w:rFonts w:hint="eastAsia"/>
        </w:rPr>
        <w:t>场次。</w:t>
      </w:r>
    </w:p>
    <w:p w14:paraId="64DC793D">
      <w:pPr>
        <w:pStyle w:val="4"/>
        <w:bidi w:val="0"/>
        <w:rPr>
          <w:rFonts w:hint="eastAsia"/>
        </w:rPr>
      </w:pPr>
      <w:r>
        <w:rPr>
          <w:rFonts w:hint="eastAsia"/>
        </w:rPr>
        <w:t>【送书下乡，设立“关爱留守儿童图书室”】</w:t>
      </w:r>
    </w:p>
    <w:p w14:paraId="082CCFD9">
      <w:pPr>
        <w:rPr>
          <w:rFonts w:hint="eastAsia"/>
        </w:rPr>
      </w:pPr>
      <w:r>
        <w:rPr>
          <w:rFonts w:hint="eastAsia"/>
        </w:rPr>
        <w:t>关爱留守儿童是图书馆</w:t>
      </w:r>
      <w:r>
        <w:t>2013年</w:t>
      </w:r>
      <w:r>
        <w:rPr>
          <w:rFonts w:hint="eastAsia" w:ascii="宋体" w:hAnsi="宋体" w:cs="宋体"/>
        </w:rPr>
        <w:t>“</w:t>
      </w:r>
      <w:r>
        <w:t>图书馆服务宣传周</w:t>
      </w:r>
      <w:r>
        <w:rPr>
          <w:rFonts w:hint="eastAsia" w:ascii="宋体" w:hAnsi="宋体" w:cs="宋体"/>
        </w:rPr>
        <w:t>”</w:t>
      </w:r>
      <w:r>
        <w:rPr>
          <w:rFonts w:hint="eastAsia"/>
        </w:rPr>
        <w:t>的主要活动之一，目的是让更多山里留守孩子通过阅读能看到山外大千世界，真正实现“同在一片蓝天下，城乡共享读书乐”。</w:t>
      </w:r>
      <w:r>
        <w:t>6月14日，图书馆在乌</w:t>
      </w:r>
      <w:r>
        <w:rPr>
          <w:rFonts w:hint="eastAsia"/>
        </w:rPr>
        <w:t>迳镇孔塘小学设立南雄市第一间“关爱留守儿童图书室”，为孔塘小学捐赠</w:t>
      </w:r>
      <w:r>
        <w:t>283册价值8千余元的图</w:t>
      </w:r>
      <w:r>
        <w:rPr>
          <w:rFonts w:hint="eastAsia"/>
        </w:rPr>
        <w:t>书。</w:t>
      </w:r>
      <w:r>
        <w:t>11月9日，图书馆向水口镇沙头村捐赠780册</w:t>
      </w:r>
      <w:r>
        <w:rPr>
          <w:rFonts w:hint="eastAsia"/>
        </w:rPr>
        <w:t>图书，设立南雄市第二间“关爱留守儿童图书室”</w:t>
      </w:r>
      <w:r>
        <w:rPr>
          <w:rFonts w:hint="eastAsia"/>
          <w:lang w:eastAsia="zh-CN"/>
        </w:rPr>
        <w:t>。</w:t>
      </w:r>
      <w:r>
        <w:rPr>
          <w:rFonts w:hint="eastAsia"/>
        </w:rPr>
        <w:t>该图书室的设立，为留守儿童搭建了一个健康成长的社会平台。</w:t>
      </w:r>
      <w:r>
        <w:t>12月20日，图书馆向界址镇大坊金</w:t>
      </w:r>
      <w:r>
        <w:rPr>
          <w:rFonts w:hint="eastAsia"/>
        </w:rPr>
        <w:t>城希望小学捐赠</w:t>
      </w:r>
      <w:r>
        <w:t>530册图书，设立南雄市第三间</w:t>
      </w:r>
      <w:r>
        <w:rPr>
          <w:rFonts w:hint="eastAsia"/>
        </w:rPr>
        <w:t>“关爱留守儿童”图书室。助力边贸地区山村小学，使学生们的第二课堂更活跃，同时也让留守儿童的父母少一份担心，多一份安心，也让更多的山村孩子爱上学习、爱上阅读、爱上图书馆这一知识殿堂。</w:t>
      </w:r>
    </w:p>
    <w:p w14:paraId="3A6617C4">
      <w:pPr>
        <w:pStyle w:val="4"/>
        <w:bidi w:val="0"/>
        <w:rPr>
          <w:rFonts w:hint="eastAsia"/>
        </w:rPr>
      </w:pPr>
      <w:r>
        <w:rPr>
          <w:rFonts w:hint="eastAsia"/>
        </w:rPr>
        <w:t>【评估工作，再创佳绩】</w:t>
      </w:r>
    </w:p>
    <w:p w14:paraId="23D486C2">
      <w:pPr>
        <w:rPr>
          <w:rFonts w:hint="eastAsia"/>
          <w:lang w:eastAsia="zh-CN"/>
        </w:rPr>
      </w:pPr>
      <w:r>
        <w:t>7月4日，全国公共图</w:t>
      </w:r>
      <w:r>
        <w:rPr>
          <w:rFonts w:hint="eastAsia"/>
        </w:rPr>
        <w:t>书馆第五次评估定级评估专家组对图书馆进行实地考核，通过审阅纸质汇报材料、免费开放情况调</w:t>
      </w:r>
      <w:r>
        <w:rPr>
          <w:rFonts w:hint="eastAsia"/>
          <w:lang w:eastAsia="zh-CN"/>
        </w:rPr>
        <w:t>查</w:t>
      </w:r>
      <w:r>
        <w:rPr>
          <w:rFonts w:hint="eastAsia"/>
        </w:rPr>
        <w:t>、图书抽检、古籍保护、读者服务工作等各环节的严格检</w:t>
      </w:r>
      <w:r>
        <w:rPr>
          <w:rFonts w:hint="eastAsia"/>
          <w:lang w:eastAsia="zh-CN"/>
        </w:rPr>
        <w:t>查</w:t>
      </w:r>
      <w:r>
        <w:rPr>
          <w:rFonts w:hint="eastAsia"/>
        </w:rPr>
        <w:t>，最后对图书馆各项工作给予了高度评价和充分肯定，并提出有关意见和建议。最终，图书馆以优异成绩通过全国公共图书馆第五次评估定级评估工作，被评为“国家二级图书馆”。这是对当地各级政府重视公共图书馆工作、对图书馆服务工作给予的一次高度肯定</w:t>
      </w:r>
      <w:r>
        <w:rPr>
          <w:rFonts w:hint="eastAsia"/>
          <w:lang w:eastAsia="zh-CN"/>
        </w:rPr>
        <w:t>。</w:t>
      </w:r>
    </w:p>
    <w:p w14:paraId="36409DBD">
      <w:pPr>
        <w:pStyle w:val="4"/>
        <w:bidi w:val="0"/>
        <w:rPr>
          <w:rFonts w:hint="eastAsia"/>
        </w:rPr>
      </w:pPr>
      <w:r>
        <w:rPr>
          <w:rFonts w:hint="eastAsia"/>
        </w:rPr>
        <w:t>【临时馆舍为读者继续</w:t>
      </w:r>
      <w:r>
        <w:rPr>
          <w:rFonts w:hint="eastAsia"/>
          <w:lang w:val="en-US" w:eastAsia="zh-CN"/>
        </w:rPr>
        <w:t>免</w:t>
      </w:r>
      <w:r>
        <w:rPr>
          <w:rFonts w:hint="eastAsia"/>
        </w:rPr>
        <w:t>费开放服务】</w:t>
      </w:r>
    </w:p>
    <w:p w14:paraId="55FCD616">
      <w:pPr>
        <w:rPr>
          <w:rFonts w:hint="eastAsia"/>
        </w:rPr>
      </w:pPr>
      <w:r>
        <w:t>8月，为</w:t>
      </w:r>
      <w:r>
        <w:rPr>
          <w:rFonts w:hint="eastAsia"/>
        </w:rPr>
        <w:t>积极配合市委、市政府和市文广新局关于建设珠影文化广场项目，重建图书馆中心工作的需要，图书馆搬迁到一小校园内继续开展读者服务工作。图书馆全体人员放弃休息时间，克服时间紧、任务重</w:t>
      </w:r>
      <w:r>
        <w:rPr>
          <w:rFonts w:hint="eastAsia"/>
          <w:lang w:eastAsia="zh-CN"/>
        </w:rPr>
        <w:t>、</w:t>
      </w:r>
      <w:r>
        <w:rPr>
          <w:rFonts w:hint="eastAsia"/>
        </w:rPr>
        <w:t>人员少等困难，顺利完成</w:t>
      </w:r>
      <w:r>
        <w:t>10万余册图书、期刊及</w:t>
      </w:r>
      <w:r>
        <w:rPr>
          <w:rFonts w:hint="eastAsia"/>
        </w:rPr>
        <w:t>大批书架等物件的打包及搬迁任务，并完成临时馆舍的宽带网络布置，开展临时馆舍的正常业务工作。为读者营造了整洁的读书环境，赢得读者和领导的好评。但由于场馆所限，目前临时馆舍仅省流动图书馆南雄分馆、报刊阅览室继续向社会开展免费服务工作。</w:t>
      </w:r>
    </w:p>
    <w:p w14:paraId="0FA6DDD6">
      <w:pPr>
        <w:pStyle w:val="3"/>
        <w:bidi w:val="0"/>
        <w:rPr>
          <w:rFonts w:hint="default"/>
          <w:lang w:val="en-US" w:eastAsia="zh-CN"/>
        </w:rPr>
      </w:pPr>
      <w:r>
        <w:rPr>
          <w:rFonts w:hint="eastAsia"/>
          <w:lang w:val="en-US" w:eastAsia="zh-CN"/>
        </w:rPr>
        <w:t>文物古迹</w:t>
      </w:r>
    </w:p>
    <w:p w14:paraId="38ACA5A9">
      <w:pPr>
        <w:pStyle w:val="4"/>
        <w:bidi w:val="0"/>
        <w:rPr>
          <w:rFonts w:hint="eastAsia"/>
        </w:rPr>
      </w:pPr>
      <w:r>
        <w:rPr>
          <w:rFonts w:hint="eastAsia"/>
        </w:rPr>
        <w:t>【南雄市博物馆】</w:t>
      </w:r>
    </w:p>
    <w:p w14:paraId="5BFB97F2">
      <w:r>
        <w:rPr>
          <w:rFonts w:hint="eastAsia"/>
        </w:rPr>
        <w:t>南雄博物馆</w:t>
      </w:r>
      <w:r>
        <w:t>2013年底有干部职</w:t>
      </w:r>
      <w:r>
        <w:rPr>
          <w:rFonts w:hint="eastAsia"/>
        </w:rPr>
        <w:t>工</w:t>
      </w:r>
      <w:r>
        <w:t>10人，临时工2人。馆长庄子圣，副馆长李德</w:t>
      </w:r>
      <w:r>
        <w:rPr>
          <w:rFonts w:hint="eastAsia"/>
        </w:rPr>
        <w:t>炎、杨志丽。馆内设有南雄革命历史陈列、古生物化石展览、历史文物陈列</w:t>
      </w:r>
      <w:r>
        <w:t>3个基本陈列厅。展出大</w:t>
      </w:r>
      <w:r>
        <w:rPr>
          <w:rFonts w:hint="eastAsia"/>
        </w:rPr>
        <w:t>量实物、图片、模型、复制品及文字资料。馆藏文物有</w:t>
      </w:r>
      <w:r>
        <w:t>5482件，其中一级文物5件，二级文物15件、</w:t>
      </w:r>
      <w:r>
        <w:rPr>
          <w:rFonts w:hint="eastAsia"/>
        </w:rPr>
        <w:t>三级文物</w:t>
      </w:r>
      <w:r>
        <w:t>125件，已登记的其它文物5337件。</w:t>
      </w:r>
    </w:p>
    <w:p w14:paraId="49FE5A02">
      <w:pPr>
        <w:rPr>
          <w:rFonts w:hint="eastAsia"/>
        </w:rPr>
      </w:pPr>
      <w:r>
        <w:rPr>
          <w:rFonts w:hint="eastAsia"/>
        </w:rPr>
        <w:t>南雄市博物馆是韶关市爱国主义教育基地，博物馆还负责管理全国重点文物保护单位三影塔，省级文物保护单位广州会馆、正南门楼、珠玑石塔</w:t>
      </w:r>
      <w:r>
        <w:rPr>
          <w:rFonts w:hint="eastAsia"/>
          <w:lang w:eastAsia="zh-CN"/>
        </w:rPr>
        <w:t>、</w:t>
      </w:r>
      <w:r>
        <w:rPr>
          <w:rFonts w:hint="eastAsia"/>
        </w:rPr>
        <w:t>钟鼓岩摩崖石刻、瑶坑广东省委旧址等省级文物保护单位。</w:t>
      </w:r>
    </w:p>
    <w:p w14:paraId="6A37A58F">
      <w:pPr>
        <w:pStyle w:val="4"/>
        <w:bidi w:val="0"/>
        <w:rPr>
          <w:rFonts w:hint="eastAsia"/>
        </w:rPr>
      </w:pPr>
      <w:r>
        <w:rPr>
          <w:rFonts w:hint="eastAsia"/>
          <w:lang w:eastAsia="zh-CN"/>
        </w:rPr>
        <w:t>【</w:t>
      </w:r>
      <w:r>
        <w:rPr>
          <w:rFonts w:hint="eastAsia"/>
        </w:rPr>
        <w:t>文物维修、保护工作】</w:t>
      </w:r>
    </w:p>
    <w:p w14:paraId="1C658C23">
      <w:pPr>
        <w:rPr>
          <w:rFonts w:hint="eastAsia"/>
        </w:rPr>
      </w:pPr>
      <w:r>
        <w:t>2月，完成上嵩花楼维</w:t>
      </w:r>
      <w:r>
        <w:rPr>
          <w:rFonts w:hint="eastAsia"/>
        </w:rPr>
        <w:t>修工程的立项工作和督促工程队进场。博物馆工作人员全程监督工程质量和进度，至</w:t>
      </w:r>
      <w:r>
        <w:t>6月底完成维修</w:t>
      </w:r>
      <w:r>
        <w:rPr>
          <w:rFonts w:hint="eastAsia"/>
        </w:rPr>
        <w:t>工程。</w:t>
      </w:r>
    </w:p>
    <w:p w14:paraId="5182AC20">
      <w:pPr>
        <w:rPr>
          <w:rFonts w:hint="eastAsia"/>
        </w:rPr>
      </w:pPr>
      <w:r>
        <w:t>6月底，完成新揭取的一批红军标语和“文</w:t>
      </w:r>
      <w:r>
        <w:rPr>
          <w:rFonts w:hint="eastAsia"/>
        </w:rPr>
        <w:t>革”标语的室内整理和装框工作。</w:t>
      </w:r>
    </w:p>
    <w:p w14:paraId="108C386B">
      <w:pPr>
        <w:rPr>
          <w:rFonts w:hint="eastAsia"/>
        </w:rPr>
      </w:pPr>
      <w:r>
        <w:t>9月19日，由广东省文物局组成的专家组对南</w:t>
      </w:r>
      <w:r>
        <w:rPr>
          <w:rFonts w:hint="eastAsia"/>
        </w:rPr>
        <w:t>雄府学宫大成殿、回龙寺塔、里东戏台和新龙塔的文物修缮竣工进行现场验收，大成殿等四个文物点的修缮工程验收合格。</w:t>
      </w:r>
    </w:p>
    <w:p w14:paraId="20C46A9D">
      <w:pPr>
        <w:rPr>
          <w:rFonts w:hint="eastAsia"/>
        </w:rPr>
      </w:pPr>
      <w:r>
        <w:t>10月26日，由广东省文物考古研究所、韶关</w:t>
      </w:r>
      <w:r>
        <w:rPr>
          <w:rFonts w:hint="eastAsia"/>
        </w:rPr>
        <w:t>市博物馆和南雄市博物馆对雄州街道黎口村委会炮台岭古陶器堆积物进行考古调</w:t>
      </w:r>
      <w:r>
        <w:rPr>
          <w:rFonts w:hint="eastAsia"/>
          <w:lang w:eastAsia="zh-CN"/>
        </w:rPr>
        <w:t>查</w:t>
      </w:r>
      <w:r>
        <w:rPr>
          <w:rFonts w:hint="eastAsia"/>
        </w:rPr>
        <w:t>和发掘工作，并采集了一批陶器标本。</w:t>
      </w:r>
    </w:p>
    <w:p w14:paraId="4D591362">
      <w:r>
        <w:t>11月，督促完成江头镇小竹塔的维修工作。</w:t>
      </w:r>
    </w:p>
    <w:p w14:paraId="2ABBF7AA">
      <w:pPr>
        <w:pStyle w:val="4"/>
        <w:bidi w:val="0"/>
        <w:rPr>
          <w:rFonts w:hint="eastAsia"/>
        </w:rPr>
      </w:pPr>
      <w:r>
        <w:rPr>
          <w:rFonts w:hint="eastAsia"/>
          <w:lang w:eastAsia="zh-CN"/>
        </w:rPr>
        <w:t>【</w:t>
      </w:r>
      <w:r>
        <w:rPr>
          <w:rFonts w:hint="eastAsia"/>
        </w:rPr>
        <w:t>博物馆阵地建设】</w:t>
      </w:r>
    </w:p>
    <w:p w14:paraId="78D0B264">
      <w:pPr>
        <w:rPr>
          <w:rFonts w:hint="eastAsia"/>
        </w:rPr>
      </w:pPr>
      <w:r>
        <w:t>4月，博物馆大门及大堂装修</w:t>
      </w:r>
      <w:r>
        <w:rPr>
          <w:rFonts w:hint="eastAsia"/>
        </w:rPr>
        <w:t>提升工程开工。主要为新建馆仿古大门及一楼大堂的提升装修，至</w:t>
      </w:r>
      <w:r>
        <w:t>9月底装修顺利完成。这次装修不但博</w:t>
      </w:r>
      <w:r>
        <w:rPr>
          <w:rFonts w:hint="eastAsia"/>
        </w:rPr>
        <w:t>物馆阵地发生新的变化，也加强馆的安全保障，更好地为广大市民提供良好的公共文化服务。</w:t>
      </w:r>
    </w:p>
    <w:p w14:paraId="77C8AF5E">
      <w:r>
        <w:t>5月11日博物馆评估定级测评专家组赴南雄，</w:t>
      </w:r>
      <w:r>
        <w:rPr>
          <w:rFonts w:hint="eastAsia"/>
        </w:rPr>
        <w:t>对博物馆进行实地评估定级。博物馆根据《博物馆评估标准》及评分细则计分表，在时间紧，任务重的情况下，加班加点，精心准备大量材料，</w:t>
      </w:r>
      <w:r>
        <w:t>10月18日博物馆成为广东省第二批达标三级博物馆。</w:t>
      </w:r>
    </w:p>
    <w:p w14:paraId="2CE5398A">
      <w:pPr>
        <w:rPr>
          <w:rFonts w:hint="eastAsia"/>
        </w:rPr>
      </w:pPr>
      <w:r>
        <w:rPr>
          <w:rFonts w:hint="eastAsia"/>
        </w:rPr>
        <w:t>完成南雄市不可移动文物名录的编辑工作，编录南雄市</w:t>
      </w:r>
      <w:r>
        <w:t>320处不可移动文物的文字和图片，使名</w:t>
      </w:r>
      <w:r>
        <w:rPr>
          <w:rFonts w:hint="eastAsia"/>
        </w:rPr>
        <w:t>录图文并茂。</w:t>
      </w:r>
    </w:p>
    <w:p w14:paraId="140987DF">
      <w:pPr>
        <w:rPr>
          <w:rFonts w:hint="eastAsia"/>
        </w:rPr>
      </w:pPr>
      <w:r>
        <w:rPr>
          <w:rFonts w:hint="eastAsia"/>
        </w:rPr>
        <w:t>协助并督促完成博物馆古生物展厅的布展设计方案。</w:t>
      </w:r>
    </w:p>
    <w:p w14:paraId="3642218C">
      <w:pPr>
        <w:pStyle w:val="4"/>
        <w:bidi w:val="0"/>
        <w:rPr>
          <w:rFonts w:hint="eastAsia"/>
        </w:rPr>
      </w:pPr>
      <w:r>
        <w:rPr>
          <w:rFonts w:hint="eastAsia"/>
        </w:rPr>
        <w:t>【举办各种展览】</w:t>
      </w:r>
    </w:p>
    <w:p w14:paraId="6BE35CD3">
      <w:pPr>
        <w:rPr>
          <w:rFonts w:hint="eastAsia"/>
        </w:rPr>
      </w:pPr>
      <w:r>
        <w:t>1月1日至今，“南雄经济成果</w:t>
      </w:r>
      <w:r>
        <w:rPr>
          <w:rFonts w:hint="eastAsia"/>
        </w:rPr>
        <w:t>展”在我馆展出。</w:t>
      </w:r>
    </w:p>
    <w:p w14:paraId="1021A1F8">
      <w:r>
        <w:t>4月，与广西玉林市创奇展览服务有限公司联</w:t>
      </w:r>
      <w:r>
        <w:rPr>
          <w:rFonts w:hint="eastAsia"/>
        </w:rPr>
        <w:t>办“海洋公园展”。主要展出海洋生物标本和海洋科技知识，参观者踊跃，观众人数达</w:t>
      </w:r>
      <w:r>
        <w:t>5000多人。</w:t>
      </w:r>
    </w:p>
    <w:p w14:paraId="589C3C6A">
      <w:pPr>
        <w:rPr>
          <w:rFonts w:hint="eastAsia"/>
        </w:rPr>
      </w:pPr>
      <w:r>
        <w:t>5月，与市书法协会、市旅游局等单位联合举</w:t>
      </w:r>
      <w:r>
        <w:rPr>
          <w:rFonts w:hint="eastAsia"/>
        </w:rPr>
        <w:t>办“中国旅游日”书法作品展。展出作品</w:t>
      </w:r>
      <w:r>
        <w:t>60多幅，</w:t>
      </w:r>
      <w:r>
        <w:rPr>
          <w:rFonts w:hint="eastAsia"/>
        </w:rPr>
        <w:t>创作水平较高，受到书法爱好者和游客的好评。</w:t>
      </w:r>
    </w:p>
    <w:p w14:paraId="6C3B76B2">
      <w:r>
        <w:t>9月24日—10月7日，由南雄市文学艺术界</w:t>
      </w:r>
      <w:r>
        <w:rPr>
          <w:rFonts w:hint="eastAsia"/>
        </w:rPr>
        <w:t>联合会主办，博物馆等单位（部门）协办的“盛世赏雅石，喜迎十八大”南雄市首届粤、赣、湘“红三角”赏石文化博览会在博物馆一、二楼展厅举行。该博览会展出三地（韶关、赣州、郴州）奇石爱好者收藏的全国不同石种共计</w:t>
      </w:r>
      <w:r>
        <w:t>500多件藏品，参</w:t>
      </w:r>
      <w:r>
        <w:rPr>
          <w:rFonts w:hint="eastAsia"/>
        </w:rPr>
        <w:t>观人数约</w:t>
      </w:r>
      <w:r>
        <w:t>8000左右。</w:t>
      </w:r>
    </w:p>
    <w:p w14:paraId="402E08EA">
      <w:r>
        <w:t>2013年博物馆接待观众7.2万人次，其中中小学</w:t>
      </w:r>
      <w:r>
        <w:rPr>
          <w:rFonts w:hint="eastAsia"/>
        </w:rPr>
        <w:t>生等未成年人达到</w:t>
      </w:r>
      <w:r>
        <w:t>4万多人次，发挥了博物馆爱国主</w:t>
      </w:r>
      <w:r>
        <w:rPr>
          <w:rFonts w:hint="eastAsia"/>
        </w:rPr>
        <w:t>义教育基地的作用。同时，博物馆认真负责完成瑶坑省委旧址的讲解任务，年接待人次达</w:t>
      </w:r>
      <w:r>
        <w:t>2万人次。</w:t>
      </w:r>
    </w:p>
    <w:p w14:paraId="48D9B94F">
      <w:pPr>
        <w:jc w:val="right"/>
        <w:rPr>
          <w:rFonts w:hint="eastAsia"/>
          <w:b/>
          <w:bCs/>
        </w:rPr>
      </w:pPr>
      <w:r>
        <w:rPr>
          <w:rFonts w:hint="eastAsia"/>
          <w:b/>
          <w:bCs/>
        </w:rPr>
        <w:t>（廖</w:t>
      </w:r>
      <w:r>
        <w:rPr>
          <w:rFonts w:hint="eastAsia"/>
          <w:b/>
          <w:bCs/>
          <w:lang w:val="en-US" w:eastAsia="zh-CN"/>
        </w:rPr>
        <w:t xml:space="preserve">  </w:t>
      </w:r>
      <w:r>
        <w:rPr>
          <w:rFonts w:hint="eastAsia"/>
          <w:b/>
          <w:bCs/>
        </w:rPr>
        <w:t>莎）</w:t>
      </w:r>
    </w:p>
    <w:p w14:paraId="10C7EC89">
      <w:pPr>
        <w:pStyle w:val="10"/>
        <w:bidi w:val="0"/>
        <w:rPr>
          <w:b/>
          <w:bCs/>
        </w:rPr>
      </w:pPr>
      <w:r>
        <w:rPr>
          <w:rFonts w:hint="eastAsia"/>
          <w:b/>
          <w:bCs/>
        </w:rPr>
        <w:t>附：</w:t>
      </w:r>
      <w:r>
        <w:rPr>
          <w:b/>
          <w:bCs/>
        </w:rPr>
        <w:t>2013年市文广新局领导班子成员名单</w:t>
      </w:r>
    </w:p>
    <w:p w14:paraId="0795714C">
      <w:pPr>
        <w:pStyle w:val="10"/>
        <w:bidi w:val="0"/>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肖丽琼</w:t>
      </w:r>
    </w:p>
    <w:p w14:paraId="180F2280">
      <w:pPr>
        <w:pStyle w:val="10"/>
        <w:bidi w:val="0"/>
        <w:rPr>
          <w:rFonts w:hint="eastAsia"/>
        </w:rPr>
      </w:pPr>
      <w:r>
        <w:rPr>
          <w:rFonts w:hint="eastAsia"/>
          <w:b/>
          <w:bCs/>
        </w:rPr>
        <w:t>副</w:t>
      </w:r>
      <w:r>
        <w:rPr>
          <w:rFonts w:hint="eastAsia"/>
          <w:b/>
          <w:bCs/>
          <w:lang w:val="en-US" w:eastAsia="zh-CN"/>
        </w:rPr>
        <w:t xml:space="preserve"> </w:t>
      </w:r>
      <w:r>
        <w:rPr>
          <w:rFonts w:hint="eastAsia"/>
          <w:b/>
          <w:bCs/>
        </w:rPr>
        <w:t>局</w:t>
      </w:r>
      <w:r>
        <w:rPr>
          <w:rFonts w:hint="eastAsia"/>
          <w:b/>
          <w:bCs/>
          <w:lang w:val="en-US" w:eastAsia="zh-CN"/>
        </w:rPr>
        <w:t xml:space="preserve"> </w:t>
      </w:r>
      <w:r>
        <w:rPr>
          <w:rFonts w:hint="eastAsia"/>
          <w:b/>
          <w:bCs/>
        </w:rPr>
        <w:t>长：</w:t>
      </w:r>
      <w:r>
        <w:rPr>
          <w:rFonts w:hint="eastAsia"/>
        </w:rPr>
        <w:t>沈青松</w:t>
      </w:r>
      <w:r>
        <w:rPr>
          <w:rFonts w:hint="eastAsia"/>
          <w:lang w:val="en-US" w:eastAsia="zh-CN"/>
        </w:rPr>
        <w:t xml:space="preserve">   </w:t>
      </w:r>
      <w:r>
        <w:rPr>
          <w:rFonts w:hint="eastAsia"/>
        </w:rPr>
        <w:t>曾昭雄</w:t>
      </w:r>
      <w:r>
        <w:rPr>
          <w:rFonts w:hint="eastAsia"/>
          <w:lang w:val="en-US" w:eastAsia="zh-CN"/>
        </w:rPr>
        <w:t xml:space="preserve">   </w:t>
      </w:r>
      <w:r>
        <w:rPr>
          <w:rFonts w:hint="eastAsia"/>
        </w:rPr>
        <w:t>陈章林</w:t>
      </w:r>
    </w:p>
    <w:p w14:paraId="11AE61A6">
      <w:pPr>
        <w:pStyle w:val="10"/>
        <w:bidi w:val="0"/>
        <w:rPr>
          <w:rFonts w:hint="eastAsia"/>
        </w:rPr>
      </w:pPr>
      <w:r>
        <w:rPr>
          <w:rFonts w:hint="eastAsia"/>
          <w:b/>
          <w:bCs/>
        </w:rPr>
        <w:t>纪检组长：</w:t>
      </w:r>
      <w:r>
        <w:rPr>
          <w:rFonts w:hint="eastAsia"/>
        </w:rPr>
        <w:t>曾秀兰</w:t>
      </w:r>
    </w:p>
    <w:p w14:paraId="017B1C63">
      <w:pPr>
        <w:pStyle w:val="3"/>
        <w:bidi w:val="0"/>
        <w:rPr>
          <w:rFonts w:hint="eastAsia"/>
        </w:rPr>
      </w:pPr>
      <w:r>
        <w:rPr>
          <w:rFonts w:hint="eastAsia"/>
        </w:rPr>
        <w:t>广播电视</w:t>
      </w:r>
    </w:p>
    <w:p w14:paraId="637D9EAB">
      <w:pPr>
        <w:pStyle w:val="4"/>
        <w:bidi w:val="0"/>
        <w:rPr>
          <w:rFonts w:hint="eastAsia"/>
        </w:rPr>
      </w:pPr>
      <w:r>
        <w:rPr>
          <w:rFonts w:hint="eastAsia"/>
        </w:rPr>
        <w:t>【概况】</w:t>
      </w:r>
    </w:p>
    <w:p w14:paraId="06AC4E39">
      <w:pPr>
        <w:rPr>
          <w:rFonts w:hint="eastAsia"/>
        </w:rPr>
      </w:pPr>
      <w:r>
        <w:rPr>
          <w:rFonts w:hint="eastAsia"/>
        </w:rPr>
        <w:t>南雄市广播电视台担负着宣传贯彻执行党和政府有关广播、电视方面的方针、政策和法律、法规，把握正确的舆论导向，充分发挥党和政府的喉舌作用，负责南雄市广播电视新闻报道宣传、专题、广告的制作播出，广播电视事业建设、经营有线数字电视、数据传输业务，负责转播全国农村中央广播电视节目无线覆盖工作，负责南雄市的广播电视安全播出工作，承办市委、市政府交办的其他事项。</w:t>
      </w:r>
    </w:p>
    <w:p w14:paraId="638D8D52">
      <w:pPr>
        <w:rPr>
          <w:rFonts w:hint="eastAsia"/>
        </w:rPr>
      </w:pPr>
      <w:r>
        <w:rPr>
          <w:rFonts w:hint="eastAsia"/>
        </w:rPr>
        <w:t>广播电视台内设办公室、财务部、总编室、事业技术部、电视新闻广告部、广播电台部、城区网络部、农村网络部，设置乌迳、黄坑、珠玑、全安、湖口、水口、古市</w:t>
      </w:r>
      <w:r>
        <w:t>7个基层广播电视中心站</w:t>
      </w:r>
      <w:r>
        <w:rPr>
          <w:rFonts w:hint="eastAsia"/>
        </w:rPr>
        <w:t>编制人数</w:t>
      </w:r>
      <w:r>
        <w:t>105人。2013年南雄市广播电视台被南方</w:t>
      </w:r>
      <w:r>
        <w:rPr>
          <w:rFonts w:hint="eastAsia"/>
        </w:rPr>
        <w:t>广播影视传媒集团评为“</w:t>
      </w:r>
      <w:r>
        <w:t>2013年度广播电视安全播</w:t>
      </w:r>
      <w:r>
        <w:rPr>
          <w:rFonts w:hint="eastAsia"/>
        </w:rPr>
        <w:t>出优秀单位”，被韶关市广播电视台评为“安全播出先进单位”。</w:t>
      </w:r>
    </w:p>
    <w:p w14:paraId="6D0B7FFD">
      <w:pPr>
        <w:pStyle w:val="4"/>
        <w:bidi w:val="0"/>
        <w:rPr>
          <w:rFonts w:hint="eastAsia"/>
        </w:rPr>
      </w:pPr>
      <w:r>
        <w:rPr>
          <w:rFonts w:hint="eastAsia"/>
        </w:rPr>
        <w:t>【广播电视事业发展】</w:t>
      </w:r>
    </w:p>
    <w:p w14:paraId="41C5D796">
      <w:pPr>
        <w:rPr>
          <w:rFonts w:hint="eastAsia"/>
          <w:lang w:eastAsia="zh-CN"/>
        </w:rPr>
      </w:pPr>
      <w:r>
        <w:rPr>
          <w:rFonts w:hint="eastAsia"/>
        </w:rPr>
        <w:t>南雄市广播电视台全面推进有线数字电视整体转换工作，全台干部职工不等、不靠，打破常规，探索出边改网边发展边整转的新模式，加快城乡有线数字电视整体转换工作的建设步伐。全市共整转数字电视</w:t>
      </w:r>
      <w:r>
        <w:t>5.5万台，其</w:t>
      </w:r>
      <w:r>
        <w:rPr>
          <w:rFonts w:hint="eastAsia"/>
          <w:lang w:val="en-US" w:eastAsia="zh-CN"/>
        </w:rPr>
        <w:t>中，</w:t>
      </w:r>
      <w:r>
        <w:t>2013年城区数字电视整转和新发展用户2130多户，</w:t>
      </w:r>
      <w:r>
        <w:rPr>
          <w:rFonts w:hint="eastAsia"/>
        </w:rPr>
        <w:t>城区数字电视达到</w:t>
      </w:r>
      <w:r>
        <w:t>34572台；农村数字电视整转和</w:t>
      </w:r>
      <w:r>
        <w:rPr>
          <w:rFonts w:hint="eastAsia"/>
        </w:rPr>
        <w:t>新发展</w:t>
      </w:r>
      <w:r>
        <w:t>4251多户，农村数字电视总用户达到21173</w:t>
      </w:r>
      <w:r>
        <w:rPr>
          <w:rFonts w:hint="eastAsia"/>
        </w:rPr>
        <w:t>台。全面完成城乡数字电视整体转换工作。加快数据专线业务发展、强化基础建设。公安监控网建设项目是南雄市</w:t>
      </w:r>
      <w:r>
        <w:t>2013年重点建设项目，广播电视台</w:t>
      </w:r>
      <w:r>
        <w:rPr>
          <w:rFonts w:hint="eastAsia"/>
        </w:rPr>
        <w:t>积极配合市“平安南雄”城市视频监控系统建设工作，完成“平安南雄”城区公安监控网</w:t>
      </w:r>
      <w:r>
        <w:t>281个点</w:t>
      </w:r>
      <w:r>
        <w:rPr>
          <w:rFonts w:hint="eastAsia"/>
        </w:rPr>
        <w:t>建设</w:t>
      </w:r>
      <w:r>
        <w:rPr>
          <w:rFonts w:hint="eastAsia"/>
          <w:lang w:eastAsia="zh-CN"/>
        </w:rPr>
        <w:t>。</w:t>
      </w:r>
    </w:p>
    <w:p w14:paraId="11313B7E">
      <w:pPr>
        <w:pStyle w:val="4"/>
        <w:bidi w:val="0"/>
        <w:rPr>
          <w:rFonts w:hint="eastAsia"/>
        </w:rPr>
      </w:pPr>
      <w:r>
        <w:rPr>
          <w:rFonts w:hint="eastAsia"/>
        </w:rPr>
        <w:t>【广播电视宣传】</w:t>
      </w:r>
    </w:p>
    <w:p w14:paraId="32823D7F">
      <w:pPr>
        <w:rPr>
          <w:rFonts w:hint="eastAsia"/>
        </w:rPr>
      </w:pPr>
      <w:r>
        <w:t>2013年南雄市广播电视台按照</w:t>
      </w:r>
      <w:r>
        <w:rPr>
          <w:rFonts w:hint="eastAsia"/>
        </w:rPr>
        <w:t>“走转改”要求，坚持“三贴近”原则，办好本台自办栏目，加大新闻上送力度，加强新闻采编队伍建设，各项工作取得新成绩。广播电台、电视台分别播出稿件</w:t>
      </w:r>
      <w:r>
        <w:t>3628篇和2980篇。上送韶关广播电台</w:t>
      </w:r>
      <w:r>
        <w:rPr>
          <w:rFonts w:hint="eastAsia"/>
          <w:lang w:eastAsia="zh-CN"/>
        </w:rPr>
        <w:t>、</w:t>
      </w:r>
      <w:r>
        <w:rPr>
          <w:rFonts w:hint="eastAsia"/>
        </w:rPr>
        <w:t>电视台播出稿件播出数分别为</w:t>
      </w:r>
      <w:r>
        <w:t>558篇和458篇。2013年广播电视台电视长消息《邹良友：从普通</w:t>
      </w:r>
      <w:r>
        <w:rPr>
          <w:rFonts w:hint="eastAsia"/>
        </w:rPr>
        <w:t>“耕田佬”到基地管理员》、电视新闻专题《彭俊和他的爱心足迹公益行》、广播消息《男子被女友拉</w:t>
      </w:r>
      <w:r>
        <w:rPr>
          <w:rFonts w:hint="eastAsia"/>
          <w:lang w:val="en-US" w:eastAsia="zh-CN"/>
        </w:rPr>
        <w:t>入</w:t>
      </w:r>
      <w:r>
        <w:rPr>
          <w:rFonts w:hint="eastAsia"/>
        </w:rPr>
        <w:t>传销剁指向家人索四万元》荣获</w:t>
      </w:r>
      <w:r>
        <w:t>2013年度广</w:t>
      </w:r>
      <w:r>
        <w:rPr>
          <w:rFonts w:hint="eastAsia"/>
        </w:rPr>
        <w:t>东省县（市区）广播电视新闻评析三等奖作品。电视长消息《邹良友：从普通“耕田佬”到基地管理员》、电视社教专题《守护》、电视公益广告《爱是一份温暖》荣获</w:t>
      </w:r>
      <w:r>
        <w:t>2013年度韶关市广播电视节目</w:t>
      </w:r>
      <w:r>
        <w:rPr>
          <w:rFonts w:hint="eastAsia"/>
        </w:rPr>
        <w:t>奖一等奖。广播短消息《扫一扫二维码景区信息全知道》、广播系列报道《胡小妹</w:t>
      </w:r>
      <w:r>
        <w:rPr>
          <w:rFonts w:hint="eastAsia"/>
          <w:lang w:val="en-US" w:eastAsia="zh-CN"/>
        </w:rPr>
        <w:t>入</w:t>
      </w:r>
      <w:r>
        <w:rPr>
          <w:rFonts w:hint="eastAsia"/>
        </w:rPr>
        <w:t>学众人扶真情回报社会入公益》荣获</w:t>
      </w:r>
      <w:r>
        <w:t>2013年度韶关市广播电视节</w:t>
      </w:r>
      <w:r>
        <w:rPr>
          <w:rFonts w:hint="eastAsia"/>
        </w:rPr>
        <w:t>目奖二等奖。电视长消息《海内外广府人后裔回到南雄开启“返乡之旅”》、电视连续报道《关注胡小妹》、广播长消息《办理证照不用来回跑网上办事一次办妥》荣获</w:t>
      </w:r>
      <w:r>
        <w:t>2013年度韶关市广播电视节目</w:t>
      </w:r>
      <w:r>
        <w:rPr>
          <w:rFonts w:hint="eastAsia"/>
        </w:rPr>
        <w:t>奖三等奖。新闻专题《人大代表专题询问直指珠玑纸业排污管控问题》、连续报道《人大网络问政架起“连心桥”》荣获第二十三届韶关市人大新闻奖本台记者参加</w:t>
      </w:r>
      <w:r>
        <w:t>2013年度韶关市首届“走转改”大</w:t>
      </w:r>
      <w:r>
        <w:rPr>
          <w:rFonts w:hint="eastAsia"/>
        </w:rPr>
        <w:t>型全媒体异地采访活动—《乳源加速度》也获得好成绩：新闻专题《瑶乡的美丽故事》荣获专题类二等奖；新闻《乳源：“绿色转型”之路催生“生态立县”发展战略》荣获新闻类三等奖；主创人员还获得“最佳编导奖”、“最佳摄像奖”</w:t>
      </w:r>
      <w:r>
        <w:t>2个单项奖。2013年广播电视台年轻记者吴荧屏被评为“韶关市</w:t>
      </w:r>
      <w:r>
        <w:rPr>
          <w:rFonts w:hint="eastAsia"/>
        </w:rPr>
        <w:t>优秀通讯员”</w:t>
      </w:r>
    </w:p>
    <w:p w14:paraId="37CA78EC">
      <w:pPr>
        <w:pStyle w:val="4"/>
        <w:bidi w:val="0"/>
        <w:rPr>
          <w:rFonts w:hint="eastAsia"/>
        </w:rPr>
      </w:pPr>
      <w:r>
        <w:rPr>
          <w:rFonts w:hint="eastAsia"/>
        </w:rPr>
        <w:t>【农村广播电视中心站建设】</w:t>
      </w:r>
    </w:p>
    <w:p w14:paraId="3B21D542">
      <w:pPr>
        <w:rPr>
          <w:rFonts w:hint="eastAsia"/>
        </w:rPr>
      </w:pPr>
      <w:r>
        <w:rPr>
          <w:rFonts w:hint="eastAsia"/>
        </w:rPr>
        <w:t>改变原有上门收费方式，投入</w:t>
      </w:r>
      <w:r>
        <w:t>36万多元完善乡镇广播电视中心站办</w:t>
      </w:r>
      <w:r>
        <w:rPr>
          <w:rFonts w:hint="eastAsia"/>
        </w:rPr>
        <w:t>公设施，实现全省数字电视</w:t>
      </w:r>
      <w:r>
        <w:t>BOSS系统联网收费。</w:t>
      </w:r>
      <w:r>
        <w:rPr>
          <w:rFonts w:hint="eastAsia"/>
        </w:rPr>
        <w:t>在湖口、珠玑、乌迳、黄坑中心站设立营业收费厅，为基层用户提供优质的服务，树立了广电良好的形象。</w:t>
      </w:r>
    </w:p>
    <w:p w14:paraId="455BFFFC">
      <w:pPr>
        <w:pStyle w:val="4"/>
        <w:bidi w:val="0"/>
        <w:rPr>
          <w:rFonts w:hint="eastAsia"/>
        </w:rPr>
      </w:pPr>
      <w:r>
        <w:rPr>
          <w:rFonts w:hint="eastAsia"/>
        </w:rPr>
        <w:t>【栏目设置】</w:t>
      </w:r>
    </w:p>
    <w:p w14:paraId="3A35A77F">
      <w:pPr>
        <w:rPr>
          <w:rFonts w:hint="eastAsia" w:eastAsia="宋体"/>
          <w:lang w:eastAsia="zh-CN"/>
        </w:rPr>
      </w:pPr>
      <w:r>
        <w:rPr>
          <w:rFonts w:hint="eastAsia"/>
        </w:rPr>
        <w:t>每天开设的栏目有《南雄新闻》、《今日新闻提要》、《雄州新视线》、《南雄警务报道》、《金叶之路》、《南雄农业病虫测报》、《天气预报》、《廉洁南雄》、《品位南雄》等固定栏目</w:t>
      </w:r>
      <w:r>
        <w:rPr>
          <w:rFonts w:hint="eastAsia"/>
          <w:lang w:eastAsia="zh-CN"/>
        </w:rPr>
        <w:t>。</w:t>
      </w:r>
    </w:p>
    <w:p w14:paraId="2769D446">
      <w:pPr>
        <w:jc w:val="right"/>
        <w:rPr>
          <w:rFonts w:hint="eastAsia"/>
          <w:b/>
          <w:bCs/>
        </w:rPr>
      </w:pPr>
      <w:r>
        <w:rPr>
          <w:rFonts w:hint="eastAsia"/>
          <w:b/>
          <w:bCs/>
        </w:rPr>
        <w:t>（蓝惠娟）</w:t>
      </w:r>
    </w:p>
    <w:p w14:paraId="3EFF0AC9">
      <w:pPr>
        <w:pStyle w:val="10"/>
        <w:bidi w:val="0"/>
        <w:rPr>
          <w:b/>
          <w:bCs/>
        </w:rPr>
      </w:pPr>
      <w:r>
        <w:rPr>
          <w:rFonts w:hint="eastAsia"/>
          <w:b/>
          <w:bCs/>
        </w:rPr>
        <w:t>附：</w:t>
      </w:r>
      <w:r>
        <w:rPr>
          <w:b/>
          <w:bCs/>
        </w:rPr>
        <w:t>2013年市广播电视台领导班子成员名单</w:t>
      </w:r>
    </w:p>
    <w:p w14:paraId="6D6A63E4">
      <w:pPr>
        <w:pStyle w:val="10"/>
        <w:bidi w:val="0"/>
        <w:rPr>
          <w:rFonts w:hint="eastAsia"/>
        </w:rPr>
      </w:pPr>
      <w:r>
        <w:rPr>
          <w:rFonts w:hint="eastAsia"/>
          <w:b/>
          <w:bCs/>
        </w:rPr>
        <w:t>台</w:t>
      </w:r>
      <w:r>
        <w:rPr>
          <w:rFonts w:hint="eastAsia"/>
          <w:b/>
          <w:bCs/>
          <w:lang w:val="en-US" w:eastAsia="zh-CN"/>
        </w:rPr>
        <w:t xml:space="preserve">    </w:t>
      </w:r>
      <w:r>
        <w:rPr>
          <w:rFonts w:hint="eastAsia"/>
          <w:b/>
          <w:bCs/>
        </w:rPr>
        <w:t>长：</w:t>
      </w:r>
      <w:r>
        <w:rPr>
          <w:rFonts w:hint="eastAsia"/>
        </w:rPr>
        <w:t>卢德政</w:t>
      </w:r>
    </w:p>
    <w:p w14:paraId="3B08E946">
      <w:pPr>
        <w:pStyle w:val="10"/>
        <w:bidi w:val="0"/>
        <w:rPr>
          <w:rFonts w:hint="eastAsia"/>
        </w:rPr>
      </w:pPr>
      <w:r>
        <w:rPr>
          <w:rFonts w:hint="eastAsia"/>
          <w:b/>
          <w:bCs/>
        </w:rPr>
        <w:t>副</w:t>
      </w:r>
      <w:r>
        <w:rPr>
          <w:rFonts w:hint="eastAsia"/>
          <w:b/>
          <w:bCs/>
          <w:lang w:val="en-US" w:eastAsia="zh-CN"/>
        </w:rPr>
        <w:t xml:space="preserve"> </w:t>
      </w:r>
      <w:r>
        <w:rPr>
          <w:rFonts w:hint="eastAsia"/>
          <w:b/>
          <w:bCs/>
        </w:rPr>
        <w:t>台</w:t>
      </w:r>
      <w:r>
        <w:rPr>
          <w:rFonts w:hint="eastAsia"/>
          <w:b/>
          <w:bCs/>
          <w:lang w:val="en-US" w:eastAsia="zh-CN"/>
        </w:rPr>
        <w:t xml:space="preserve"> </w:t>
      </w:r>
      <w:r>
        <w:rPr>
          <w:rFonts w:hint="eastAsia"/>
          <w:b/>
          <w:bCs/>
        </w:rPr>
        <w:t>长：</w:t>
      </w:r>
      <w:r>
        <w:rPr>
          <w:rFonts w:hint="eastAsia"/>
        </w:rPr>
        <w:t>刘</w:t>
      </w:r>
      <w:r>
        <w:rPr>
          <w:rFonts w:hint="eastAsia"/>
          <w:lang w:val="en-US" w:eastAsia="zh-CN"/>
        </w:rPr>
        <w:t xml:space="preserve">  </w:t>
      </w:r>
      <w:r>
        <w:rPr>
          <w:rFonts w:hint="eastAsia"/>
        </w:rPr>
        <w:t>勇</w:t>
      </w:r>
      <w:r>
        <w:rPr>
          <w:rFonts w:hint="eastAsia"/>
          <w:lang w:val="en-US" w:eastAsia="zh-CN"/>
        </w:rPr>
        <w:t xml:space="preserve">   </w:t>
      </w:r>
      <w:r>
        <w:rPr>
          <w:rFonts w:hint="eastAsia"/>
        </w:rPr>
        <w:t>朱志军</w:t>
      </w:r>
    </w:p>
    <w:p w14:paraId="7C220BD2">
      <w:pPr>
        <w:pStyle w:val="10"/>
        <w:bidi w:val="0"/>
        <w:rPr>
          <w:rFonts w:hint="eastAsia"/>
        </w:rPr>
      </w:pPr>
      <w:r>
        <w:rPr>
          <w:rFonts w:hint="eastAsia"/>
          <w:b/>
          <w:bCs/>
        </w:rPr>
        <w:t>工会主席：</w:t>
      </w:r>
      <w:r>
        <w:rPr>
          <w:rFonts w:hint="eastAsia"/>
        </w:rPr>
        <w:t>廖跃梅</w:t>
      </w:r>
    </w:p>
    <w:p w14:paraId="611DC083">
      <w:pPr>
        <w:pStyle w:val="3"/>
        <w:bidi w:val="0"/>
        <w:rPr>
          <w:rFonts w:hint="eastAsia"/>
        </w:rPr>
      </w:pPr>
      <w:r>
        <w:rPr>
          <w:rFonts w:hint="eastAsia"/>
        </w:rPr>
        <w:t>南雄新华书店</w:t>
      </w:r>
    </w:p>
    <w:p w14:paraId="222A337D">
      <w:pPr>
        <w:pStyle w:val="4"/>
        <w:bidi w:val="0"/>
        <w:rPr>
          <w:rFonts w:hint="eastAsia"/>
        </w:rPr>
      </w:pPr>
      <w:r>
        <w:rPr>
          <w:rFonts w:hint="eastAsia"/>
        </w:rPr>
        <w:t>【概况】</w:t>
      </w:r>
    </w:p>
    <w:p w14:paraId="6C310596">
      <w:r>
        <w:rPr>
          <w:rFonts w:hint="eastAsia"/>
        </w:rPr>
        <w:t>南雄市新华书店于</w:t>
      </w:r>
      <w:r>
        <w:t>2011年1月11日注</w:t>
      </w:r>
      <w:r>
        <w:rPr>
          <w:rFonts w:hint="eastAsia"/>
        </w:rPr>
        <w:t>销机构建制，</w:t>
      </w:r>
      <w:r>
        <w:t>2月24日完成事业单位法人注销登</w:t>
      </w:r>
      <w:r>
        <w:rPr>
          <w:rFonts w:hint="eastAsia"/>
        </w:rPr>
        <w:t>记，</w:t>
      </w:r>
      <w:r>
        <w:t>4月5日在韶关日报刊登公告完成事业编制注</w:t>
      </w:r>
      <w:r>
        <w:rPr>
          <w:rFonts w:hint="eastAsia"/>
        </w:rPr>
        <w:t>销工作。于</w:t>
      </w:r>
      <w:r>
        <w:t>6月完成南雄市新华书店有限公司企业</w:t>
      </w:r>
      <w:r>
        <w:rPr>
          <w:rFonts w:hint="eastAsia"/>
        </w:rPr>
        <w:t>注册、法人登记、税务登记等手续。同年</w:t>
      </w:r>
      <w:r>
        <w:t>8月31</w:t>
      </w:r>
      <w:r>
        <w:rPr>
          <w:rFonts w:hint="eastAsia"/>
        </w:rPr>
        <w:t>日，南雄市国有资产监督管理委员会办公室以南雄市新华书店有限公司国有净资产（股权）认购广东新华发行集团股份有限公司新增股份，成为广东新华发行集团子公司：广东新华发行集团南雄新华书店有限公司。公司下设经理室、教材部、综合部</w:t>
      </w:r>
      <w:r>
        <w:rPr>
          <w:rFonts w:hint="eastAsia"/>
          <w:lang w:eastAsia="zh-CN"/>
        </w:rPr>
        <w:t>、</w:t>
      </w:r>
      <w:r>
        <w:rPr>
          <w:rFonts w:hint="eastAsia"/>
        </w:rPr>
        <w:t>业务部，综合部下设财务室、信息管理部。教材部下设仓库，业务部下设机团营销部、购书中心、校园书店。在职职工</w:t>
      </w:r>
      <w:r>
        <w:t>14人。</w:t>
      </w:r>
    </w:p>
    <w:p w14:paraId="7F224E43">
      <w:pPr>
        <w:pStyle w:val="4"/>
        <w:bidi w:val="0"/>
        <w:rPr>
          <w:rFonts w:hint="eastAsia"/>
        </w:rPr>
      </w:pPr>
      <w:r>
        <w:rPr>
          <w:rFonts w:hint="eastAsia"/>
        </w:rPr>
        <w:t>【图书发行工作】</w:t>
      </w:r>
    </w:p>
    <w:p w14:paraId="0627961D">
      <w:r>
        <w:rPr>
          <w:rFonts w:hint="eastAsia"/>
        </w:rPr>
        <w:t>肩负南雄市中小学教材、教辅发行任务和党的政策、文化宣传工作。</w:t>
      </w:r>
      <w:r>
        <w:t>2013年公司</w:t>
      </w:r>
      <w:r>
        <w:rPr>
          <w:rFonts w:hint="eastAsia"/>
        </w:rPr>
        <w:t>教材教辅发行总量</w:t>
      </w:r>
      <w:r>
        <w:t>7619046.88元，1024541册，其</w:t>
      </w:r>
      <w:r>
        <w:rPr>
          <w:rFonts w:hint="eastAsia"/>
        </w:rPr>
        <w:t>中教材发行总量</w:t>
      </w:r>
      <w:r>
        <w:t>5721988.03元，869929册，配套</w:t>
      </w:r>
      <w:r>
        <w:rPr>
          <w:rFonts w:hint="eastAsia"/>
        </w:rPr>
        <w:t>教辅发行总量</w:t>
      </w:r>
      <w:r>
        <w:t>1420482.5元，139479册。门店销售</w:t>
      </w:r>
      <w:r>
        <w:rPr>
          <w:rFonts w:hint="eastAsia"/>
        </w:rPr>
        <w:t>总额</w:t>
      </w:r>
      <w:r>
        <w:t>476576.35元，52684册。2013年全年预计销</w:t>
      </w:r>
      <w:r>
        <w:rPr>
          <w:rFonts w:hint="eastAsia"/>
        </w:rPr>
        <w:t>售</w:t>
      </w:r>
      <w:r>
        <w:rPr>
          <w:rFonts w:hint="eastAsia"/>
          <w:lang w:eastAsia="zh-CN"/>
        </w:rPr>
        <w:t>收入</w:t>
      </w:r>
      <w:r>
        <w:t>4151980.82元，预计利润12万元。</w:t>
      </w:r>
    </w:p>
    <w:p w14:paraId="4B4C8876">
      <w:pPr>
        <w:jc w:val="right"/>
        <w:rPr>
          <w:rFonts w:hint="eastAsia"/>
          <w:b/>
          <w:bCs/>
        </w:rPr>
      </w:pPr>
      <w:r>
        <w:rPr>
          <w:rFonts w:hint="eastAsia"/>
          <w:b/>
          <w:bCs/>
          <w:lang w:eastAsia="zh-CN"/>
        </w:rPr>
        <w:t>（</w:t>
      </w:r>
      <w:r>
        <w:rPr>
          <w:rFonts w:hint="eastAsia"/>
          <w:b/>
          <w:bCs/>
        </w:rPr>
        <w:t>胡建新）</w:t>
      </w:r>
    </w:p>
    <w:p w14:paraId="55BC9F1D">
      <w:pPr>
        <w:pStyle w:val="10"/>
        <w:bidi w:val="0"/>
        <w:rPr>
          <w:b/>
          <w:bCs/>
        </w:rPr>
      </w:pPr>
      <w:r>
        <w:rPr>
          <w:rFonts w:hint="eastAsia"/>
          <w:b/>
          <w:bCs/>
        </w:rPr>
        <w:t>附：</w:t>
      </w:r>
      <w:r>
        <w:rPr>
          <w:b/>
          <w:bCs/>
        </w:rPr>
        <w:t>2013年南雄新华书店领导班子成员名单</w:t>
      </w:r>
    </w:p>
    <w:p w14:paraId="09B130EE">
      <w:pPr>
        <w:pStyle w:val="10"/>
        <w:bidi w:val="0"/>
        <w:rPr>
          <w:rFonts w:hint="eastAsia"/>
        </w:rPr>
      </w:pPr>
      <w:r>
        <w:rPr>
          <w:rFonts w:hint="eastAsia"/>
          <w:b/>
          <w:bCs/>
        </w:rPr>
        <w:t>总</w:t>
      </w:r>
      <w:r>
        <w:rPr>
          <w:rFonts w:hint="eastAsia"/>
          <w:b/>
          <w:bCs/>
          <w:lang w:val="en-US" w:eastAsia="zh-CN"/>
        </w:rPr>
        <w:t xml:space="preserve"> </w:t>
      </w:r>
      <w:r>
        <w:rPr>
          <w:rFonts w:hint="eastAsia"/>
          <w:b/>
          <w:bCs/>
        </w:rPr>
        <w:t>经</w:t>
      </w:r>
      <w:r>
        <w:rPr>
          <w:rFonts w:hint="eastAsia"/>
          <w:b/>
          <w:bCs/>
          <w:lang w:val="en-US" w:eastAsia="zh-CN"/>
        </w:rPr>
        <w:t xml:space="preserve"> </w:t>
      </w:r>
      <w:r>
        <w:rPr>
          <w:rFonts w:hint="eastAsia"/>
          <w:b/>
          <w:bCs/>
        </w:rPr>
        <w:t>理：</w:t>
      </w:r>
      <w:r>
        <w:rPr>
          <w:rFonts w:hint="eastAsia"/>
        </w:rPr>
        <w:t>胡善兰</w:t>
      </w:r>
    </w:p>
    <w:p w14:paraId="000B4E81">
      <w:pPr>
        <w:pStyle w:val="10"/>
        <w:bidi w:val="0"/>
        <w:rPr>
          <w:rFonts w:hint="eastAsia"/>
        </w:rPr>
      </w:pPr>
      <w:r>
        <w:rPr>
          <w:rFonts w:hint="eastAsia"/>
          <w:b/>
          <w:bCs/>
        </w:rPr>
        <w:t>副总经理：</w:t>
      </w:r>
      <w:r>
        <w:rPr>
          <w:rFonts w:hint="eastAsia"/>
        </w:rPr>
        <w:t>雷清优</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05A85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D8D636A">
            <w:pPr>
              <w:ind w:left="0" w:leftChars="0" w:firstLine="0" w:firstLineChars="0"/>
              <w:rPr>
                <w:rFonts w:hint="eastAsia" w:eastAsia="宋体"/>
                <w:vertAlign w:val="baseline"/>
                <w:lang w:eastAsia="zh-CN"/>
              </w:rPr>
            </w:pPr>
            <w:r>
              <w:rPr>
                <w:rFonts w:hint="eastAsia" w:eastAsia="宋体"/>
                <w:vertAlign w:val="baseline"/>
                <w:lang w:eastAsia="zh-CN"/>
              </w:rPr>
              <w:drawing>
                <wp:inline distT="0" distB="0" distL="114300" distR="114300">
                  <wp:extent cx="6183630" cy="3829050"/>
                  <wp:effectExtent l="0" t="0" r="7620" b="0"/>
                  <wp:docPr id="59" name="图片 59" descr="南雄年鉴2014-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南雄年鉴2014-059"/>
                          <pic:cNvPicPr>
                            <a:picLocks noChangeAspect="1"/>
                          </pic:cNvPicPr>
                        </pic:nvPicPr>
                        <pic:blipFill>
                          <a:blip r:embed="rId129"/>
                          <a:stretch>
                            <a:fillRect/>
                          </a:stretch>
                        </pic:blipFill>
                        <pic:spPr>
                          <a:xfrm>
                            <a:off x="0" y="0"/>
                            <a:ext cx="6183630" cy="3829050"/>
                          </a:xfrm>
                          <a:prstGeom prst="rect">
                            <a:avLst/>
                          </a:prstGeom>
                        </pic:spPr>
                      </pic:pic>
                    </a:graphicData>
                  </a:graphic>
                </wp:inline>
              </w:drawing>
            </w:r>
          </w:p>
        </w:tc>
      </w:tr>
    </w:tbl>
    <w:p w14:paraId="3EF5E31E">
      <w:pPr>
        <w:pStyle w:val="2"/>
        <w:bidi w:val="0"/>
        <w:rPr>
          <w:rFonts w:hint="eastAsia"/>
        </w:rPr>
      </w:pPr>
      <w:r>
        <w:rPr>
          <w:rFonts w:hint="eastAsia"/>
        </w:rPr>
        <w:t>卫生·体育</w:t>
      </w:r>
    </w:p>
    <w:p w14:paraId="3CD34FF0">
      <w:pPr>
        <w:pStyle w:val="3"/>
        <w:bidi w:val="0"/>
        <w:rPr>
          <w:rFonts w:hint="default"/>
          <w:lang w:val="en-US" w:eastAsia="zh-CN"/>
        </w:rPr>
      </w:pPr>
      <w:r>
        <w:rPr>
          <w:rFonts w:hint="eastAsia"/>
          <w:lang w:val="en-US" w:eastAsia="zh-CN"/>
        </w:rPr>
        <w:t>卫生综述</w:t>
      </w:r>
    </w:p>
    <w:p w14:paraId="6B052F13">
      <w:pPr>
        <w:pStyle w:val="4"/>
        <w:bidi w:val="0"/>
        <w:rPr>
          <w:rFonts w:hint="eastAsia"/>
        </w:rPr>
      </w:pPr>
      <w:r>
        <w:rPr>
          <w:rFonts w:hint="eastAsia"/>
        </w:rPr>
        <w:t>【概况】</w:t>
      </w:r>
    </w:p>
    <w:p w14:paraId="523DA8E6">
      <w:r>
        <w:t>2013年，全市卫生工作以疾病预防控制</w:t>
      </w:r>
      <w:r>
        <w:rPr>
          <w:rFonts w:hint="eastAsia"/>
        </w:rPr>
        <w:t>和农村卫生等工作为重点，继续深化医药卫生体制改革，大力实施卫生民生工程。以纪律作风建设为抓手，推进各项卫生工作的落实，医疗卫生服务水平有了明显提升。年末，全市有各级各类医疗机构</w:t>
      </w:r>
      <w:r>
        <w:t>352间，其中县（市）级综合性医院1间（人民医</w:t>
      </w:r>
      <w:r>
        <w:rPr>
          <w:rFonts w:hint="eastAsia"/>
        </w:rPr>
        <w:t>院），县（市）级中医院</w:t>
      </w:r>
      <w:r>
        <w:t>1间，县（市）级防保机</w:t>
      </w:r>
      <w:r>
        <w:rPr>
          <w:rFonts w:hint="eastAsia"/>
        </w:rPr>
        <w:t>构</w:t>
      </w:r>
      <w:r>
        <w:t>4间（疾病预防控制中心、卫生监督所、慢性病</w:t>
      </w:r>
      <w:r>
        <w:rPr>
          <w:rFonts w:hint="eastAsia"/>
        </w:rPr>
        <w:t>防治站、妇幼保健院），社区卫生服务中心</w:t>
      </w:r>
      <w:r>
        <w:t>1间，</w:t>
      </w:r>
      <w:r>
        <w:rPr>
          <w:rFonts w:hint="eastAsia"/>
        </w:rPr>
        <w:t>镇级卫生院</w:t>
      </w:r>
      <w:r>
        <w:t>18间，村级卫生站283个，机关、企</w:t>
      </w:r>
      <w:r>
        <w:rPr>
          <w:rFonts w:hint="eastAsia"/>
        </w:rPr>
        <w:t>事业、厂矿医务室</w:t>
      </w:r>
      <w:r>
        <w:t>7间，个体诊所37间，医疗网</w:t>
      </w:r>
      <w:r>
        <w:rPr>
          <w:rFonts w:hint="eastAsia"/>
        </w:rPr>
        <w:t>点已遍布城乡，布局也比较合理；全市卫生工作人员</w:t>
      </w:r>
      <w:r>
        <w:t>1179人，其中在职卫生技术人员1066人（高级</w:t>
      </w:r>
      <w:r>
        <w:rPr>
          <w:rFonts w:hint="eastAsia"/>
        </w:rPr>
        <w:t>职称</w:t>
      </w:r>
      <w:r>
        <w:t>71人，中级职称295人，初级职称505人），</w:t>
      </w:r>
      <w:r>
        <w:rPr>
          <w:rFonts w:hint="eastAsia"/>
        </w:rPr>
        <w:t>乡村医生</w:t>
      </w:r>
      <w:r>
        <w:t>283人；卫生技术人员中，执业医师（含</w:t>
      </w:r>
      <w:r>
        <w:rPr>
          <w:rFonts w:hint="eastAsia"/>
        </w:rPr>
        <w:t>助理）</w:t>
      </w:r>
      <w:r>
        <w:t>628人，每千人拥有医生数1.93人；注册护</w:t>
      </w:r>
      <w:r>
        <w:rPr>
          <w:rFonts w:hint="eastAsia"/>
        </w:rPr>
        <w:t>士</w:t>
      </w:r>
      <w:r>
        <w:t>437人，每千人拥有护士1.34人；全市有病床1399张，其中城区930张，镇卫生院469张。每千</w:t>
      </w:r>
      <w:r>
        <w:rPr>
          <w:rFonts w:hint="eastAsia"/>
        </w:rPr>
        <w:t>人拥有床位</w:t>
      </w:r>
      <w:r>
        <w:t>4.29张；全市有单价万元以上设备404</w:t>
      </w:r>
      <w:r>
        <w:rPr>
          <w:rFonts w:hint="eastAsia"/>
        </w:rPr>
        <w:t>台，其中</w:t>
      </w:r>
      <w:r>
        <w:t>50万元以上设备35台。在国务院公布的</w:t>
      </w:r>
      <w:r>
        <w:rPr>
          <w:rFonts w:hint="eastAsia"/>
        </w:rPr>
        <w:t>甲、乙类大型医疗设备中，医用核磁共振（</w:t>
      </w:r>
      <w:r>
        <w:t>MRI）1台，Ⅹ线电子计算机断层扫描装置（CT）2台</w:t>
      </w:r>
      <w:r>
        <w:rPr>
          <w:rFonts w:hint="eastAsia"/>
        </w:rPr>
        <w:t>（其中螺旋</w:t>
      </w:r>
      <w:r>
        <w:t>CT1台），DR机1台，计算机化的X线</w:t>
      </w:r>
      <w:r>
        <w:rPr>
          <w:rFonts w:hint="eastAsia"/>
        </w:rPr>
        <w:t>放射影像系统（</w:t>
      </w:r>
      <w:r>
        <w:t>CR）9台，彩色B超6台。全市医</w:t>
      </w:r>
      <w:r>
        <w:rPr>
          <w:rFonts w:hint="eastAsia"/>
        </w:rPr>
        <w:t>疗卫生系统</w:t>
      </w:r>
      <w:r>
        <w:t>2013年门诊服务达到785236人次，住</w:t>
      </w:r>
      <w:r>
        <w:rPr>
          <w:rFonts w:hint="eastAsia"/>
        </w:rPr>
        <w:t>院达到</w:t>
      </w:r>
      <w:r>
        <w:t>42652人次。</w:t>
      </w:r>
    </w:p>
    <w:p w14:paraId="5110D69D">
      <w:pPr>
        <w:pStyle w:val="3"/>
        <w:bidi w:val="0"/>
        <w:rPr>
          <w:rFonts w:hint="default"/>
          <w:lang w:val="en-US" w:eastAsia="zh-CN"/>
        </w:rPr>
      </w:pPr>
      <w:r>
        <w:rPr>
          <w:rFonts w:hint="eastAsia"/>
          <w:lang w:val="en-US" w:eastAsia="zh-CN"/>
        </w:rPr>
        <w:t>深化医药卫生体制改革</w:t>
      </w:r>
    </w:p>
    <w:p w14:paraId="52BFC8B7">
      <w:pPr>
        <w:pStyle w:val="4"/>
        <w:bidi w:val="0"/>
        <w:rPr>
          <w:rFonts w:hint="eastAsia"/>
        </w:rPr>
      </w:pPr>
      <w:r>
        <w:rPr>
          <w:rFonts w:hint="eastAsia"/>
        </w:rPr>
        <w:t>【概况】</w:t>
      </w:r>
    </w:p>
    <w:p w14:paraId="229F4B5F">
      <w:pPr>
        <w:rPr>
          <w:rFonts w:hint="eastAsia"/>
        </w:rPr>
      </w:pPr>
      <w:r>
        <w:rPr>
          <w:rFonts w:hint="eastAsia"/>
        </w:rPr>
        <w:t>贯彻落实中央、省、韶关市关于深化医药卫生体制改革有关精神，以“保基本，强基层，建机制”为工作重点，扎实推进南雄市医药卫生体制改革和基层医疗卫生机构综合改革工作。一是巩固和完善农村合作医疗制度。新型农村合作医疗实现全覆盖，参合率达</w:t>
      </w:r>
      <w:r>
        <w:t>100%；二是全市基层医疗卫</w:t>
      </w:r>
      <w:r>
        <w:rPr>
          <w:rFonts w:hint="eastAsia"/>
        </w:rPr>
        <w:t>生机构全面实施了国家基本药物制度，对国家基本药物目录药品和省级增补的非目录药品实行了药品零差价销售；三是进一步健全基层医疗卫生服务体系。加强基层医疗卫生队伍建设，强化全科医生的培训工作。至</w:t>
      </w:r>
      <w:r>
        <w:t>2013年底，已完成全科医师（护师）</w:t>
      </w:r>
      <w:r>
        <w:rPr>
          <w:rFonts w:hint="eastAsia"/>
        </w:rPr>
        <w:t>岗位培训共</w:t>
      </w:r>
      <w:r>
        <w:t>34人（全科医师骨干培训22人，全</w:t>
      </w:r>
      <w:r>
        <w:rPr>
          <w:rFonts w:hint="eastAsia"/>
          <w:lang w:val="en-US" w:eastAsia="zh-CN"/>
        </w:rPr>
        <w:t>科</w:t>
      </w:r>
      <w:r>
        <w:rPr>
          <w:rFonts w:hint="eastAsia"/>
        </w:rPr>
        <w:t>医师培训人，全科护士岗位培训</w:t>
      </w:r>
      <w:r>
        <w:t>12人），已完成全</w:t>
      </w:r>
      <w:r>
        <w:rPr>
          <w:rFonts w:hint="eastAsia"/>
        </w:rPr>
        <w:t>科医师转岗培训</w:t>
      </w:r>
      <w:r>
        <w:t>22人。四是促进基本公共卫生均</w:t>
      </w:r>
      <w:r>
        <w:rPr>
          <w:rFonts w:hint="eastAsia"/>
        </w:rPr>
        <w:t>等化。全面实施（建立居民健康档案、健康教育</w:t>
      </w:r>
      <w:r>
        <w:rPr>
          <w:rFonts w:hint="eastAsia"/>
          <w:lang w:eastAsia="zh-CN"/>
        </w:rPr>
        <w:t>、</w:t>
      </w:r>
      <w:r>
        <w:rPr>
          <w:rFonts w:hint="eastAsia"/>
        </w:rPr>
        <w:t>儿童保健、孕产妇保健、老年人保健、预防接种</w:t>
      </w:r>
      <w:r>
        <w:rPr>
          <w:rFonts w:hint="eastAsia"/>
          <w:lang w:eastAsia="zh-CN"/>
        </w:rPr>
        <w:t>、</w:t>
      </w:r>
      <w:r>
        <w:rPr>
          <w:rFonts w:hint="eastAsia"/>
        </w:rPr>
        <w:t>传染病报告处理、高血压及糖尿病管理、重性精神病管理、卫生监督协管）十类基本公共卫生服务和重大公共卫生服务项目工作。</w:t>
      </w:r>
      <w:r>
        <w:t>2013年已建立城市居</w:t>
      </w:r>
      <w:r>
        <w:rPr>
          <w:rFonts w:hint="eastAsia"/>
        </w:rPr>
        <w:t>民电子健康档案</w:t>
      </w:r>
      <w:r>
        <w:t>54744份，电子建档率为72.44%，</w:t>
      </w:r>
      <w:r>
        <w:rPr>
          <w:rFonts w:hint="eastAsia"/>
        </w:rPr>
        <w:t>已建立农村居民电子健康档案</w:t>
      </w:r>
      <w:r>
        <w:t>328986份，电子建</w:t>
      </w:r>
      <w:r>
        <w:rPr>
          <w:rFonts w:hint="eastAsia"/>
        </w:rPr>
        <w:t>档率为</w:t>
      </w:r>
      <w:r>
        <w:t>107.75%。五是基层医疗卫生机构综合改革</w:t>
      </w:r>
      <w:r>
        <w:rPr>
          <w:rFonts w:hint="eastAsia"/>
        </w:rPr>
        <w:t>基本完成。全市基层医疗卫生事业单位全部</w:t>
      </w:r>
      <w:r>
        <w:rPr>
          <w:rFonts w:hint="eastAsia"/>
          <w:lang w:eastAsia="zh-CN"/>
        </w:rPr>
        <w:t>纳入</w:t>
      </w:r>
      <w:r>
        <w:rPr>
          <w:rFonts w:hint="eastAsia"/>
        </w:rPr>
        <w:t>公益一类事业单位，全面实施了绩效考核制度和收支两条线管理。六是按公立医院改革有关要求于</w:t>
      </w:r>
      <w:r>
        <w:t>2013</w:t>
      </w:r>
      <w:r>
        <w:rPr>
          <w:rFonts w:hint="eastAsia"/>
        </w:rPr>
        <w:t>年</w:t>
      </w:r>
      <w:r>
        <w:t>12月启动市人民医院、市中医院和市妇幼保健</w:t>
      </w:r>
      <w:r>
        <w:rPr>
          <w:rFonts w:hint="eastAsia"/>
        </w:rPr>
        <w:t>院公立医院改革工作。</w:t>
      </w:r>
    </w:p>
    <w:p w14:paraId="113C7295">
      <w:pPr>
        <w:pStyle w:val="3"/>
        <w:bidi w:val="0"/>
        <w:rPr>
          <w:rFonts w:hint="default"/>
          <w:lang w:val="en-US" w:eastAsia="zh-CN"/>
        </w:rPr>
      </w:pPr>
      <w:r>
        <w:rPr>
          <w:rFonts w:hint="eastAsia"/>
        </w:rPr>
        <w:t>公共卫生</w:t>
      </w:r>
      <w:r>
        <w:rPr>
          <w:rFonts w:hint="eastAsia"/>
          <w:lang w:val="en-US" w:eastAsia="zh-CN"/>
        </w:rPr>
        <w:t>应急体系建设</w:t>
      </w:r>
    </w:p>
    <w:p w14:paraId="6890B6BD">
      <w:pPr>
        <w:pStyle w:val="4"/>
        <w:bidi w:val="0"/>
        <w:rPr>
          <w:rFonts w:hint="eastAsia"/>
        </w:rPr>
      </w:pPr>
      <w:r>
        <w:rPr>
          <w:rFonts w:hint="eastAsia"/>
        </w:rPr>
        <w:t>【概况】</w:t>
      </w:r>
    </w:p>
    <w:p w14:paraId="0A0E597F">
      <w:pPr>
        <w:rPr>
          <w:rFonts w:hint="eastAsia"/>
        </w:rPr>
      </w:pPr>
      <w:r>
        <w:rPr>
          <w:rFonts w:hint="eastAsia"/>
        </w:rPr>
        <w:t>南雄市公共医疗卫生体系主要有市人民医院、市中医院、市卫生监督所、市疾病预防控制中心、市健康教育所、市妇幼保健院、市慢性病防治站、镇卫生院（社区卫生服务中心）的防保组及妇幼卫生组和村卫生站等机构组成。</w:t>
      </w:r>
    </w:p>
    <w:p w14:paraId="2DD45180">
      <w:pPr>
        <w:pStyle w:val="4"/>
        <w:bidi w:val="0"/>
        <w:rPr>
          <w:rFonts w:hint="eastAsia"/>
        </w:rPr>
      </w:pPr>
      <w:r>
        <w:rPr>
          <w:rFonts w:hint="eastAsia"/>
          <w:lang w:eastAsia="zh-CN"/>
        </w:rPr>
        <w:t>【</w:t>
      </w:r>
      <w:r>
        <w:rPr>
          <w:rFonts w:hint="eastAsia"/>
        </w:rPr>
        <w:t>应对突发公共卫生事件机制】</w:t>
      </w:r>
    </w:p>
    <w:p w14:paraId="37A29433">
      <w:pPr>
        <w:rPr>
          <w:rFonts w:hint="eastAsia"/>
        </w:rPr>
      </w:pPr>
      <w:r>
        <w:rPr>
          <w:rFonts w:hint="eastAsia"/>
        </w:rPr>
        <w:t>加强和完善卫生应急“一案三制”（制订修订应急预案，建立健全应急的体制、机制和法制），制定《南雄市卫生系统突发公共卫生事件应急预案》，并成立南雄市卫生系统突发公共卫生事件应急处理工作领导小组</w:t>
      </w:r>
      <w:r>
        <w:rPr>
          <w:rFonts w:hint="eastAsia"/>
          <w:lang w:eastAsia="zh-CN"/>
        </w:rPr>
        <w:t>，</w:t>
      </w:r>
      <w:r>
        <w:rPr>
          <w:rFonts w:hint="eastAsia"/>
        </w:rPr>
        <w:t>下设医疗救护、预防控制、卫生监督三个指导小组，重大传染病和突发公共卫生事件得到有效防控。一是与农业、畜牧、水利、环保、质监等部门建立协调机制，加强部门间突发公共卫生事件信息沟通与措施联动。二是结合卫生应急工作需要，制订和修订相关突发公共卫生事件防控预案，卫生应急预案框架体系逐步完善。三是建立健全全市</w:t>
      </w:r>
      <w:r>
        <w:t>24</w:t>
      </w:r>
      <w:r>
        <w:rPr>
          <w:rFonts w:hint="eastAsia"/>
        </w:rPr>
        <w:t>个镇级以上医疗卫生机构传染病疫情和突发公共卫生事件网络直报常态管理、实时监控机制，及时</w:t>
      </w:r>
      <w:r>
        <w:rPr>
          <w:rFonts w:hint="eastAsia"/>
          <w:lang w:eastAsia="zh-CN"/>
        </w:rPr>
        <w:t>、</w:t>
      </w:r>
      <w:r>
        <w:rPr>
          <w:rFonts w:hint="eastAsia"/>
        </w:rPr>
        <w:t>准确地对突发公共卫生事件作出预测、预警和预报。四是加强队伍建设。对村卫生站、镇级以上医疗机构和托幼机构、学校等相关卫生工作人员每年定期进行业务技术指导、培训、督促检</w:t>
      </w:r>
      <w:r>
        <w:rPr>
          <w:rFonts w:hint="eastAsia"/>
          <w:lang w:eastAsia="zh-CN"/>
        </w:rPr>
        <w:t>查</w:t>
      </w:r>
      <w:r>
        <w:rPr>
          <w:rFonts w:hint="eastAsia"/>
        </w:rPr>
        <w:t>，使之能够掌握突发公共卫生事件调</w:t>
      </w:r>
      <w:r>
        <w:rPr>
          <w:rFonts w:hint="eastAsia"/>
          <w:lang w:eastAsia="zh-CN"/>
        </w:rPr>
        <w:t>查</w:t>
      </w:r>
      <w:r>
        <w:rPr>
          <w:rFonts w:hint="eastAsia"/>
        </w:rPr>
        <w:t>处理办法，有效开展疾病预防控制工作；五是全面实施城乡居民健康档案管理、健康教育、预防接种、</w:t>
      </w:r>
      <w:r>
        <w:t>0~6岁儿童健康管</w:t>
      </w:r>
      <w:r>
        <w:rPr>
          <w:rFonts w:hint="eastAsia"/>
        </w:rPr>
        <w:t>理、孕产妇健康管理、老年人健康管理、</w:t>
      </w:r>
      <w:r>
        <w:rPr>
          <w:rFonts w:hint="eastAsia"/>
          <w:lang w:eastAsia="zh-CN"/>
        </w:rPr>
        <w:t>高</w:t>
      </w:r>
      <w:r>
        <w:rPr>
          <w:rFonts w:hint="eastAsia"/>
        </w:rPr>
        <w:t>血压患者健康管理、</w:t>
      </w:r>
      <w:r>
        <w:t>2型糖尿病患者健康管理、重性精神</w:t>
      </w:r>
      <w:r>
        <w:rPr>
          <w:rFonts w:hint="eastAsia"/>
        </w:rPr>
        <w:t>疾病患者管理、传染病及突发公共卫生事件报告和处理、卫生监督协管服务规范等基本公共卫生服务项目工作。六是全力做好突发公共卫生事件医疗救治工作，积极组织医疗、卫生机构专业人员开展应急演练，组织应急物资储备。七是广泛开展传染病防</w:t>
      </w:r>
      <w:r>
        <w:rPr>
          <w:rFonts w:hint="eastAsia"/>
          <w:lang w:val="en-US" w:eastAsia="zh-CN"/>
        </w:rPr>
        <w:t>治</w:t>
      </w:r>
      <w:r>
        <w:rPr>
          <w:rFonts w:hint="eastAsia"/>
        </w:rPr>
        <w:t>知识健康教育工作，提高居民防病控病意识；重点抓好人感染高致病性禽流感、手足口病、霍乱等疾病为主的传染病监测工作。</w:t>
      </w:r>
    </w:p>
    <w:p w14:paraId="19A761E3">
      <w:pPr>
        <w:pStyle w:val="3"/>
        <w:bidi w:val="0"/>
        <w:rPr>
          <w:rFonts w:hint="default"/>
          <w:lang w:val="en-US" w:eastAsia="zh-CN"/>
        </w:rPr>
      </w:pPr>
      <w:r>
        <w:rPr>
          <w:rFonts w:hint="eastAsia"/>
          <w:lang w:val="en-US" w:eastAsia="zh-CN"/>
        </w:rPr>
        <w:t>农村医疗卫生</w:t>
      </w:r>
    </w:p>
    <w:p w14:paraId="7D819C3C">
      <w:pPr>
        <w:pStyle w:val="4"/>
        <w:bidi w:val="0"/>
        <w:rPr>
          <w:rFonts w:hint="eastAsia"/>
        </w:rPr>
      </w:pPr>
      <w:r>
        <w:rPr>
          <w:rFonts w:hint="eastAsia"/>
        </w:rPr>
        <w:t>【基层医疗卫生设施建设】</w:t>
      </w:r>
    </w:p>
    <w:p w14:paraId="1FD06032">
      <w:pPr>
        <w:rPr>
          <w:rFonts w:hint="eastAsia"/>
        </w:rPr>
      </w:pPr>
      <w:r>
        <w:rPr>
          <w:rFonts w:hint="eastAsia"/>
        </w:rPr>
        <w:t>多渠道筹集资金和争取中央扩大内需基层医疗卫生服务体系建设项目建设资金改善就医环境。</w:t>
      </w:r>
      <w:r>
        <w:t>2013年市中医院住院大楼</w:t>
      </w:r>
      <w:r>
        <w:rPr>
          <w:rFonts w:hint="eastAsia"/>
        </w:rPr>
        <w:t>期工程已建成完工并投入使用，已启动二期工程建设；市疾病预防控制中心新办公大楼和坪田卫生院综合大楼已投入使用；市卫生监督所购置办公大楼、油山卫生院医技楼（中央投资项目）、澜河卫生院医技楼（中央投资项目）建设正在有序进行中。加大医疗设备投入，为油山、珠玑等</w:t>
      </w:r>
      <w:r>
        <w:rPr>
          <w:rFonts w:hint="eastAsia"/>
          <w:lang w:val="en-US" w:eastAsia="zh-CN"/>
        </w:rPr>
        <w:t>卫</w:t>
      </w:r>
      <w:r>
        <w:rPr>
          <w:rFonts w:hint="eastAsia"/>
        </w:rPr>
        <w:t>生院计算机放射成像系统（</w:t>
      </w:r>
      <w:r>
        <w:t>CR）、全自动分类血液细胞分</w:t>
      </w:r>
      <w:r>
        <w:rPr>
          <w:rFonts w:hint="eastAsia"/>
        </w:rPr>
        <w:t>析仪等一批高、尖、精仪器。基层医疗卫生机构整体装备水平进一步提高。</w:t>
      </w:r>
    </w:p>
    <w:p w14:paraId="2D084B4A">
      <w:pPr>
        <w:pStyle w:val="3"/>
        <w:bidi w:val="0"/>
        <w:rPr>
          <w:rFonts w:hint="default"/>
          <w:lang w:val="en-US" w:eastAsia="zh-CN"/>
        </w:rPr>
      </w:pPr>
      <w:r>
        <w:rPr>
          <w:rFonts w:hint="eastAsia"/>
          <w:lang w:val="en-US" w:eastAsia="zh-CN"/>
        </w:rPr>
        <w:t>疾病预防控制和卫生保健</w:t>
      </w:r>
    </w:p>
    <w:p w14:paraId="2AAE20A5">
      <w:pPr>
        <w:pStyle w:val="4"/>
        <w:bidi w:val="0"/>
        <w:rPr>
          <w:rFonts w:hint="eastAsia"/>
        </w:rPr>
      </w:pPr>
      <w:r>
        <w:rPr>
          <w:rFonts w:hint="eastAsia"/>
        </w:rPr>
        <w:t>【疾病预防控制】</w:t>
      </w:r>
    </w:p>
    <w:p w14:paraId="24080158">
      <w:r>
        <w:rPr>
          <w:rFonts w:hint="eastAsia"/>
        </w:rPr>
        <w:t>强化传染病和突发公共卫生事件网络直报工作。</w:t>
      </w:r>
      <w:r>
        <w:t>2013年，全市报告各类传染病病</w:t>
      </w:r>
      <w:r>
        <w:rPr>
          <w:rFonts w:hint="eastAsia"/>
        </w:rPr>
        <w:t>例</w:t>
      </w:r>
      <w:r>
        <w:t>17种2008例，发病率420.96/10万。无甲类传</w:t>
      </w:r>
      <w:r>
        <w:rPr>
          <w:rFonts w:hint="eastAsia"/>
        </w:rPr>
        <w:t>染病报告；报告乙类传染病</w:t>
      </w:r>
      <w:r>
        <w:t>11种1185例，发病率248.43/10万，发病居前三位的是病毒性肝炎、肺</w:t>
      </w:r>
      <w:r>
        <w:rPr>
          <w:rFonts w:hint="eastAsia"/>
        </w:rPr>
        <w:t>结核和梅毒；报告丙类传染病</w:t>
      </w:r>
      <w:r>
        <w:t>6种823例，发病率172.54/10万，发病居前三位的是手足口病、感染</w:t>
      </w:r>
      <w:r>
        <w:rPr>
          <w:rFonts w:hint="eastAsia"/>
        </w:rPr>
        <w:t>性腹泻和流行性腮腺炎。报告</w:t>
      </w:r>
      <w:r>
        <w:t>HIV/AIS病例5例。</w:t>
      </w:r>
    </w:p>
    <w:p w14:paraId="1C593A18">
      <w:pPr>
        <w:pStyle w:val="4"/>
        <w:bidi w:val="0"/>
        <w:rPr>
          <w:rFonts w:hint="eastAsia"/>
        </w:rPr>
      </w:pPr>
      <w:r>
        <w:rPr>
          <w:rFonts w:hint="eastAsia"/>
          <w:lang w:eastAsia="zh-CN"/>
        </w:rPr>
        <w:t>【</w:t>
      </w:r>
      <w:r>
        <w:rPr>
          <w:rFonts w:hint="eastAsia"/>
        </w:rPr>
        <w:t>重大疾病防控与突发公共卫生事件处置】</w:t>
      </w:r>
    </w:p>
    <w:p w14:paraId="3A6A31EA">
      <w:pPr>
        <w:rPr>
          <w:rFonts w:hint="eastAsia"/>
        </w:rPr>
      </w:pPr>
      <w:r>
        <w:rPr>
          <w:rFonts w:hint="eastAsia"/>
        </w:rPr>
        <w:t>加强</w:t>
      </w:r>
      <w:r>
        <w:t>H</w:t>
      </w:r>
      <w:r>
        <w:rPr>
          <w:rFonts w:hint="eastAsia"/>
          <w:lang w:val="en-US" w:eastAsia="zh-CN"/>
        </w:rPr>
        <w:t>1</w:t>
      </w:r>
      <w:r>
        <w:t>N1流感、手足口病等重大疾病防控工作。进一步完</w:t>
      </w:r>
      <w:r>
        <w:rPr>
          <w:rFonts w:hint="eastAsia"/>
        </w:rPr>
        <w:t>善医疗卫生机构传染病网络直报和发热病人监测等防控措施。</w:t>
      </w:r>
      <w:r>
        <w:t>2013年有效处置急性传染病疫情和卫生事件12起.其中手足口病疫情2起，麻疹疫情2起（不满6个月的儿童，按照免疫程序，未够接种麻疹疫苗时</w:t>
      </w:r>
      <w:r>
        <w:rPr>
          <w:rFonts w:hint="eastAsia"/>
        </w:rPr>
        <w:t>间发病），甲型</w:t>
      </w:r>
      <w:r>
        <w:t>H</w:t>
      </w:r>
      <w:r>
        <w:rPr>
          <w:rFonts w:hint="eastAsia"/>
          <w:lang w:val="en-US" w:eastAsia="zh-CN"/>
        </w:rPr>
        <w:t>1</w:t>
      </w:r>
      <w:r>
        <w:t>N1流感疫情2起，疟疾疫情1起</w:t>
      </w:r>
      <w:r>
        <w:rPr>
          <w:rFonts w:hint="eastAsia"/>
        </w:rPr>
        <w:t>（外出非洲务工民工的输入性病例），水痘疫情</w:t>
      </w:r>
      <w:r>
        <w:t>2起，</w:t>
      </w:r>
      <w:r>
        <w:rPr>
          <w:rFonts w:hint="eastAsia"/>
        </w:rPr>
        <w:t>高危</w:t>
      </w:r>
      <w:r>
        <w:t>AFP疫情1起。一犬伤及多人事件2起。未发生</w:t>
      </w:r>
      <w:r>
        <w:rPr>
          <w:rFonts w:hint="eastAsia"/>
        </w:rPr>
        <w:t>有重大影响的突发公共卫生事件。</w:t>
      </w:r>
    </w:p>
    <w:p w14:paraId="029F5263">
      <w:pPr>
        <w:pStyle w:val="4"/>
        <w:bidi w:val="0"/>
        <w:rPr>
          <w:rFonts w:hint="eastAsia"/>
        </w:rPr>
      </w:pPr>
      <w:r>
        <w:rPr>
          <w:rFonts w:hint="eastAsia"/>
        </w:rPr>
        <w:t>【巩固地方病、慢性非传染性疾病防治效果】</w:t>
      </w:r>
    </w:p>
    <w:p w14:paraId="19FF4D8F">
      <w:pPr>
        <w:rPr>
          <w:rFonts w:hint="eastAsia" w:eastAsia="宋体"/>
          <w:lang w:eastAsia="zh-CN"/>
        </w:rPr>
      </w:pPr>
      <w:r>
        <w:rPr>
          <w:rFonts w:hint="eastAsia"/>
        </w:rPr>
        <w:t>是落实碘缺乏病监控。</w:t>
      </w:r>
      <w:r>
        <w:t>2013年按省、市碘缺乏病监</w:t>
      </w:r>
      <w:r>
        <w:rPr>
          <w:rFonts w:hint="eastAsia"/>
        </w:rPr>
        <w:t>控方案要求，对界址镇、乌迳镇、全安镇、江头镇、雄州街道</w:t>
      </w:r>
      <w:r>
        <w:t>5个乡镇20个行政村或街道300户居</w:t>
      </w:r>
      <w:r>
        <w:rPr>
          <w:rFonts w:hint="eastAsia"/>
        </w:rPr>
        <w:t>民的食用盐样、</w:t>
      </w:r>
      <w:r>
        <w:t>10份水样进行采集检测，经检测碘</w:t>
      </w:r>
      <w:r>
        <w:rPr>
          <w:rFonts w:hint="eastAsia"/>
        </w:rPr>
        <w:t>盐合格率为</w:t>
      </w:r>
      <w:r>
        <w:t>94%。联合市盐务分局积极开展第20</w:t>
      </w:r>
      <w:r>
        <w:rPr>
          <w:rFonts w:hint="eastAsia"/>
        </w:rPr>
        <w:t>个“全国防治碘缺乏病宣传日”活动，进一步提高市民对“碘缺乏病”危害的认识。二是加强高血压和糖尿病管理服务。全市累计建立高血压档案</w:t>
      </w:r>
      <w:r>
        <w:t>28202份，建档率66.7%，规范管理人数2413</w:t>
      </w:r>
      <w:r>
        <w:rPr>
          <w:rFonts w:hint="eastAsia"/>
          <w:lang w:val="en-US" w:eastAsia="zh-CN"/>
        </w:rPr>
        <w:t>3</w:t>
      </w:r>
      <w:r>
        <w:t>人</w:t>
      </w:r>
      <w:r>
        <w:rPr>
          <w:rFonts w:hint="eastAsia"/>
          <w:lang w:eastAsia="zh-CN"/>
        </w:rPr>
        <w:t>，</w:t>
      </w:r>
      <w:r>
        <w:rPr>
          <w:rFonts w:hint="eastAsia"/>
        </w:rPr>
        <w:t>规范管理率为</w:t>
      </w:r>
      <w:r>
        <w:t>85.6%，血压达标人数19138人，血</w:t>
      </w:r>
      <w:r>
        <w:rPr>
          <w:rFonts w:hint="eastAsia"/>
        </w:rPr>
        <w:t>压达标率为</w:t>
      </w:r>
      <w:r>
        <w:t>79.3%；建立糖尿病档案7583人，建</w:t>
      </w:r>
      <w:r>
        <w:rPr>
          <w:rFonts w:hint="eastAsia"/>
        </w:rPr>
        <w:t>档率为</w:t>
      </w:r>
      <w:r>
        <w:t>90.0%，规范管理人数6144人，规范管理</w:t>
      </w:r>
      <w:r>
        <w:rPr>
          <w:rFonts w:hint="eastAsia"/>
        </w:rPr>
        <w:t>率为</w:t>
      </w:r>
      <w:r>
        <w:t>84.6%，血糖达标人数5124人，血糖达标率</w:t>
      </w:r>
      <w:r>
        <w:rPr>
          <w:rFonts w:hint="eastAsia"/>
        </w:rPr>
        <w:t>为</w:t>
      </w:r>
      <w:r>
        <w:t>67.6%。三是规范做好死因、伤害、心脑血管和</w:t>
      </w:r>
      <w:r>
        <w:rPr>
          <w:rFonts w:hint="eastAsia"/>
        </w:rPr>
        <w:t>肿瘤等慢病监测。监测全人群死亡个案</w:t>
      </w:r>
      <w:r>
        <w:t>2895例，</w:t>
      </w:r>
      <w:r>
        <w:rPr>
          <w:rFonts w:hint="eastAsia"/>
        </w:rPr>
        <w:t>死亡报告率为</w:t>
      </w:r>
      <w:r>
        <w:t>6.54</w:t>
      </w:r>
      <w:r>
        <w:rPr>
          <w:rFonts w:hint="eastAsia" w:ascii="宋体" w:hAnsi="宋体" w:cs="宋体"/>
        </w:rPr>
        <w:t>‰</w:t>
      </w:r>
      <w:r>
        <w:t>；监测伤害病例8838人，心</w:t>
      </w:r>
      <w:r>
        <w:rPr>
          <w:rFonts w:hint="eastAsia"/>
        </w:rPr>
        <w:t>脑血管事件病例</w:t>
      </w:r>
      <w:r>
        <w:t>1286例，肿瘤病例734例。四是</w:t>
      </w:r>
      <w:r>
        <w:rPr>
          <w:rFonts w:hint="eastAsia"/>
        </w:rPr>
        <w:t>开展慢病及其危险因素监测。对古市镇、澜河镇、湖口镇、雄州街道</w:t>
      </w:r>
      <w:r>
        <w:t>18岁以上人群601人开展慢病</w:t>
      </w:r>
      <w:r>
        <w:rPr>
          <w:rFonts w:hint="eastAsia"/>
        </w:rPr>
        <w:t>及其危险因素监测；对乌迳镇的</w:t>
      </w:r>
      <w:r>
        <w:t>3个村委会所有常</w:t>
      </w:r>
      <w:r>
        <w:rPr>
          <w:rFonts w:hint="eastAsia"/>
        </w:rPr>
        <w:t>住人口开展心脑血管疾病流行病学调</w:t>
      </w:r>
      <w:r>
        <w:rPr>
          <w:rFonts w:hint="eastAsia"/>
          <w:lang w:eastAsia="zh-CN"/>
        </w:rPr>
        <w:t>查</w:t>
      </w:r>
      <w:r>
        <w:rPr>
          <w:rFonts w:hint="eastAsia"/>
        </w:rPr>
        <w:t>，共调</w:t>
      </w:r>
      <w:r>
        <w:rPr>
          <w:rFonts w:hint="eastAsia"/>
          <w:lang w:eastAsia="zh-CN"/>
        </w:rPr>
        <w:t>查</w:t>
      </w:r>
      <w:r>
        <w:t>1297户，4635人。五是推进国家级慢性病综合防</w:t>
      </w:r>
      <w:r>
        <w:rPr>
          <w:rFonts w:hint="eastAsia"/>
        </w:rPr>
        <w:t>控示范区创建工作。按照巩固基础、稳步推进、不断扩大的原则，在现有基础上，推进全民健康生活方式，不断扩大示范创建的覆盖面。</w:t>
      </w:r>
      <w:r>
        <w:t>2013年创建示</w:t>
      </w:r>
      <w:r>
        <w:rPr>
          <w:rFonts w:hint="eastAsia"/>
        </w:rPr>
        <w:t>范社区</w:t>
      </w:r>
      <w:r>
        <w:t>6个，示范单位5个，示范食堂5个，示范</w:t>
      </w:r>
      <w:r>
        <w:rPr>
          <w:rFonts w:hint="eastAsia"/>
        </w:rPr>
        <w:t>餐厅</w:t>
      </w:r>
      <w:r>
        <w:t>5个，新组建患者自我管理小组2个</w:t>
      </w:r>
      <w:r>
        <w:rPr>
          <w:rFonts w:hint="eastAsia"/>
          <w:lang w:eastAsia="zh-CN"/>
        </w:rPr>
        <w:t>。</w:t>
      </w:r>
    </w:p>
    <w:p w14:paraId="424D38C4">
      <w:pPr>
        <w:pStyle w:val="4"/>
        <w:bidi w:val="0"/>
        <w:rPr>
          <w:rFonts w:hint="eastAsia"/>
        </w:rPr>
      </w:pPr>
      <w:r>
        <w:rPr>
          <w:rFonts w:hint="eastAsia"/>
        </w:rPr>
        <w:t>【免疫规划】</w:t>
      </w:r>
    </w:p>
    <w:p w14:paraId="7C1A130C">
      <w:r>
        <w:rPr>
          <w:rFonts w:hint="eastAsia"/>
          <w:lang w:val="en-US" w:eastAsia="zh-CN"/>
        </w:rPr>
        <w:t>一</w:t>
      </w:r>
      <w:r>
        <w:rPr>
          <w:rFonts w:hint="eastAsia"/>
        </w:rPr>
        <w:t>是稳步实施国家扩大免疫规划工作。</w:t>
      </w:r>
      <w:r>
        <w:t>2013年全市一类疫苗（卡介苗、麻疹疫苗、百</w:t>
      </w:r>
      <w:r>
        <w:rPr>
          <w:rFonts w:hint="eastAsia"/>
        </w:rPr>
        <w:t>白破疫苗、乙肝疫苗、脊髓灰质炎疫苗、乙脑疫苗、流脑疫苗、麻腮风疫苗、甲肝疫苗）基础免疫、加强免疫接种率均达</w:t>
      </w:r>
      <w:r>
        <w:t>99%以上。二是开展脊髓</w:t>
      </w:r>
      <w:r>
        <w:rPr>
          <w:rFonts w:hint="eastAsia"/>
        </w:rPr>
        <w:t>灰质炎疫苗和含麻疹疫苗成分补充免疫活动。脊灰疫苗补充免疫人数达</w:t>
      </w:r>
      <w:r>
        <w:t>20</w:t>
      </w:r>
      <w:r>
        <w:rPr>
          <w:rFonts w:hint="eastAsia"/>
          <w:lang w:val="en-US" w:eastAsia="zh-CN"/>
        </w:rPr>
        <w:t>0</w:t>
      </w:r>
      <w:r>
        <w:t>33人，接种率98.79%；</w:t>
      </w:r>
      <w:r>
        <w:rPr>
          <w:rFonts w:hint="eastAsia"/>
        </w:rPr>
        <w:t>含麻疹疫苗成分补充免疫人数达</w:t>
      </w:r>
      <w:r>
        <w:t>16946人，接种率98.40%。三是严格执行儿童入园、入学</w:t>
      </w:r>
      <w:r>
        <w:rPr>
          <w:rFonts w:hint="eastAsia"/>
          <w:lang w:eastAsia="zh-CN"/>
        </w:rPr>
        <w:t>查</w:t>
      </w:r>
      <w:r>
        <w:t>验证制</w:t>
      </w:r>
      <w:r>
        <w:rPr>
          <w:rFonts w:hint="eastAsia"/>
        </w:rPr>
        <w:t>度。对全市</w:t>
      </w:r>
      <w:r>
        <w:t>129间小学和58间幼儿园开展儿童入</w:t>
      </w:r>
      <w:r>
        <w:rPr>
          <w:rFonts w:hint="eastAsia"/>
        </w:rPr>
        <w:t>园入学</w:t>
      </w:r>
      <w:r>
        <w:rPr>
          <w:rFonts w:hint="eastAsia"/>
          <w:lang w:eastAsia="zh-CN"/>
        </w:rPr>
        <w:t>查</w:t>
      </w:r>
      <w:r>
        <w:rPr>
          <w:rFonts w:hint="eastAsia"/>
        </w:rPr>
        <w:t>验预防接种证工作，全市应</w:t>
      </w:r>
      <w:r>
        <w:rPr>
          <w:rFonts w:hint="eastAsia"/>
          <w:lang w:eastAsia="zh-CN"/>
        </w:rPr>
        <w:t>查</w:t>
      </w:r>
      <w:r>
        <w:t>8410人，</w:t>
      </w:r>
      <w:r>
        <w:rPr>
          <w:rFonts w:hint="eastAsia"/>
        </w:rPr>
        <w:t>已</w:t>
      </w:r>
      <w:r>
        <w:rPr>
          <w:rFonts w:hint="eastAsia"/>
          <w:lang w:eastAsia="zh-CN"/>
        </w:rPr>
        <w:t>查</w:t>
      </w:r>
      <w:r>
        <w:t>8305人，</w:t>
      </w:r>
      <w:r>
        <w:rPr>
          <w:rFonts w:hint="eastAsia"/>
          <w:lang w:eastAsia="zh-CN"/>
        </w:rPr>
        <w:t>查</w:t>
      </w:r>
      <w:r>
        <w:t>验证率达98.75%。四是开展免疫</w:t>
      </w:r>
      <w:r>
        <w:rPr>
          <w:rFonts w:hint="eastAsia"/>
        </w:rPr>
        <w:t>监测。监测麻疹疑似病例</w:t>
      </w:r>
      <w:r>
        <w:t>6例，排除4例，确诊2</w:t>
      </w:r>
      <w:r>
        <w:rPr>
          <w:rFonts w:hint="eastAsia"/>
        </w:rPr>
        <w:t>例，为县外医疗机构报告本地病例；报告</w:t>
      </w:r>
      <w:r>
        <w:t>AFP病例2例（其中1例为7月份韶关报告本地的高危AFP</w:t>
      </w:r>
      <w:r>
        <w:rPr>
          <w:rFonts w:hint="eastAsia"/>
        </w:rPr>
        <w:t>病例）；</w:t>
      </w:r>
      <w:r>
        <w:t>AEFI监测13例，其中12例为一般反应，1例为异常反应（过敏性皮疹）；与省疾控中心监</w:t>
      </w:r>
      <w:r>
        <w:rPr>
          <w:rFonts w:hint="eastAsia"/>
        </w:rPr>
        <w:t>测</w:t>
      </w:r>
      <w:r>
        <w:t>1例白喉疑似病例，为排除病例；未发现破伤风</w:t>
      </w:r>
      <w:r>
        <w:rPr>
          <w:rFonts w:hint="eastAsia"/>
        </w:rPr>
        <w:t>病例。五是加强预防接种信息化管理。全年建立儿童预防接种个案</w:t>
      </w:r>
      <w:r>
        <w:t>7228人。</w:t>
      </w:r>
    </w:p>
    <w:p w14:paraId="15B82D1D">
      <w:pPr>
        <w:pStyle w:val="4"/>
        <w:bidi w:val="0"/>
        <w:rPr>
          <w:rFonts w:hint="eastAsia"/>
        </w:rPr>
      </w:pPr>
      <w:r>
        <w:rPr>
          <w:rFonts w:hint="eastAsia"/>
        </w:rPr>
        <w:t>【妇幼保健】</w:t>
      </w:r>
    </w:p>
    <w:p w14:paraId="115ABD5B">
      <w:r>
        <w:rPr>
          <w:rFonts w:hint="eastAsia"/>
        </w:rPr>
        <w:t>开展重大公共卫生服务妇幼项目。实行农村孕产妇住院分娩补助</w:t>
      </w:r>
      <w:r>
        <w:t>100元和育龄妇女免</w:t>
      </w:r>
      <w:r>
        <w:rPr>
          <w:rFonts w:hint="eastAsia"/>
        </w:rPr>
        <w:t>费补服叶酸项目，</w:t>
      </w:r>
      <w:r>
        <w:t>2013年，补助农村住院分娩孕产</w:t>
      </w:r>
      <w:r>
        <w:rPr>
          <w:rFonts w:hint="eastAsia"/>
        </w:rPr>
        <w:t>妇</w:t>
      </w:r>
      <w:r>
        <w:t>4100人；为全市准备怀孕和孕3个月内的农村</w:t>
      </w:r>
      <w:r>
        <w:rPr>
          <w:rFonts w:hint="eastAsia"/>
        </w:rPr>
        <w:t>妇女免费增补叶酸</w:t>
      </w:r>
      <w:r>
        <w:t>3353人；启动了农村贫困妇女</w:t>
      </w:r>
      <w:r>
        <w:rPr>
          <w:rFonts w:hint="eastAsia"/>
        </w:rPr>
        <w:t>乳腺癌、宫颈癌免费筛</w:t>
      </w:r>
      <w:r>
        <w:rPr>
          <w:rFonts w:hint="eastAsia"/>
          <w:lang w:eastAsia="zh-CN"/>
        </w:rPr>
        <w:t>查</w:t>
      </w:r>
      <w:r>
        <w:rPr>
          <w:rFonts w:hint="eastAsia"/>
        </w:rPr>
        <w:t>项目。</w:t>
      </w:r>
      <w:r>
        <w:t>2013年筛</w:t>
      </w:r>
      <w:r>
        <w:rPr>
          <w:rFonts w:hint="eastAsia"/>
          <w:lang w:eastAsia="zh-CN"/>
        </w:rPr>
        <w:t>查</w:t>
      </w:r>
      <w:r>
        <w:t>2204</w:t>
      </w:r>
      <w:r>
        <w:rPr>
          <w:rFonts w:hint="eastAsia"/>
        </w:rPr>
        <w:t>人，其中建议乳腺高频彩超的</w:t>
      </w:r>
      <w:r>
        <w:t>63人；转诊钼靶8</w:t>
      </w:r>
      <w:r>
        <w:rPr>
          <w:rFonts w:hint="eastAsia"/>
        </w:rPr>
        <w:t>人，（追踪）确诊</w:t>
      </w:r>
      <w:r>
        <w:t>2名乳腺癌患者，现已手术治疗。</w:t>
      </w:r>
    </w:p>
    <w:p w14:paraId="3F49A101">
      <w:pPr>
        <w:rPr>
          <w:rFonts w:hint="eastAsia"/>
          <w:lang w:eastAsia="zh-CN"/>
        </w:rPr>
      </w:pPr>
      <w:r>
        <w:rPr>
          <w:rFonts w:hint="eastAsia"/>
        </w:rPr>
        <w:t>孕产妇系统管理工作。</w:t>
      </w:r>
      <w:r>
        <w:t>2013年全市产妇总数4460人，活产数4476人，孕产妇系统管理4303</w:t>
      </w:r>
      <w:r>
        <w:rPr>
          <w:rFonts w:hint="eastAsia"/>
        </w:rPr>
        <w:t>人，管理率</w:t>
      </w:r>
      <w:r>
        <w:t>96.13%；产后访视4381人，访视率97.88%；住院分娩4476人，住院分娩率100%。</w:t>
      </w:r>
      <w:r>
        <w:rPr>
          <w:rFonts w:hint="eastAsia"/>
        </w:rPr>
        <w:t>全市高危孕产妇</w:t>
      </w:r>
      <w:r>
        <w:t>695人，高危孕产妇住院分娩率100%。无孕产妇死亡</w:t>
      </w:r>
      <w:r>
        <w:rPr>
          <w:rFonts w:hint="eastAsia"/>
          <w:lang w:eastAsia="zh-CN"/>
        </w:rPr>
        <w:t>。</w:t>
      </w:r>
    </w:p>
    <w:p w14:paraId="07480DD8">
      <w:pPr>
        <w:rPr>
          <w:rFonts w:hint="eastAsia"/>
          <w:lang w:eastAsia="zh-CN"/>
        </w:rPr>
      </w:pPr>
      <w:r>
        <w:rPr>
          <w:rFonts w:hint="eastAsia"/>
        </w:rPr>
        <w:t>儿童系统管理工作。</w:t>
      </w:r>
      <w:r>
        <w:t>2013年全市7岁以下儿童33550人，保健覆盖人数32709人，保健率97.49%。2013年全市5岁以下儿童死亡32例，死</w:t>
      </w:r>
      <w:r>
        <w:rPr>
          <w:rFonts w:hint="eastAsia"/>
        </w:rPr>
        <w:t>亡率为</w:t>
      </w:r>
      <w:r>
        <w:t>7.14%；婴儿死亡24例，死亡率5.36‰，</w:t>
      </w:r>
      <w:r>
        <w:rPr>
          <w:rFonts w:hint="eastAsia"/>
        </w:rPr>
        <w:t>均低于《两纲》要求</w:t>
      </w:r>
      <w:r>
        <w:t>13</w:t>
      </w:r>
      <w:r>
        <w:rPr>
          <w:rFonts w:hint="eastAsia" w:ascii="宋体" w:hAnsi="宋体" w:cs="宋体"/>
        </w:rPr>
        <w:t>‰</w:t>
      </w:r>
      <w:r>
        <w:t>和10</w:t>
      </w:r>
      <w:r>
        <w:rPr>
          <w:rFonts w:hint="eastAsia" w:ascii="宋体" w:hAnsi="宋体" w:cs="宋体"/>
        </w:rPr>
        <w:t>‰</w:t>
      </w:r>
      <w:r>
        <w:t>的水平，新生儿</w:t>
      </w:r>
      <w:r>
        <w:rPr>
          <w:rFonts w:hint="eastAsia"/>
        </w:rPr>
        <w:t>死亡</w:t>
      </w:r>
      <w:r>
        <w:t>11例，死亡率2.46‰</w:t>
      </w:r>
      <w:r>
        <w:rPr>
          <w:rFonts w:hint="eastAsia"/>
          <w:lang w:eastAsia="zh-CN"/>
        </w:rPr>
        <w:t>。</w:t>
      </w:r>
    </w:p>
    <w:p w14:paraId="175A8E09">
      <w:r>
        <w:rPr>
          <w:rFonts w:hint="eastAsia"/>
        </w:rPr>
        <w:t>开展出生缺陷和新生儿破伤风监测工作。</w:t>
      </w:r>
      <w:r>
        <w:t>2013</w:t>
      </w:r>
      <w:r>
        <w:rPr>
          <w:rFonts w:hint="eastAsia"/>
        </w:rPr>
        <w:t>年全市共监测</w:t>
      </w:r>
      <w:r>
        <w:t>4952例围产儿，发现出生缺陷儿24</w:t>
      </w:r>
      <w:r>
        <w:rPr>
          <w:rFonts w:hint="eastAsia"/>
        </w:rPr>
        <w:t>例，发生率为</w:t>
      </w:r>
      <w:r>
        <w:t>46.15/万。无新生儿破伤风发生，新</w:t>
      </w:r>
      <w:r>
        <w:rPr>
          <w:rFonts w:hint="eastAsia"/>
        </w:rPr>
        <w:t>生儿破伤风发生率为</w:t>
      </w:r>
      <w:r>
        <w:t>0‰。</w:t>
      </w:r>
    </w:p>
    <w:p w14:paraId="6D806864">
      <w:pPr>
        <w:pStyle w:val="4"/>
        <w:bidi w:val="0"/>
        <w:rPr>
          <w:rFonts w:hint="eastAsia"/>
        </w:rPr>
      </w:pPr>
      <w:r>
        <w:rPr>
          <w:rFonts w:hint="eastAsia"/>
        </w:rPr>
        <w:t>【健康教育】</w:t>
      </w:r>
    </w:p>
    <w:p w14:paraId="0691AB98">
      <w:pPr>
        <w:rPr>
          <w:rFonts w:hint="eastAsia"/>
        </w:rPr>
      </w:pPr>
      <w:r>
        <w:rPr>
          <w:rFonts w:hint="eastAsia"/>
        </w:rPr>
        <w:t>一是充分利用各种专项监测和卫生宣传日活动开展卫生防病知识宣传教育。</w:t>
      </w:r>
      <w:r>
        <w:t>2013年在市</w:t>
      </w:r>
      <w:r>
        <w:rPr>
          <w:rFonts w:hint="eastAsia"/>
        </w:rPr>
        <w:t>区组织开展各类卫生宣传日活动</w:t>
      </w:r>
      <w:r>
        <w:t>10次，制作和订制</w:t>
      </w:r>
      <w:r>
        <w:rPr>
          <w:rFonts w:hint="eastAsia"/>
        </w:rPr>
        <w:t>宣传小册子、宣传折页等</w:t>
      </w:r>
      <w:r>
        <w:t>12种，发放宣传资料9500</w:t>
      </w:r>
      <w:r>
        <w:rPr>
          <w:rFonts w:hint="eastAsia"/>
        </w:rPr>
        <w:t>多份，发放慢病支持工具</w:t>
      </w:r>
      <w:r>
        <w:t>6种1.6万多份。二是组织</w:t>
      </w:r>
      <w:r>
        <w:rPr>
          <w:rFonts w:hint="eastAsia"/>
        </w:rPr>
        <w:t>实施卫生防病知晓率调</w:t>
      </w:r>
      <w:r>
        <w:rPr>
          <w:rFonts w:hint="eastAsia"/>
          <w:lang w:eastAsia="zh-CN"/>
        </w:rPr>
        <w:t>查</w:t>
      </w:r>
      <w:r>
        <w:rPr>
          <w:rFonts w:hint="eastAsia"/>
        </w:rPr>
        <w:t>。分别开展目标人群重点卫生防病知晓率调</w:t>
      </w:r>
      <w:r>
        <w:rPr>
          <w:rFonts w:hint="eastAsia"/>
          <w:lang w:eastAsia="zh-CN"/>
        </w:rPr>
        <w:t>查</w:t>
      </w:r>
      <w:r>
        <w:rPr>
          <w:rFonts w:hint="eastAsia"/>
        </w:rPr>
        <w:t>，调</w:t>
      </w:r>
      <w:r>
        <w:rPr>
          <w:rFonts w:hint="eastAsia"/>
          <w:lang w:eastAsia="zh-CN"/>
        </w:rPr>
        <w:t>查</w:t>
      </w:r>
      <w:r>
        <w:t>3类人群（机关单位工</w:t>
      </w:r>
      <w:r>
        <w:rPr>
          <w:rFonts w:hint="eastAsia"/>
        </w:rPr>
        <w:t>作人员、餐饮服务业人员、乡镇农民）</w:t>
      </w:r>
      <w:r>
        <w:t>300人；开展</w:t>
      </w:r>
      <w:r>
        <w:rPr>
          <w:rFonts w:hint="eastAsia"/>
        </w:rPr>
        <w:t>城乡居民基本卫生防病知识知晓率及行为形成率调</w:t>
      </w:r>
      <w:r>
        <w:rPr>
          <w:rFonts w:hint="eastAsia"/>
          <w:lang w:eastAsia="zh-CN"/>
        </w:rPr>
        <w:t>查</w:t>
      </w:r>
      <w:r>
        <w:rPr>
          <w:rFonts w:hint="eastAsia"/>
        </w:rPr>
        <w:t>，调</w:t>
      </w:r>
      <w:r>
        <w:rPr>
          <w:rFonts w:hint="eastAsia"/>
          <w:lang w:eastAsia="zh-CN"/>
        </w:rPr>
        <w:t>查</w:t>
      </w:r>
      <w:r>
        <w:rPr>
          <w:rFonts w:hint="eastAsia"/>
        </w:rPr>
        <w:t>城乡居民</w:t>
      </w:r>
      <w:r>
        <w:t>500人。三是开展人感染H7N</w:t>
      </w:r>
      <w:r>
        <w:rPr>
          <w:rFonts w:hint="eastAsia"/>
          <w:lang w:val="en-US" w:eastAsia="zh-CN"/>
        </w:rPr>
        <w:t>9</w:t>
      </w:r>
      <w:r>
        <w:t>禽</w:t>
      </w:r>
      <w:r>
        <w:rPr>
          <w:rFonts w:hint="eastAsia"/>
        </w:rPr>
        <w:t>流感防控健康教育。针对我国人感染</w:t>
      </w:r>
      <w:r>
        <w:t>H7N9禽流感疫</w:t>
      </w:r>
      <w:r>
        <w:rPr>
          <w:rFonts w:hint="eastAsia"/>
        </w:rPr>
        <w:t>情形势，在市电视台播放</w:t>
      </w:r>
      <w:r>
        <w:t>H7N9禽流感防控知识，在</w:t>
      </w:r>
      <w:r>
        <w:rPr>
          <w:rFonts w:hint="eastAsia"/>
        </w:rPr>
        <w:t>禽类市场、医疗机构等场所发放</w:t>
      </w:r>
      <w:r>
        <w:t>H7N</w:t>
      </w:r>
      <w:r>
        <w:rPr>
          <w:rFonts w:hint="eastAsia"/>
          <w:lang w:val="en-US" w:eastAsia="zh-CN"/>
        </w:rPr>
        <w:t>9</w:t>
      </w:r>
      <w:r>
        <w:t>禽流感防控画</w:t>
      </w:r>
      <w:r>
        <w:rPr>
          <w:rFonts w:hint="eastAsia"/>
        </w:rPr>
        <w:t>报、折页等宣传资料。四是积极倡导全民健康生活方式，推进慢性病综合防控示范区创建。对示范社区、示范单位、示范食堂、示范餐厅的创建进行健康教育工作指导和提供技术支持。</w:t>
      </w:r>
    </w:p>
    <w:p w14:paraId="1638797B">
      <w:pPr>
        <w:pStyle w:val="3"/>
        <w:bidi w:val="0"/>
        <w:rPr>
          <w:rFonts w:hint="default"/>
          <w:lang w:val="en-US" w:eastAsia="zh-CN"/>
        </w:rPr>
      </w:pPr>
      <w:r>
        <w:rPr>
          <w:rFonts w:hint="eastAsia"/>
          <w:lang w:val="en-US" w:eastAsia="zh-CN"/>
        </w:rPr>
        <w:t>医疗质量与医疗科研</w:t>
      </w:r>
    </w:p>
    <w:p w14:paraId="577FCD71">
      <w:pPr>
        <w:pStyle w:val="4"/>
        <w:bidi w:val="0"/>
        <w:rPr>
          <w:rFonts w:hint="eastAsia"/>
        </w:rPr>
      </w:pPr>
      <w:r>
        <w:rPr>
          <w:rFonts w:hint="eastAsia"/>
        </w:rPr>
        <w:t>【医疗质量管理】</w:t>
      </w:r>
    </w:p>
    <w:p w14:paraId="0EDFA92F">
      <w:pPr>
        <w:rPr>
          <w:rFonts w:hint="eastAsia"/>
        </w:rPr>
      </w:pPr>
      <w:r>
        <w:rPr>
          <w:rFonts w:hint="eastAsia"/>
        </w:rPr>
        <w:t>继续开展以完善规章制度、落实岗位职责、严格诊</w:t>
      </w:r>
      <w:r>
        <w:rPr>
          <w:rFonts w:hint="eastAsia"/>
          <w:lang w:val="en-US" w:eastAsia="zh-CN"/>
        </w:rPr>
        <w:t>疗</w:t>
      </w:r>
      <w:r>
        <w:rPr>
          <w:rFonts w:hint="eastAsia"/>
        </w:rPr>
        <w:t>护理常规和各项技术规程为主的医疗质量，全面开展卫生技术人员培训。</w:t>
      </w:r>
      <w:r>
        <w:t>2013</w:t>
      </w:r>
      <w:r>
        <w:rPr>
          <w:rFonts w:hint="eastAsia"/>
        </w:rPr>
        <w:t>年全市组织各医疗机构集中培训学习共</w:t>
      </w:r>
      <w:r>
        <w:t>228次，</w:t>
      </w:r>
      <w:r>
        <w:rPr>
          <w:rFonts w:hint="eastAsia"/>
        </w:rPr>
        <w:t>“三基”理论考试合格率为</w:t>
      </w:r>
      <w:r>
        <w:t>100%。加强落实各项</w:t>
      </w:r>
      <w:r>
        <w:rPr>
          <w:rFonts w:hint="eastAsia"/>
        </w:rPr>
        <w:t>医疗质量管理规章制度。</w:t>
      </w:r>
      <w:r>
        <w:t>2013年市卫生局每季度就</w:t>
      </w:r>
      <w:r>
        <w:rPr>
          <w:rFonts w:hint="eastAsia"/>
        </w:rPr>
        <w:t>执行医疗质量和医疗安全核心制度等情况对各医疗卫生单位进行督导检</w:t>
      </w:r>
      <w:r>
        <w:rPr>
          <w:rFonts w:hint="eastAsia"/>
          <w:lang w:eastAsia="zh-CN"/>
        </w:rPr>
        <w:t>查</w:t>
      </w:r>
      <w:r>
        <w:rPr>
          <w:rFonts w:hint="eastAsia"/>
        </w:rPr>
        <w:t>，促进医务人员增强依法执业意识，改善医疗服务质量，提高医疗技术水平</w:t>
      </w:r>
      <w:r>
        <w:rPr>
          <w:rFonts w:hint="eastAsia"/>
          <w:lang w:eastAsia="zh-CN"/>
        </w:rPr>
        <w:t>，</w:t>
      </w:r>
      <w:r>
        <w:rPr>
          <w:rFonts w:hint="eastAsia"/>
        </w:rPr>
        <w:t>减少医疗纠纷。</w:t>
      </w:r>
    </w:p>
    <w:p w14:paraId="4F64CDFF">
      <w:pPr>
        <w:pStyle w:val="4"/>
        <w:bidi w:val="0"/>
        <w:rPr>
          <w:rFonts w:hint="eastAsia"/>
        </w:rPr>
      </w:pPr>
      <w:r>
        <w:rPr>
          <w:rFonts w:hint="eastAsia"/>
        </w:rPr>
        <w:t>【科研成果】</w:t>
      </w:r>
    </w:p>
    <w:p w14:paraId="26B9F0A1">
      <w:pPr>
        <w:rPr>
          <w:rFonts w:hint="eastAsia"/>
        </w:rPr>
      </w:pPr>
      <w:r>
        <w:rPr>
          <w:rFonts w:hint="eastAsia"/>
        </w:rPr>
        <w:t>推行“科教兴医”战略，卫生科研工作有新进展。市人民医院、市中医院、市疾病预防控制中心、市妇幼保健院等单位积极申报“推</w:t>
      </w:r>
      <w:r>
        <w:rPr>
          <w:rFonts w:hint="eastAsia"/>
          <w:lang w:eastAsia="zh-CN"/>
        </w:rPr>
        <w:t>广</w:t>
      </w:r>
      <w:r>
        <w:rPr>
          <w:rFonts w:hint="eastAsia"/>
        </w:rPr>
        <w:t>新技术、新项目”。</w:t>
      </w:r>
      <w:r>
        <w:t>2013年全市共申报了38个</w:t>
      </w:r>
      <w:r>
        <w:rPr>
          <w:rFonts w:hint="eastAsia"/>
        </w:rPr>
        <w:t>“新技术、新项目”科研课题。</w:t>
      </w:r>
    </w:p>
    <w:p w14:paraId="6694D110">
      <w:pPr>
        <w:pStyle w:val="4"/>
        <w:bidi w:val="0"/>
        <w:rPr>
          <w:rFonts w:hint="eastAsia"/>
        </w:rPr>
      </w:pPr>
      <w:r>
        <w:rPr>
          <w:rFonts w:hint="eastAsia"/>
          <w:lang w:eastAsia="zh-CN"/>
        </w:rPr>
        <w:t>【</w:t>
      </w:r>
      <w:r>
        <w:rPr>
          <w:rFonts w:hint="eastAsia"/>
        </w:rPr>
        <w:t>医学教育】</w:t>
      </w:r>
    </w:p>
    <w:p w14:paraId="7DB1F9A4">
      <w:pPr>
        <w:rPr>
          <w:rFonts w:hint="eastAsia"/>
        </w:rPr>
      </w:pPr>
      <w:r>
        <w:rPr>
          <w:rFonts w:hint="eastAsia"/>
        </w:rPr>
        <w:t>医学教育力度进一步加大。一是开展继续医学教育，规定学分的专业技术人员学分率均能达标。二是抓好住院医师规范化培训工作。组织相关人员参加住院医师规范化培训，</w:t>
      </w:r>
      <w:r>
        <w:t>2013年全市</w:t>
      </w:r>
      <w:r>
        <w:rPr>
          <w:rFonts w:hint="eastAsia"/>
        </w:rPr>
        <w:t>有</w:t>
      </w:r>
      <w:r>
        <w:t>21人通过住院医师考试。三是加强农村</w:t>
      </w:r>
      <w:r>
        <w:rPr>
          <w:rFonts w:hint="eastAsia"/>
          <w:lang w:eastAsia="zh-CN"/>
        </w:rPr>
        <w:t>卫</w:t>
      </w:r>
      <w:r>
        <w:t>生技</w:t>
      </w:r>
      <w:r>
        <w:rPr>
          <w:rFonts w:hint="eastAsia"/>
        </w:rPr>
        <w:t>术人员业务和技能培训，</w:t>
      </w:r>
      <w:r>
        <w:t>2013年各镇卫生院完成7</w:t>
      </w:r>
      <w:r>
        <w:rPr>
          <w:rFonts w:hint="eastAsia"/>
        </w:rPr>
        <w:t>名全科医师转岗培训，选送</w:t>
      </w:r>
      <w:r>
        <w:t>27名基层医疗卫生技</w:t>
      </w:r>
      <w:r>
        <w:rPr>
          <w:rFonts w:hint="eastAsia"/>
        </w:rPr>
        <w:t>术人员到市人民医院、市中医院等上级医院进修学习，选送</w:t>
      </w:r>
      <w:r>
        <w:t>1名医疗骨干到南方医院等三级医院进修</w:t>
      </w:r>
      <w:r>
        <w:rPr>
          <w:rFonts w:hint="eastAsia"/>
        </w:rPr>
        <w:t>学习。医疗卫生机构诊治水平进一步得到提高。</w:t>
      </w:r>
    </w:p>
    <w:p w14:paraId="0673EE83">
      <w:pPr>
        <w:pStyle w:val="4"/>
        <w:bidi w:val="0"/>
        <w:rPr>
          <w:rFonts w:hint="eastAsia"/>
        </w:rPr>
      </w:pPr>
      <w:r>
        <w:rPr>
          <w:rFonts w:hint="eastAsia"/>
        </w:rPr>
        <w:t>【社区卫生工作】</w:t>
      </w:r>
    </w:p>
    <w:p w14:paraId="38BA7788">
      <w:pPr>
        <w:rPr>
          <w:rFonts w:hint="eastAsia"/>
        </w:rPr>
      </w:pPr>
      <w:r>
        <w:rPr>
          <w:rFonts w:hint="eastAsia"/>
        </w:rPr>
        <w:t>进一步健全基本的社区卫生服务功能，认真开展社区卫生信息管理、健康教育</w:t>
      </w:r>
      <w:r>
        <w:rPr>
          <w:rFonts w:hint="eastAsia"/>
          <w:lang w:eastAsia="zh-CN"/>
        </w:rPr>
        <w:t>、</w:t>
      </w:r>
      <w:r>
        <w:rPr>
          <w:rFonts w:hint="eastAsia"/>
        </w:rPr>
        <w:t>传染病预防控制、慢性病预防控制、精神卫生服务、妇女保健、儿童保健、老年保健、康复服务</w:t>
      </w:r>
      <w:r>
        <w:rPr>
          <w:rFonts w:hint="eastAsia"/>
          <w:lang w:eastAsia="zh-CN"/>
        </w:rPr>
        <w:t>、</w:t>
      </w:r>
      <w:r>
        <w:rPr>
          <w:rFonts w:hint="eastAsia"/>
        </w:rPr>
        <w:t>突发公共卫生事件以及其他公共卫生服务等工作，努力实现“小病在社区，防病在社区，康复在社区”的目标。</w:t>
      </w:r>
    </w:p>
    <w:p w14:paraId="10053F07">
      <w:pPr>
        <w:pStyle w:val="4"/>
        <w:bidi w:val="0"/>
        <w:rPr>
          <w:rFonts w:hint="eastAsia"/>
        </w:rPr>
      </w:pPr>
      <w:r>
        <w:rPr>
          <w:rFonts w:hint="eastAsia"/>
        </w:rPr>
        <w:t>【中医事业】</w:t>
      </w:r>
    </w:p>
    <w:p w14:paraId="4B2F57D1">
      <w:pPr>
        <w:rPr>
          <w:rFonts w:hint="eastAsia"/>
        </w:rPr>
      </w:pPr>
      <w:r>
        <w:rPr>
          <w:rFonts w:hint="eastAsia"/>
        </w:rPr>
        <w:t>推进中医强市工作，发展中医事业。充分利用中央扩大内需基层医疗卫生服务体系建设项目建设资金推进中医院住院大楼的建设。强化内涵管理，加强中医特色专科建设，提升中医服务能力。加大中草药使用力度，制订相关制度，打造中医特色名片——市中医院康复科，专科专病特色优势明显，能充分发挥简、便、验、廉的中医优势，采用中药内服外治、针灸推拿、康复治疗等手段治疗痛症和瘫症疗效显著，传统的三伏天天灸疗法以其确切的疗效，深受患者的喜爱。进一步整合中医人才，不断完善康复科的建设，加大投入添置康复设备，突显中医康复效果。</w:t>
      </w:r>
    </w:p>
    <w:p w14:paraId="557BF70A">
      <w:pPr>
        <w:pStyle w:val="4"/>
        <w:bidi w:val="0"/>
        <w:rPr>
          <w:rFonts w:hint="eastAsia"/>
        </w:rPr>
      </w:pPr>
      <w:r>
        <w:rPr>
          <w:rFonts w:hint="eastAsia"/>
        </w:rPr>
        <w:t>【无偿献血工作】</w:t>
      </w:r>
    </w:p>
    <w:p w14:paraId="5F199E93">
      <w:pPr>
        <w:rPr>
          <w:rFonts w:hint="eastAsia"/>
        </w:rPr>
      </w:pPr>
      <w:r>
        <w:rPr>
          <w:rFonts w:hint="eastAsia"/>
        </w:rPr>
        <w:t>认真宣传贯彻落实《献血法》，积极推动南雄市无偿献血工作，确保南雄市医疗用血安全和需要。</w:t>
      </w:r>
      <w:r>
        <w:t>2013年全市参加无偿献血总人次为2550人次，其中农民无偿献血886人次。总血量为51万毫升。占总献血人次的35%。无偿献血工作</w:t>
      </w:r>
      <w:r>
        <w:rPr>
          <w:rFonts w:hint="eastAsia"/>
        </w:rPr>
        <w:t>被韶关市公民无偿献血委员会办公室评为</w:t>
      </w:r>
      <w:r>
        <w:t>2013年</w:t>
      </w:r>
      <w:r>
        <w:rPr>
          <w:rFonts w:hint="eastAsia"/>
        </w:rPr>
        <w:t>度韶关市县（市、区）献血办无偿献血工作目标管理考评先进单位。</w:t>
      </w:r>
    </w:p>
    <w:p w14:paraId="47C94AD4">
      <w:pPr>
        <w:pStyle w:val="3"/>
        <w:bidi w:val="0"/>
        <w:rPr>
          <w:rFonts w:hint="default"/>
          <w:lang w:val="en-US" w:eastAsia="zh-CN"/>
        </w:rPr>
      </w:pPr>
      <w:r>
        <w:rPr>
          <w:rFonts w:hint="eastAsia"/>
          <w:lang w:val="en-US" w:eastAsia="zh-CN"/>
        </w:rPr>
        <w:t>爱国卫生运动</w:t>
      </w:r>
    </w:p>
    <w:p w14:paraId="72EE7A14">
      <w:pPr>
        <w:pStyle w:val="4"/>
        <w:bidi w:val="0"/>
        <w:rPr>
          <w:rFonts w:hint="eastAsia"/>
        </w:rPr>
      </w:pPr>
      <w:r>
        <w:rPr>
          <w:rFonts w:hint="eastAsia"/>
        </w:rPr>
        <w:t>【概况】</w:t>
      </w:r>
    </w:p>
    <w:p w14:paraId="2AFB308A">
      <w:pPr>
        <w:rPr>
          <w:rFonts w:hint="eastAsia"/>
        </w:rPr>
      </w:pPr>
      <w:r>
        <w:rPr>
          <w:rFonts w:hint="eastAsia"/>
        </w:rPr>
        <w:t>贯彻执行爱国卫生、创建国家卫生城市工作的法律、方针政策。认真落实全市爱国卫生工作工作要点和创建国家卫生城市工作“十二五”长期规划。组织实施了全市农村改水、改厕工作以及省、市级卫生村的创建工作。</w:t>
      </w:r>
      <w:r>
        <w:t>2013年全市有1个自</w:t>
      </w:r>
      <w:r>
        <w:rPr>
          <w:rFonts w:hint="eastAsia"/>
        </w:rPr>
        <w:t>然村被授予“</w:t>
      </w:r>
      <w:r>
        <w:rPr>
          <w:rFonts w:hint="eastAsia"/>
          <w:lang w:val="en-US" w:eastAsia="zh-CN"/>
        </w:rPr>
        <w:t>广</w:t>
      </w:r>
      <w:r>
        <w:rPr>
          <w:rFonts w:hint="eastAsia"/>
        </w:rPr>
        <w:t>东省卫生村”称号，有</w:t>
      </w:r>
      <w:r>
        <w:t>4个自然村</w:t>
      </w:r>
      <w:r>
        <w:rPr>
          <w:rFonts w:hint="eastAsia"/>
        </w:rPr>
        <w:t>被授予“韶关市卫生村”称号。</w:t>
      </w:r>
    </w:p>
    <w:p w14:paraId="74A5029A">
      <w:pPr>
        <w:pStyle w:val="4"/>
        <w:bidi w:val="0"/>
        <w:rPr>
          <w:rFonts w:hint="eastAsia"/>
        </w:rPr>
      </w:pPr>
      <w:r>
        <w:rPr>
          <w:rFonts w:hint="eastAsia"/>
        </w:rPr>
        <w:t>【巩固省卫生城市创建成果和创建卫生村工作】</w:t>
      </w:r>
    </w:p>
    <w:p w14:paraId="5A18D2F1">
      <w:pPr>
        <w:rPr>
          <w:rFonts w:hint="eastAsia"/>
          <w:lang w:eastAsia="zh-CN"/>
        </w:rPr>
      </w:pPr>
      <w:r>
        <w:rPr>
          <w:rFonts w:hint="eastAsia"/>
        </w:rPr>
        <w:t>进步巩固省卫生城市创建成果，按照广东省城市卫生检</w:t>
      </w:r>
      <w:r>
        <w:rPr>
          <w:rFonts w:hint="eastAsia"/>
          <w:lang w:eastAsia="zh-CN"/>
        </w:rPr>
        <w:t>查</w:t>
      </w:r>
      <w:r>
        <w:rPr>
          <w:rFonts w:hint="eastAsia"/>
        </w:rPr>
        <w:t>标准要求，做好市容整治、单位和居民区卫生、环境保护、建筑工地管理、城区除“四害”工作、健康教育、公共场所和饮用水卫生、食品卫生与传染病防治等方面工作。开展多次以清洁市容、镇容、村容为重点的“牛皮癣”整治、集贸市场内外环境的综合整治、清除城、镇、村存在的卫生死角、城乡结合部整治、市民不文明行为等的专项整治活动。通过综合整治，城乡面貌达到了明显的改观。以创建卫生村镇、生态文明村为载体，开展村庄整治，实施农村清洁工程，实施“门前三包”制度；建立村庄清扫保洁机制，推行农村垃圾“村收集、镇转运、县处理”的模式，适时建设符合标准的垃圾填埋场。</w:t>
      </w:r>
      <w:r>
        <w:t>2013年南雄市</w:t>
      </w:r>
      <w:r>
        <w:rPr>
          <w:rFonts w:hint="eastAsia"/>
        </w:rPr>
        <w:t>珠玑村委会珠玑新村被授予省级卫生村称号、坪田镇军营寨村、界址镇叶坑新村、全安镇龙珠新村、全安镇、兴业新村等</w:t>
      </w:r>
      <w:r>
        <w:t>4个村被授予韶关市</w:t>
      </w:r>
      <w:r>
        <w:rPr>
          <w:rFonts w:hint="eastAsia"/>
          <w:lang w:val="en-US" w:eastAsia="zh-CN"/>
        </w:rPr>
        <w:t>卫</w:t>
      </w:r>
      <w:r>
        <w:t>生村称号</w:t>
      </w:r>
      <w:r>
        <w:rPr>
          <w:rFonts w:hint="eastAsia"/>
          <w:lang w:eastAsia="zh-CN"/>
        </w:rPr>
        <w:t>。</w:t>
      </w:r>
    </w:p>
    <w:p w14:paraId="2A8AB62B">
      <w:pPr>
        <w:pStyle w:val="4"/>
        <w:bidi w:val="0"/>
        <w:rPr>
          <w:rFonts w:hint="eastAsia"/>
        </w:rPr>
      </w:pPr>
      <w:r>
        <w:rPr>
          <w:rFonts w:hint="eastAsia"/>
        </w:rPr>
        <w:t>【农村卫生】</w:t>
      </w:r>
    </w:p>
    <w:p w14:paraId="73B3E070">
      <w:r>
        <w:rPr>
          <w:rFonts w:hint="eastAsia"/>
        </w:rPr>
        <w:t>落实农村改厕项目工作，市爱卫办认真抓好项目范围的选择、项目镇的动员组织、宣传发动、技术培训和技术指导等一系列工作，按照上级的有关规定和要求，</w:t>
      </w:r>
      <w:r>
        <w:t>2013年高质量地完成雄</w:t>
      </w:r>
      <w:r>
        <w:rPr>
          <w:rFonts w:hint="eastAsia"/>
        </w:rPr>
        <w:t>州、珠玑、江头、主田、澜河、南亩和界址镇共</w:t>
      </w:r>
      <w:r>
        <w:t>500户农村厕所的改造工作。</w:t>
      </w:r>
    </w:p>
    <w:p w14:paraId="2792BC2D">
      <w:pPr>
        <w:pStyle w:val="4"/>
        <w:bidi w:val="0"/>
        <w:rPr>
          <w:rFonts w:hint="eastAsia"/>
        </w:rPr>
      </w:pPr>
      <w:r>
        <w:rPr>
          <w:rFonts w:hint="eastAsia"/>
        </w:rPr>
        <w:t>【除四害防病工作】</w:t>
      </w:r>
    </w:p>
    <w:p w14:paraId="64A951A7">
      <w:pPr>
        <w:rPr>
          <w:rFonts w:hint="eastAsia"/>
        </w:rPr>
      </w:pPr>
      <w:r>
        <w:rPr>
          <w:rFonts w:hint="eastAsia"/>
        </w:rPr>
        <w:t>贯彻执行《广东省除四害管理规定》，巩固灭鼠灭蝇达标成果，做好市区除四害工作。市消杀队与有关单位签订消杀有偿服务合同</w:t>
      </w:r>
      <w:r>
        <w:t>110个，机关单位签订率99%，每次消杀面积约52000平方</w:t>
      </w:r>
      <w:r>
        <w:rPr>
          <w:rFonts w:hint="eastAsia"/>
          <w:lang w:val="en-US" w:eastAsia="zh-CN"/>
        </w:rPr>
        <w:t>米</w:t>
      </w:r>
      <w:r>
        <w:t>，人均消杀面积约3500平方米。由专</w:t>
      </w:r>
      <w:r>
        <w:rPr>
          <w:rFonts w:hint="eastAsia"/>
        </w:rPr>
        <w:t>业队伍承包除“四害”工作，保证药效，做到科学除害。</w:t>
      </w:r>
      <w:r>
        <w:t>2013年治理蚊蝇孳生地197处，在城区公共</w:t>
      </w:r>
      <w:r>
        <w:rPr>
          <w:rFonts w:hint="eastAsia"/>
        </w:rPr>
        <w:t>场所共投入</w:t>
      </w:r>
      <w:r>
        <w:t>80%敌敌畏乳油112公斤，20%拜力坦</w:t>
      </w:r>
      <w:r>
        <w:rPr>
          <w:rFonts w:hint="eastAsia"/>
        </w:rPr>
        <w:t>乳油</w:t>
      </w:r>
      <w:r>
        <w:t>8公斤，50%甲胺磷乳油39公斤，5%奋斗呐</w:t>
      </w:r>
      <w:r>
        <w:rPr>
          <w:rFonts w:hint="eastAsia"/>
        </w:rPr>
        <w:t>粉剂</w:t>
      </w:r>
      <w:r>
        <w:t>9.6公斤，5%康宁广谱剂11.9公斤，0.2%敌</w:t>
      </w:r>
      <w:r>
        <w:rPr>
          <w:rFonts w:hint="eastAsia"/>
        </w:rPr>
        <w:t>鼠钠盐稻谷</w:t>
      </w:r>
      <w:r>
        <w:t>2000公斤。有效控制“四害”密度，</w:t>
      </w:r>
      <w:r>
        <w:rPr>
          <w:rFonts w:hint="eastAsia"/>
        </w:rPr>
        <w:t>预防由虫媒引起的传染性疾病的发生。</w:t>
      </w:r>
    </w:p>
    <w:p w14:paraId="2F6AD928">
      <w:pPr>
        <w:pStyle w:val="4"/>
        <w:bidi w:val="0"/>
        <w:rPr>
          <w:rFonts w:hint="eastAsia"/>
        </w:rPr>
      </w:pPr>
      <w:r>
        <w:rPr>
          <w:rFonts w:hint="eastAsia"/>
        </w:rPr>
        <w:t>【建立完善相关规定制度】</w:t>
      </w:r>
    </w:p>
    <w:p w14:paraId="78E5AD5D">
      <w:pPr>
        <w:rPr>
          <w:rFonts w:hint="eastAsia"/>
        </w:rPr>
      </w:pPr>
      <w:r>
        <w:rPr>
          <w:rFonts w:hint="eastAsia"/>
        </w:rPr>
        <w:t>按照“以块为主，条块结合，统一领导，分级管理”的原则，建立完善了爱卫工作领导约束机制，明确了爱卫会成员单位工作的职责、目标、任务，建立了领导联系责任制度，爱国卫生各成员单位根据职责要求，明确各自分工及相互关系，积极开展工作。同时建立相关考核指标体系，把爱卫工作的绩效纳入领导干部年终考核内容。确保爱卫工作件件有人管，事事有人干，项项得落实。</w:t>
      </w:r>
    </w:p>
    <w:p w14:paraId="3F9E5458">
      <w:pPr>
        <w:pStyle w:val="3"/>
        <w:bidi w:val="0"/>
        <w:rPr>
          <w:rFonts w:hint="default"/>
          <w:lang w:val="en-US" w:eastAsia="zh-CN"/>
        </w:rPr>
      </w:pPr>
      <w:r>
        <w:rPr>
          <w:rFonts w:hint="eastAsia"/>
          <w:lang w:val="en-US" w:eastAsia="zh-CN"/>
        </w:rPr>
        <w:t>卫生执法监督</w:t>
      </w:r>
    </w:p>
    <w:p w14:paraId="4A55FAC1">
      <w:pPr>
        <w:pStyle w:val="4"/>
        <w:bidi w:val="0"/>
        <w:rPr>
          <w:rFonts w:hint="eastAsia"/>
        </w:rPr>
      </w:pPr>
      <w:r>
        <w:rPr>
          <w:rFonts w:hint="eastAsia"/>
        </w:rPr>
        <w:t>【概况】</w:t>
      </w:r>
    </w:p>
    <w:p w14:paraId="1A7D25D3">
      <w:pPr>
        <w:rPr>
          <w:rFonts w:hint="eastAsia"/>
        </w:rPr>
      </w:pPr>
      <w:r>
        <w:rPr>
          <w:rFonts w:hint="eastAsia"/>
        </w:rPr>
        <w:t>重点加强医疗机构、公共场所、生活饮用水卫生、学校卫生、传染病防治、放射卫生等方面的预防性和经常性卫生监督。参与对危害公共卫生、医疗放射、重大疫情和突发事件的调</w:t>
      </w:r>
      <w:r>
        <w:rPr>
          <w:rFonts w:hint="eastAsia"/>
          <w:lang w:eastAsia="zh-CN"/>
        </w:rPr>
        <w:t>查</w:t>
      </w:r>
      <w:r>
        <w:rPr>
          <w:rFonts w:hint="eastAsia"/>
        </w:rPr>
        <w:t>处理。</w:t>
      </w:r>
      <w:r>
        <w:rPr>
          <w:rFonts w:hint="eastAsia"/>
          <w:lang w:val="en-US" w:eastAsia="zh-CN"/>
        </w:rPr>
        <w:t>严</w:t>
      </w:r>
      <w:r>
        <w:rPr>
          <w:rFonts w:hint="eastAsia"/>
        </w:rPr>
        <w:t>肃</w:t>
      </w:r>
      <w:r>
        <w:rPr>
          <w:rFonts w:hint="eastAsia"/>
          <w:lang w:eastAsia="zh-CN"/>
        </w:rPr>
        <w:t>查</w:t>
      </w:r>
      <w:r>
        <w:rPr>
          <w:rFonts w:hint="eastAsia"/>
        </w:rPr>
        <w:t>处危害食品安全、医疗安全以及传染病防治等方面的违法行为，维护一方平安。</w:t>
      </w:r>
    </w:p>
    <w:p w14:paraId="70E1FFD5">
      <w:pPr>
        <w:pStyle w:val="4"/>
        <w:bidi w:val="0"/>
        <w:rPr>
          <w:rFonts w:hint="eastAsia"/>
        </w:rPr>
      </w:pPr>
      <w:r>
        <w:rPr>
          <w:rFonts w:hint="eastAsia"/>
        </w:rPr>
        <w:t>【公共场所卫生监管】</w:t>
      </w:r>
    </w:p>
    <w:p w14:paraId="5D0002A4">
      <w:pPr>
        <w:rPr>
          <w:rFonts w:hint="eastAsia"/>
        </w:rPr>
      </w:pPr>
      <w:r>
        <w:rPr>
          <w:rFonts w:hint="eastAsia"/>
        </w:rPr>
        <w:t>加强对公共场所经营单位的监督。</w:t>
      </w:r>
      <w:r>
        <w:t>2013年出动430人次，对全市公共场所</w:t>
      </w:r>
      <w:r>
        <w:rPr>
          <w:rFonts w:hint="eastAsia"/>
          <w:lang w:eastAsia="zh-CN"/>
        </w:rPr>
        <w:t>、</w:t>
      </w:r>
      <w:r>
        <w:rPr>
          <w:rFonts w:hint="eastAsia"/>
        </w:rPr>
        <w:t>学校卫生、饮用水卫生、职业卫生经营单位检</w:t>
      </w:r>
      <w:r>
        <w:rPr>
          <w:rFonts w:hint="eastAsia"/>
          <w:lang w:eastAsia="zh-CN"/>
        </w:rPr>
        <w:t>查</w:t>
      </w:r>
      <w:r>
        <w:t>300户次，其中新发证48家，下达《卫生监督意见</w:t>
      </w:r>
      <w:r>
        <w:rPr>
          <w:rFonts w:hint="eastAsia"/>
        </w:rPr>
        <w:t>书》</w:t>
      </w:r>
      <w:r>
        <w:t>296份。并对全市的住宿业进行卫生监督量化</w:t>
      </w:r>
      <w:r>
        <w:rPr>
          <w:rFonts w:hint="eastAsia"/>
        </w:rPr>
        <w:t>分级管理，量化分级管理率达到</w:t>
      </w:r>
      <w:r>
        <w:t>98%以上。完成对</w:t>
      </w:r>
      <w:r>
        <w:rPr>
          <w:rFonts w:hint="eastAsia"/>
        </w:rPr>
        <w:t>南雄市</w:t>
      </w:r>
      <w:r>
        <w:t>3家餐饮具集中消毒单位规划整合（3家合</w:t>
      </w:r>
      <w:r>
        <w:rPr>
          <w:rFonts w:hint="eastAsia"/>
        </w:rPr>
        <w:t>成</w:t>
      </w:r>
      <w:r>
        <w:t>1家）工作。开展卫生监督协管工作，在全市19</w:t>
      </w:r>
      <w:r>
        <w:rPr>
          <w:rFonts w:hint="eastAsia"/>
        </w:rPr>
        <w:t>个镇聘用</w:t>
      </w:r>
      <w:r>
        <w:t>44名有一定专业知识的技术人员担任卫</w:t>
      </w:r>
      <w:r>
        <w:rPr>
          <w:rFonts w:hint="eastAsia"/>
        </w:rPr>
        <w:t>生监督协管员，增强公共卫生监管力度，在全市建立卫生监督协管网络。强化生活饮用水卫生监督联合市疾控中心对南雄市</w:t>
      </w:r>
      <w:r>
        <w:t>12个自来水厂的卫生设</w:t>
      </w:r>
      <w:r>
        <w:rPr>
          <w:rFonts w:hint="eastAsia"/>
        </w:rPr>
        <w:t>施、从业人员健康状况、水质检测情况等进行监督检</w:t>
      </w:r>
      <w:r>
        <w:rPr>
          <w:rFonts w:hint="eastAsia"/>
          <w:lang w:eastAsia="zh-CN"/>
        </w:rPr>
        <w:t>查</w:t>
      </w:r>
      <w:r>
        <w:rPr>
          <w:rFonts w:hint="eastAsia"/>
        </w:rPr>
        <w:t>，规范其管理。确保全市居民饮水安全。</w:t>
      </w:r>
    </w:p>
    <w:p w14:paraId="01B2818C">
      <w:pPr>
        <w:pStyle w:val="4"/>
        <w:bidi w:val="0"/>
        <w:rPr>
          <w:rFonts w:hint="eastAsia"/>
        </w:rPr>
      </w:pPr>
      <w:r>
        <w:rPr>
          <w:rFonts w:hint="eastAsia"/>
        </w:rPr>
        <w:t>【医疗机构监管】</w:t>
      </w:r>
    </w:p>
    <w:p w14:paraId="19CDE17B">
      <w:r>
        <w:rPr>
          <w:rFonts w:hint="eastAsia"/>
        </w:rPr>
        <w:t>加强医疗市场监管，严格医疗执业资格准入。一是严把医疗机构和执业人员的审</w:t>
      </w:r>
      <w:r>
        <w:rPr>
          <w:rFonts w:hint="eastAsia"/>
          <w:lang w:eastAsia="zh-CN"/>
        </w:rPr>
        <w:t>查</w:t>
      </w:r>
      <w:r>
        <w:rPr>
          <w:rFonts w:hint="eastAsia"/>
        </w:rPr>
        <w:t>关，在医疗机构审批、执业人员注册中严格按照法规规定审</w:t>
      </w:r>
      <w:r>
        <w:rPr>
          <w:rFonts w:hint="eastAsia"/>
          <w:lang w:eastAsia="zh-CN"/>
        </w:rPr>
        <w:t>查</w:t>
      </w:r>
      <w:r>
        <w:rPr>
          <w:rFonts w:hint="eastAsia"/>
        </w:rPr>
        <w:t>，做到不合格的机构坚决不审批、不符合规定的人员坚决不注册，把好打击非法行医的第一道关口；二是利用医疗机构年度校验审</w:t>
      </w:r>
      <w:r>
        <w:rPr>
          <w:rFonts w:hint="eastAsia"/>
          <w:lang w:eastAsia="zh-CN"/>
        </w:rPr>
        <w:t>查</w:t>
      </w:r>
      <w:r>
        <w:rPr>
          <w:rFonts w:hint="eastAsia"/>
        </w:rPr>
        <w:t>、整改、规范不合法的行为，取缔不合法的机构。三是开展打击非法行医专项行动工作，取得较好的效果。</w:t>
      </w:r>
      <w:r>
        <w:t>2013年出动卫生执法人员265人次，出动执法</w:t>
      </w:r>
      <w:r>
        <w:rPr>
          <w:rFonts w:hint="eastAsia"/>
        </w:rPr>
        <w:t>车辆</w:t>
      </w:r>
      <w:r>
        <w:t>83台次，监督检</w:t>
      </w:r>
      <w:r>
        <w:rPr>
          <w:rFonts w:hint="eastAsia"/>
          <w:lang w:eastAsia="zh-CN"/>
        </w:rPr>
        <w:t>查</w:t>
      </w:r>
      <w:r>
        <w:t>医疗机构和药品经营单位377家。</w:t>
      </w:r>
      <w:r>
        <w:rPr>
          <w:rFonts w:hint="eastAsia"/>
          <w:lang w:eastAsia="zh-CN"/>
        </w:rPr>
        <w:t>查</w:t>
      </w:r>
      <w:r>
        <w:t>处超出诊疗范围、非法行医案件19宗，</w:t>
      </w:r>
      <w:r>
        <w:rPr>
          <w:rFonts w:hint="eastAsia"/>
        </w:rPr>
        <w:t>罚款</w:t>
      </w:r>
      <w:r>
        <w:t>3.6万元。</w:t>
      </w:r>
    </w:p>
    <w:p w14:paraId="62AF945C">
      <w:pPr>
        <w:pStyle w:val="4"/>
        <w:bidi w:val="0"/>
        <w:rPr>
          <w:rFonts w:hint="eastAsia"/>
        </w:rPr>
      </w:pPr>
      <w:r>
        <w:rPr>
          <w:rFonts w:hint="eastAsia"/>
        </w:rPr>
        <w:t>【食品安全综合协调】</w:t>
      </w:r>
    </w:p>
    <w:p w14:paraId="0150F858">
      <w:pPr>
        <w:rPr>
          <w:rFonts w:hint="eastAsia"/>
        </w:rPr>
      </w:pPr>
      <w:r>
        <w:rPr>
          <w:rFonts w:hint="eastAsia"/>
        </w:rPr>
        <w:t>深入贯彻《食品安全法》，准确把握食品安全工作面临的形式和任务。一是加强领导，进一步明确职能职责。印发了《关于进</w:t>
      </w:r>
      <w:r>
        <w:rPr>
          <w:rFonts w:hint="eastAsia"/>
          <w:lang w:val="en-US" w:eastAsia="zh-CN"/>
        </w:rPr>
        <w:t>一</w:t>
      </w:r>
      <w:r>
        <w:rPr>
          <w:rFonts w:hint="eastAsia"/>
        </w:rPr>
        <w:t>步明确南雄市食品安全监管职责分工有关问题的通知》，对部分交叉性职能、边缘性工作进行了划定，以实现食品安全监管全程的无缝衔接、有效监管。市食安委成员单位由原来的</w:t>
      </w:r>
      <w:r>
        <w:t>18个增加到现在的23</w:t>
      </w:r>
      <w:r>
        <w:rPr>
          <w:rFonts w:hint="eastAsia"/>
        </w:rPr>
        <w:t>个。二是结合全省开展“三打两建”工作，探索南雄市在食品安全领域打击制假售假有效途径，在食品安全领域建立健全社会信用体系、建立健全市场监管体系，推进全市食品安全监管体系建设试点工作，食品安全工作扎实有序推进。</w:t>
      </w:r>
      <w:r>
        <w:t>2013年检</w:t>
      </w:r>
      <w:r>
        <w:rPr>
          <w:rFonts w:hint="eastAsia"/>
          <w:lang w:eastAsia="zh-CN"/>
        </w:rPr>
        <w:t>查</w:t>
      </w:r>
      <w:r>
        <w:t>食品</w:t>
      </w:r>
      <w:r>
        <w:rPr>
          <w:rFonts w:hint="eastAsia"/>
        </w:rPr>
        <w:t>生产经营户</w:t>
      </w:r>
      <w:r>
        <w:t>8036户次。立案</w:t>
      </w:r>
      <w:r>
        <w:rPr>
          <w:rFonts w:hint="eastAsia"/>
          <w:lang w:eastAsia="zh-CN"/>
        </w:rPr>
        <w:t>查</w:t>
      </w:r>
      <w:r>
        <w:t>处案件119宗，捣</w:t>
      </w:r>
      <w:r>
        <w:rPr>
          <w:rFonts w:hint="eastAsia"/>
        </w:rPr>
        <w:t>毁制假售</w:t>
      </w:r>
      <w:r>
        <w:rPr>
          <w:rFonts w:hint="eastAsia"/>
          <w:lang w:val="en-US" w:eastAsia="zh-CN"/>
        </w:rPr>
        <w:t>假</w:t>
      </w:r>
      <w:r>
        <w:rPr>
          <w:rFonts w:hint="eastAsia"/>
        </w:rPr>
        <w:t>窝点</w:t>
      </w:r>
      <w:r>
        <w:t>3个，涉案货值60万多元，罚没</w:t>
      </w:r>
      <w:r>
        <w:rPr>
          <w:rFonts w:hint="eastAsia"/>
        </w:rPr>
        <w:t>款项</w:t>
      </w:r>
      <w:r>
        <w:t>33.7万多元。</w:t>
      </w:r>
      <w:r>
        <w:rPr>
          <w:rFonts w:hint="eastAsia"/>
          <w:lang w:eastAsia="zh-CN"/>
        </w:rPr>
        <w:t>查</w:t>
      </w:r>
      <w:r>
        <w:t>处大案要案1宗，货值30万</w:t>
      </w:r>
      <w:r>
        <w:rPr>
          <w:rFonts w:hint="eastAsia"/>
        </w:rPr>
        <w:t>多元，移送公安机关案件</w:t>
      </w:r>
      <w:r>
        <w:t>1宗，有力打击了食品安</w:t>
      </w:r>
      <w:r>
        <w:rPr>
          <w:rFonts w:hint="eastAsia"/>
        </w:rPr>
        <w:t>全领域的违法行为。</w:t>
      </w:r>
    </w:p>
    <w:p w14:paraId="0DC22E45">
      <w:pPr>
        <w:pStyle w:val="4"/>
        <w:bidi w:val="0"/>
        <w:rPr>
          <w:rFonts w:hint="eastAsia"/>
        </w:rPr>
      </w:pPr>
      <w:r>
        <w:rPr>
          <w:rFonts w:hint="eastAsia"/>
        </w:rPr>
        <w:t>【行业作风建设与医德医风教育】</w:t>
      </w:r>
    </w:p>
    <w:p w14:paraId="562D7795">
      <w:pPr>
        <w:rPr>
          <w:rFonts w:hint="eastAsia"/>
        </w:rPr>
      </w:pPr>
      <w:r>
        <w:rPr>
          <w:rFonts w:hint="eastAsia"/>
        </w:rPr>
        <w:t>一是按照“党要管党、从严治党”，“管行业必须管行风”的原则，明确党风廉政、行业作风建设工作责任。二是开展“五个一”活动（即：组织好一项创建活动</w:t>
      </w:r>
      <w:r>
        <w:rPr>
          <w:rFonts w:hint="eastAsia"/>
          <w:lang w:eastAsia="zh-CN"/>
        </w:rPr>
        <w:t>、</w:t>
      </w:r>
      <w:r>
        <w:rPr>
          <w:rFonts w:hint="eastAsia"/>
        </w:rPr>
        <w:t>建立健全一个惩防体系、建设好一支卫生队伍、举办好一次专题讲座、开展好一系列的主题实践活动），努力打造一个坚强有力的领导班子和一支素质优良的党员干部队伍，进一步提高卫生系统全体</w:t>
      </w:r>
      <w:r>
        <w:rPr>
          <w:rFonts w:hint="eastAsia"/>
          <w:lang w:eastAsia="zh-CN"/>
        </w:rPr>
        <w:t>干部</w:t>
      </w:r>
      <w:r>
        <w:rPr>
          <w:rFonts w:hint="eastAsia"/>
        </w:rPr>
        <w:t>职工对反腐倡廉及预防工作的认识。三是开展反腐倡廉警示教育。组织了</w:t>
      </w:r>
      <w:r>
        <w:t>300多名卫生系统中层</w:t>
      </w:r>
      <w:r>
        <w:rPr>
          <w:rFonts w:hint="eastAsia"/>
        </w:rPr>
        <w:t>以上干部到南雄市检察院接受反腐倡廉警示教育。从违纪违规案例中吸取教训，促进卫生系统全体党员领导干部廉洁从政、廉洁从医。四是严格执行中央八项规定，开展庸懒散惰等不良风气整治活</w:t>
      </w:r>
      <w:r>
        <w:rPr>
          <w:rFonts w:hint="eastAsia"/>
          <w:lang w:eastAsia="zh-CN"/>
        </w:rPr>
        <w:t>动</w:t>
      </w:r>
      <w:r>
        <w:rPr>
          <w:rFonts w:hint="eastAsia"/>
        </w:rPr>
        <w:t>。五是深入开展民主评议政风行风活动。通过设置征求意见箱、公布热线电话，开设行评宣传专</w:t>
      </w:r>
      <w:r>
        <w:rPr>
          <w:rFonts w:hint="eastAsia"/>
          <w:lang w:eastAsia="zh-CN"/>
        </w:rPr>
        <w:t>栏</w:t>
      </w:r>
      <w:r>
        <w:rPr>
          <w:rFonts w:hint="eastAsia"/>
        </w:rPr>
        <w:t>，聘请行风评议监督员，召开座谈会、发放调差问卷等形式，广泛征求患者和普通群众对卫生局政风行风建设方面的意见或建议，深入</w:t>
      </w:r>
      <w:r>
        <w:rPr>
          <w:rFonts w:hint="eastAsia"/>
          <w:lang w:eastAsia="zh-CN"/>
        </w:rPr>
        <w:t>查</w:t>
      </w:r>
      <w:r>
        <w:rPr>
          <w:rFonts w:hint="eastAsia"/>
        </w:rPr>
        <w:t>找卫生执法、行政审批及其他损害群众利益方面存在的问题。制定整改方案，扎实抓好整改落实，做到边</w:t>
      </w:r>
      <w:r>
        <w:rPr>
          <w:rFonts w:hint="eastAsia"/>
          <w:lang w:eastAsia="zh-CN"/>
        </w:rPr>
        <w:t>查</w:t>
      </w:r>
      <w:r>
        <w:rPr>
          <w:rFonts w:hint="eastAsia"/>
        </w:rPr>
        <w:t>边改，以评促改。六是组织市慢病站站开展“服务零投诉”活动。通过持续改进公共卫生服务质量，努力为全市城乡居民提供优质、便捷、安全的公共卫生服务。</w:t>
      </w:r>
    </w:p>
    <w:p w14:paraId="316344CB">
      <w:pPr>
        <w:pStyle w:val="4"/>
        <w:bidi w:val="0"/>
        <w:rPr>
          <w:rFonts w:hint="eastAsia"/>
        </w:rPr>
      </w:pPr>
      <w:r>
        <w:rPr>
          <w:rFonts w:hint="eastAsia"/>
        </w:rPr>
        <w:t>【建立监督激励机制】</w:t>
      </w:r>
    </w:p>
    <w:p w14:paraId="04768236">
      <w:pPr>
        <w:rPr>
          <w:rFonts w:hint="eastAsia"/>
        </w:rPr>
      </w:pPr>
      <w:r>
        <w:rPr>
          <w:rFonts w:hint="eastAsia"/>
        </w:rPr>
        <w:t>一是进一步建立完善监督机制，设立举报箱、举报电话以及廉政监督员，虚心接受人民群众的监督。二是建立自</w:t>
      </w:r>
      <w:r>
        <w:rPr>
          <w:rFonts w:hint="eastAsia"/>
          <w:lang w:eastAsia="zh-CN"/>
        </w:rPr>
        <w:t>查</w:t>
      </w:r>
      <w:r>
        <w:rPr>
          <w:rFonts w:hint="eastAsia"/>
        </w:rPr>
        <w:t>自纠制度。医院制定明确的自</w:t>
      </w:r>
      <w:r>
        <w:rPr>
          <w:rFonts w:hint="eastAsia"/>
          <w:lang w:eastAsia="zh-CN"/>
        </w:rPr>
        <w:t>查</w:t>
      </w:r>
      <w:r>
        <w:rPr>
          <w:rFonts w:hint="eastAsia"/>
        </w:rPr>
        <w:t>自纠规定，做到值班</w:t>
      </w:r>
      <w:r>
        <w:rPr>
          <w:rFonts w:hint="eastAsia"/>
          <w:lang w:eastAsia="zh-CN"/>
        </w:rPr>
        <w:t>查</w:t>
      </w:r>
      <w:r>
        <w:rPr>
          <w:rFonts w:hint="eastAsia"/>
        </w:rPr>
        <w:t>、医护人员结合自己的</w:t>
      </w:r>
      <w:r>
        <w:rPr>
          <w:rFonts w:hint="eastAsia"/>
          <w:lang w:eastAsia="zh-CN"/>
        </w:rPr>
        <w:t>岗位查</w:t>
      </w:r>
      <w:r>
        <w:rPr>
          <w:rFonts w:hint="eastAsia"/>
        </w:rPr>
        <w:t>，重点</w:t>
      </w:r>
      <w:r>
        <w:rPr>
          <w:rFonts w:hint="eastAsia"/>
          <w:lang w:eastAsia="zh-CN"/>
        </w:rPr>
        <w:t>查</w:t>
      </w:r>
      <w:r>
        <w:rPr>
          <w:rFonts w:hint="eastAsia"/>
        </w:rPr>
        <w:t>服务态度、医疗质量、医患关系、收费标准，及时了解医德医风现状，做到边</w:t>
      </w:r>
      <w:r>
        <w:rPr>
          <w:rFonts w:hint="eastAsia"/>
          <w:lang w:eastAsia="zh-CN"/>
        </w:rPr>
        <w:t>查</w:t>
      </w:r>
      <w:r>
        <w:rPr>
          <w:rFonts w:hint="eastAsia"/>
        </w:rPr>
        <w:t>边改。三是建立医德医风考评制度。制定考评标准，主要考评医疗质量、服务态度、坚守岗位、履行职责等情况，建立医德医风档案，每年对医护人员进行</w:t>
      </w:r>
      <w:r>
        <w:t>1至2次的集体综合考评，将考</w:t>
      </w:r>
      <w:r>
        <w:rPr>
          <w:rFonts w:hint="eastAsia"/>
        </w:rPr>
        <w:t>评情况录入医德医风档案，并将考评结果与晋升</w:t>
      </w:r>
      <w:r>
        <w:rPr>
          <w:rFonts w:hint="eastAsia"/>
          <w:lang w:eastAsia="zh-CN"/>
        </w:rPr>
        <w:t>、</w:t>
      </w:r>
      <w:r>
        <w:rPr>
          <w:rFonts w:hint="eastAsia"/>
        </w:rPr>
        <w:t>调整工资、表彰先进挂钩，以达到激励先进、鞭策后进的教育目的。</w:t>
      </w:r>
    </w:p>
    <w:p w14:paraId="72767E83">
      <w:pPr>
        <w:jc w:val="right"/>
        <w:rPr>
          <w:rFonts w:hint="eastAsia"/>
          <w:b/>
          <w:bCs/>
          <w:lang w:eastAsia="zh-CN"/>
        </w:rPr>
      </w:pPr>
      <w:r>
        <w:rPr>
          <w:rFonts w:hint="eastAsia"/>
          <w:b/>
          <w:bCs/>
        </w:rPr>
        <w:t>（邓荣强</w:t>
      </w:r>
      <w:r>
        <w:rPr>
          <w:rFonts w:hint="eastAsia"/>
          <w:b/>
          <w:bCs/>
          <w:lang w:eastAsia="zh-CN"/>
        </w:rPr>
        <w:t>）</w:t>
      </w:r>
    </w:p>
    <w:p w14:paraId="5D3D9016">
      <w:pPr>
        <w:pStyle w:val="10"/>
        <w:bidi w:val="0"/>
        <w:rPr>
          <w:b/>
          <w:bCs/>
        </w:rPr>
      </w:pPr>
      <w:r>
        <w:rPr>
          <w:rFonts w:hint="eastAsia"/>
          <w:b/>
          <w:bCs/>
        </w:rPr>
        <w:t>附：</w:t>
      </w:r>
      <w:r>
        <w:rPr>
          <w:b/>
          <w:bCs/>
        </w:rPr>
        <w:t>2013年市卫生局领导班子成员名单</w:t>
      </w:r>
    </w:p>
    <w:p w14:paraId="3C85A62E">
      <w:pPr>
        <w:pStyle w:val="10"/>
        <w:bidi w:val="0"/>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丁春晖</w:t>
      </w:r>
    </w:p>
    <w:p w14:paraId="066AAD1D">
      <w:pPr>
        <w:pStyle w:val="10"/>
        <w:bidi w:val="0"/>
        <w:rPr>
          <w:rFonts w:hint="eastAsia"/>
        </w:rPr>
      </w:pPr>
      <w:r>
        <w:rPr>
          <w:rFonts w:hint="eastAsia"/>
          <w:b/>
          <w:bCs/>
        </w:rPr>
        <w:t>副</w:t>
      </w:r>
      <w:r>
        <w:rPr>
          <w:rFonts w:hint="eastAsia"/>
          <w:b/>
          <w:bCs/>
          <w:lang w:val="en-US" w:eastAsia="zh-CN"/>
        </w:rPr>
        <w:t xml:space="preserve"> </w:t>
      </w:r>
      <w:r>
        <w:rPr>
          <w:rFonts w:hint="eastAsia"/>
          <w:b/>
          <w:bCs/>
        </w:rPr>
        <w:t>局</w:t>
      </w:r>
      <w:r>
        <w:rPr>
          <w:rFonts w:hint="eastAsia"/>
          <w:b/>
          <w:bCs/>
          <w:lang w:val="en-US" w:eastAsia="zh-CN"/>
        </w:rPr>
        <w:t xml:space="preserve"> </w:t>
      </w:r>
      <w:r>
        <w:rPr>
          <w:rFonts w:hint="eastAsia"/>
          <w:b/>
          <w:bCs/>
        </w:rPr>
        <w:t>长：</w:t>
      </w:r>
      <w:r>
        <w:rPr>
          <w:rFonts w:hint="eastAsia"/>
        </w:rPr>
        <w:t>彭大芬</w:t>
      </w:r>
      <w:r>
        <w:rPr>
          <w:rFonts w:hint="eastAsia"/>
          <w:lang w:val="en-US" w:eastAsia="zh-CN"/>
        </w:rPr>
        <w:t xml:space="preserve">   </w:t>
      </w:r>
      <w:r>
        <w:rPr>
          <w:rFonts w:hint="eastAsia"/>
        </w:rPr>
        <w:t>朱广庭</w:t>
      </w:r>
      <w:r>
        <w:rPr>
          <w:rFonts w:hint="eastAsia"/>
          <w:lang w:val="en-US" w:eastAsia="zh-CN"/>
        </w:rPr>
        <w:t xml:space="preserve">   </w:t>
      </w:r>
      <w:r>
        <w:rPr>
          <w:rFonts w:hint="eastAsia"/>
        </w:rPr>
        <w:t>易艳辉</w:t>
      </w:r>
    </w:p>
    <w:p w14:paraId="2657C872">
      <w:pPr>
        <w:pStyle w:val="10"/>
        <w:bidi w:val="0"/>
        <w:rPr>
          <w:rFonts w:hint="eastAsia"/>
        </w:rPr>
      </w:pPr>
      <w:r>
        <w:rPr>
          <w:rFonts w:hint="eastAsia"/>
          <w:b/>
          <w:bCs/>
        </w:rPr>
        <w:t>纪委书记：</w:t>
      </w:r>
      <w:r>
        <w:rPr>
          <w:rFonts w:hint="eastAsia"/>
        </w:rPr>
        <w:t>钟祥培</w:t>
      </w:r>
    </w:p>
    <w:p w14:paraId="22BA8C94">
      <w:pPr>
        <w:pStyle w:val="10"/>
        <w:bidi w:val="0"/>
        <w:rPr>
          <w:rFonts w:hint="eastAsia"/>
        </w:rPr>
      </w:pPr>
      <w:r>
        <w:rPr>
          <w:rFonts w:hint="eastAsia"/>
          <w:b/>
          <w:bCs/>
        </w:rPr>
        <w:t>工会主席：</w:t>
      </w:r>
      <w:r>
        <w:rPr>
          <w:rFonts w:hint="eastAsia"/>
        </w:rPr>
        <w:t>温</w:t>
      </w:r>
      <w:r>
        <w:rPr>
          <w:rFonts w:hint="eastAsia"/>
          <w:lang w:val="en-US" w:eastAsia="zh-CN"/>
        </w:rPr>
        <w:t xml:space="preserve">  </w:t>
      </w:r>
      <w:r>
        <w:rPr>
          <w:rFonts w:hint="eastAsia"/>
        </w:rPr>
        <w:t>靖</w:t>
      </w:r>
    </w:p>
    <w:p w14:paraId="471DDD38">
      <w:pPr>
        <w:pStyle w:val="3"/>
        <w:bidi w:val="0"/>
        <w:rPr>
          <w:rFonts w:hint="default"/>
          <w:lang w:val="en-US" w:eastAsia="zh-CN"/>
        </w:rPr>
      </w:pPr>
      <w:r>
        <w:rPr>
          <w:rFonts w:hint="eastAsia"/>
          <w:lang w:val="en-US" w:eastAsia="zh-CN"/>
        </w:rPr>
        <w:t>市直属医疗卫生机构</w:t>
      </w:r>
    </w:p>
    <w:p w14:paraId="28693C5C">
      <w:pPr>
        <w:pStyle w:val="4"/>
        <w:bidi w:val="0"/>
        <w:rPr>
          <w:rFonts w:hint="eastAsia"/>
        </w:rPr>
      </w:pPr>
      <w:r>
        <w:rPr>
          <w:rFonts w:hint="eastAsia"/>
        </w:rPr>
        <w:t>【南雄市人民医院】</w:t>
      </w:r>
    </w:p>
    <w:p w14:paraId="44B2D96A">
      <w:pPr>
        <w:rPr>
          <w:rFonts w:hint="eastAsia"/>
          <w:lang w:eastAsia="zh-CN"/>
        </w:rPr>
      </w:pPr>
      <w:r>
        <w:rPr>
          <w:rFonts w:hint="eastAsia"/>
        </w:rPr>
        <w:t>南雄市人民医院成立于</w:t>
      </w:r>
      <w:r>
        <w:t>194</w:t>
      </w:r>
      <w:r>
        <w:rPr>
          <w:rFonts w:hint="eastAsia"/>
          <w:lang w:val="en-US" w:eastAsia="zh-CN"/>
        </w:rPr>
        <w:t>9</w:t>
      </w:r>
      <w:r>
        <w:rPr>
          <w:rFonts w:hint="eastAsia"/>
        </w:rPr>
        <w:t>年，其前身为南雄县人民政府卫生院。经过半个多世纪的发展，南雄市人民医院已建设成为一所集医疗、教学、科研、保健、康复为一体的功能齐全的综合性二级甲等医院，是南雄市的医疗急救中心，设有南方医院南雄远程医学分中心，是广东省普通高等医学院校教学医院和南方医科大学实践教学基地、广东药学院附属第一医院教学医院。是广东省百家医院，多次被评为省、韶关市文明单位称号，并荣获中华全国总工会授予的“全国模范职工之家”荣誉称号</w:t>
      </w:r>
      <w:r>
        <w:rPr>
          <w:rFonts w:hint="eastAsia"/>
          <w:lang w:eastAsia="zh-CN"/>
        </w:rPr>
        <w:t>。</w:t>
      </w:r>
    </w:p>
    <w:p w14:paraId="15DD3EBE">
      <w:pPr>
        <w:rPr>
          <w:rFonts w:hint="eastAsia" w:eastAsia="宋体"/>
          <w:lang w:eastAsia="zh-CN"/>
        </w:rPr>
      </w:pPr>
      <w:r>
        <w:rPr>
          <w:rFonts w:hint="eastAsia"/>
        </w:rPr>
        <w:t>医院占地面积</w:t>
      </w:r>
      <w:r>
        <w:t>6.8万平方米，建筑面积4万平</w:t>
      </w:r>
      <w:r>
        <w:rPr>
          <w:rFonts w:hint="eastAsia"/>
        </w:rPr>
        <w:t>方米。在职职工</w:t>
      </w:r>
      <w:r>
        <w:t>401人，专业技术人员347人，占</w:t>
      </w:r>
      <w:r>
        <w:rPr>
          <w:rFonts w:hint="eastAsia"/>
        </w:rPr>
        <w:t>在职职工的</w:t>
      </w:r>
      <w:r>
        <w:t>87%。高级专业技术职称人员53人，</w:t>
      </w:r>
      <w:r>
        <w:rPr>
          <w:rFonts w:hint="eastAsia"/>
        </w:rPr>
        <w:t>中级专业技术职称</w:t>
      </w:r>
      <w:r>
        <w:t>132人，初级专业技术职称111</w:t>
      </w:r>
      <w:r>
        <w:rPr>
          <w:rFonts w:hint="eastAsia"/>
        </w:rPr>
        <w:t>人，硕士学历人员</w:t>
      </w:r>
      <w:r>
        <w:t>1人。2013年，全院门诊服务28.57万人次，比上年增长6.4%；住院服务2.1367万人次，比上年增长5.2%；各类手术6024</w:t>
      </w:r>
      <w:r>
        <w:rPr>
          <w:rFonts w:hint="eastAsia"/>
        </w:rPr>
        <w:t>台，各类体检</w:t>
      </w:r>
      <w:r>
        <w:t>9527人次。全院业务收入1.459亿</w:t>
      </w:r>
      <w:r>
        <w:rPr>
          <w:rFonts w:hint="eastAsia"/>
        </w:rPr>
        <w:t>元，比上年增长</w:t>
      </w:r>
      <w:r>
        <w:t>20.72%</w:t>
      </w:r>
      <w:r>
        <w:rPr>
          <w:rFonts w:hint="eastAsia"/>
          <w:lang w:eastAsia="zh-CN"/>
        </w:rPr>
        <w:t>。</w:t>
      </w:r>
    </w:p>
    <w:p w14:paraId="7A4EB02F">
      <w:pPr>
        <w:rPr>
          <w:rFonts w:hint="eastAsia"/>
        </w:rPr>
      </w:pPr>
      <w:r>
        <w:rPr>
          <w:rFonts w:hint="eastAsia"/>
        </w:rPr>
        <w:t>医院设置内科、心肾内科、外一科、外二科</w:t>
      </w:r>
      <w:r>
        <w:rPr>
          <w:rFonts w:hint="eastAsia"/>
          <w:lang w:eastAsia="zh-CN"/>
        </w:rPr>
        <w:t>、</w:t>
      </w:r>
      <w:r>
        <w:rPr>
          <w:rFonts w:hint="eastAsia"/>
        </w:rPr>
        <w:t>骨科、妇产科、儿科、中医科、传染科、五官科、</w:t>
      </w:r>
      <w:r>
        <w:t>ICU重症监护病区、120急救中心等临床住院科室</w:t>
      </w:r>
      <w:r>
        <w:rPr>
          <w:rFonts w:hint="eastAsia"/>
        </w:rPr>
        <w:t>和检验、功能、放射、</w:t>
      </w:r>
      <w:r>
        <w:t>CT等医技科室，开放病床500张，医疗设备齐全，拥有进口全身CT扫描机</w:t>
      </w:r>
      <w:r>
        <w:rPr>
          <w:rFonts w:hint="eastAsia"/>
          <w:lang w:eastAsia="zh-CN"/>
        </w:rPr>
        <w:t>、</w:t>
      </w:r>
      <w:r>
        <w:rPr>
          <w:rFonts w:hint="eastAsia"/>
        </w:rPr>
        <w:t>磁共振成像设备（</w:t>
      </w:r>
      <w:r>
        <w:t>MR）、800mAX光机、彩色B</w:t>
      </w:r>
      <w:r>
        <w:rPr>
          <w:rFonts w:hint="eastAsia"/>
        </w:rPr>
        <w:t>超、全自动生化分析仪、血液分析仪、血液透析机、电子胃肠镜、体外震波碎石机、关节镜、腹腔镜等先进医疗设备。</w:t>
      </w:r>
    </w:p>
    <w:p w14:paraId="4A56CAC8">
      <w:r>
        <w:t>2013年，医院深入开展“面向基层、整顿作</w:t>
      </w:r>
      <w:r>
        <w:rPr>
          <w:rFonts w:hint="eastAsia"/>
        </w:rPr>
        <w:t>风、服务群众”、“三好一满意”、“创建无红包医院”、医疗质量万里行等活动，重视内涵建设，加强医疗护理质量管理，狠抓医务人员技术培训，积极引进、应用、开展新技术、新项目，促进了全院医疗护理质量的快速稳步提高。医院科研项目取得丰硕成果，由儿科温文英等同志完成的《叶酸加蒙脱石散治疗婴幼儿轮状病毒性肠炎的研究》和骨科李贵坚等同志完成的《经伤椎置钉</w:t>
      </w:r>
      <w:r>
        <w:t>+植骨技术治疗</w:t>
      </w:r>
      <w:r>
        <w:rPr>
          <w:rFonts w:hint="eastAsia"/>
        </w:rPr>
        <w:t>胸腰椎裂骨折的临床研究》课题均获得南雄市科技成果进步三等奖；外一科段泽辉同志申报的《结肠</w:t>
      </w:r>
      <w:r>
        <w:rPr>
          <w:rFonts w:hint="eastAsia"/>
          <w:lang w:val="en-US" w:eastAsia="zh-CN"/>
        </w:rPr>
        <w:t>癌</w:t>
      </w:r>
      <w:r>
        <w:rPr>
          <w:rFonts w:hint="eastAsia"/>
        </w:rPr>
        <w:t>患者术后树突状细胞免疫治疗对患者功能的影响及其治疗效果观察》课题获得韶关市科技局科研计划立项；儿科郭素华同志申报的《图文式康复指导在脑出血术后患者肢体功能锻炼中的护理研究》课题获得韶关市医药科研计划立项；全院获得韶关市卫生局评审通过的新技术应用项目</w:t>
      </w:r>
      <w:r>
        <w:t>25项，医务人</w:t>
      </w:r>
      <w:r>
        <w:rPr>
          <w:rFonts w:hint="eastAsia"/>
        </w:rPr>
        <w:t>员在国家和省市级医学期刊上发表专业学术论文</w:t>
      </w:r>
      <w:r>
        <w:t>30篇。</w:t>
      </w:r>
    </w:p>
    <w:p w14:paraId="04F4FDA5">
      <w:pPr>
        <w:rPr>
          <w:rFonts w:hint="eastAsia"/>
        </w:rPr>
      </w:pPr>
      <w:r>
        <w:rPr>
          <w:rFonts w:hint="eastAsia"/>
        </w:rPr>
        <w:t>南雄市人民医院按照公立医院改革试点的工作任务，统筹推进医院补偿机制、人事分配制度等综合改革，牢固树立改革创新、稳步发展、做强做大的办院理念，巩固优势科室，深挖发展潜力，抢抓发展机遇，突出专科建设，提高医护质量，建立起富有活力、可持续发展的运行新机制。</w:t>
      </w:r>
    </w:p>
    <w:p w14:paraId="1A24085A">
      <w:pPr>
        <w:jc w:val="right"/>
        <w:rPr>
          <w:rFonts w:hint="eastAsia"/>
          <w:b/>
          <w:bCs/>
        </w:rPr>
      </w:pPr>
      <w:r>
        <w:rPr>
          <w:rFonts w:hint="eastAsia"/>
          <w:b/>
          <w:bCs/>
        </w:rPr>
        <w:t>（刘世洪）</w:t>
      </w:r>
    </w:p>
    <w:p w14:paraId="1C3F4CF9">
      <w:pPr>
        <w:pStyle w:val="10"/>
        <w:bidi w:val="0"/>
        <w:rPr>
          <w:b/>
          <w:bCs/>
        </w:rPr>
      </w:pPr>
      <w:r>
        <w:rPr>
          <w:rFonts w:hint="eastAsia"/>
          <w:b/>
          <w:bCs/>
        </w:rPr>
        <w:t>附：</w:t>
      </w:r>
      <w:r>
        <w:rPr>
          <w:b/>
          <w:bCs/>
        </w:rPr>
        <w:t>2013年市人民医院领导班子成员名单</w:t>
      </w:r>
    </w:p>
    <w:p w14:paraId="511A36B7">
      <w:pPr>
        <w:pStyle w:val="10"/>
        <w:bidi w:val="0"/>
      </w:pPr>
      <w:r>
        <w:rPr>
          <w:rFonts w:hint="eastAsia"/>
          <w:b/>
          <w:bCs/>
        </w:rPr>
        <w:t>院</w:t>
      </w:r>
      <w:r>
        <w:rPr>
          <w:rFonts w:hint="eastAsia"/>
          <w:b/>
          <w:bCs/>
          <w:lang w:val="en-US" w:eastAsia="zh-CN"/>
        </w:rPr>
        <w:t xml:space="preserve">    </w:t>
      </w:r>
      <w:r>
        <w:rPr>
          <w:rFonts w:hint="eastAsia"/>
          <w:b/>
          <w:bCs/>
        </w:rPr>
        <w:t>长：</w:t>
      </w:r>
      <w:r>
        <w:rPr>
          <w:rFonts w:hint="eastAsia"/>
        </w:rPr>
        <w:t>廖宣明（任至</w:t>
      </w:r>
      <w:r>
        <w:t>9月）</w:t>
      </w:r>
      <w:r>
        <w:rPr>
          <w:rFonts w:hint="eastAsia"/>
          <w:lang w:val="en-US" w:eastAsia="zh-CN"/>
        </w:rPr>
        <w:t xml:space="preserve">   </w:t>
      </w:r>
      <w:r>
        <w:rPr>
          <w:rFonts w:hint="eastAsia"/>
        </w:rPr>
        <w:t>叶春福（</w:t>
      </w:r>
      <w:r>
        <w:t>9月任）</w:t>
      </w:r>
    </w:p>
    <w:p w14:paraId="198C361E">
      <w:pPr>
        <w:pStyle w:val="10"/>
        <w:bidi w:val="0"/>
        <w:rPr>
          <w:rFonts w:hint="eastAsia"/>
        </w:rPr>
      </w:pPr>
      <w:r>
        <w:rPr>
          <w:rFonts w:hint="eastAsia"/>
          <w:b/>
          <w:bCs/>
        </w:rPr>
        <w:t>副</w:t>
      </w:r>
      <w:r>
        <w:rPr>
          <w:rFonts w:hint="eastAsia"/>
          <w:b/>
          <w:bCs/>
          <w:lang w:val="en-US" w:eastAsia="zh-CN"/>
        </w:rPr>
        <w:t xml:space="preserve"> </w:t>
      </w:r>
      <w:r>
        <w:rPr>
          <w:rFonts w:hint="eastAsia"/>
          <w:b/>
          <w:bCs/>
        </w:rPr>
        <w:t>院</w:t>
      </w:r>
      <w:r>
        <w:rPr>
          <w:rFonts w:hint="eastAsia"/>
          <w:b/>
          <w:bCs/>
          <w:lang w:val="en-US" w:eastAsia="zh-CN"/>
        </w:rPr>
        <w:t xml:space="preserve"> </w:t>
      </w:r>
      <w:r>
        <w:rPr>
          <w:rFonts w:hint="eastAsia"/>
          <w:b/>
          <w:bCs/>
        </w:rPr>
        <w:t>长：</w:t>
      </w:r>
      <w:r>
        <w:rPr>
          <w:rFonts w:hint="eastAsia"/>
        </w:rPr>
        <w:t>王</w:t>
      </w:r>
      <w:r>
        <w:rPr>
          <w:rFonts w:hint="eastAsia"/>
          <w:lang w:val="en-US" w:eastAsia="zh-CN"/>
        </w:rPr>
        <w:t xml:space="preserve">  </w:t>
      </w:r>
      <w:r>
        <w:rPr>
          <w:rFonts w:hint="eastAsia"/>
        </w:rPr>
        <w:t>英</w:t>
      </w:r>
      <w:r>
        <w:rPr>
          <w:rFonts w:hint="eastAsia"/>
          <w:lang w:val="en-US" w:eastAsia="zh-CN"/>
        </w:rPr>
        <w:t xml:space="preserve">   </w:t>
      </w:r>
      <w:r>
        <w:rPr>
          <w:rFonts w:hint="eastAsia"/>
        </w:rPr>
        <w:t>刘卫忠</w:t>
      </w:r>
      <w:r>
        <w:rPr>
          <w:rFonts w:hint="eastAsia"/>
          <w:lang w:val="en-US" w:eastAsia="zh-CN"/>
        </w:rPr>
        <w:t xml:space="preserve">   </w:t>
      </w:r>
      <w:r>
        <w:rPr>
          <w:rFonts w:hint="eastAsia"/>
        </w:rPr>
        <w:t>严松林</w:t>
      </w:r>
      <w:r>
        <w:rPr>
          <w:rFonts w:hint="eastAsia"/>
          <w:lang w:val="en-US" w:eastAsia="zh-CN"/>
        </w:rPr>
        <w:t xml:space="preserve">   </w:t>
      </w:r>
      <w:r>
        <w:rPr>
          <w:rFonts w:hint="eastAsia"/>
        </w:rPr>
        <w:t>何旗明</w:t>
      </w:r>
    </w:p>
    <w:p w14:paraId="67D494E9">
      <w:pPr>
        <w:pStyle w:val="10"/>
        <w:bidi w:val="0"/>
        <w:ind w:firstLine="1050" w:firstLineChars="500"/>
        <w:rPr>
          <w:rFonts w:hint="eastAsia"/>
        </w:rPr>
      </w:pPr>
      <w:r>
        <w:rPr>
          <w:rFonts w:hint="eastAsia"/>
        </w:rPr>
        <w:t>陈友方</w:t>
      </w:r>
      <w:r>
        <w:rPr>
          <w:rFonts w:hint="eastAsia"/>
          <w:lang w:val="en-US" w:eastAsia="zh-CN"/>
        </w:rPr>
        <w:t xml:space="preserve">   </w:t>
      </w:r>
      <w:r>
        <w:rPr>
          <w:rFonts w:hint="eastAsia"/>
        </w:rPr>
        <w:t>殷圣银</w:t>
      </w:r>
    </w:p>
    <w:p w14:paraId="415B387E">
      <w:pPr>
        <w:pStyle w:val="10"/>
        <w:bidi w:val="0"/>
        <w:rPr>
          <w:rFonts w:hint="eastAsia"/>
        </w:rPr>
      </w:pPr>
      <w:r>
        <w:rPr>
          <w:rFonts w:hint="eastAsia"/>
          <w:b/>
          <w:bCs/>
        </w:rPr>
        <w:t>工会主席：</w:t>
      </w:r>
      <w:r>
        <w:rPr>
          <w:rFonts w:hint="eastAsia"/>
        </w:rPr>
        <w:t>谢雄生</w:t>
      </w:r>
    </w:p>
    <w:p w14:paraId="13BD814F">
      <w:pPr>
        <w:pStyle w:val="10"/>
        <w:bidi w:val="0"/>
        <w:rPr>
          <w:rFonts w:hint="eastAsia"/>
        </w:rPr>
      </w:pPr>
      <w:r>
        <w:rPr>
          <w:rFonts w:hint="eastAsia"/>
          <w:b/>
          <w:bCs/>
        </w:rPr>
        <w:t>副科级干部、院办主任：</w:t>
      </w:r>
      <w:r>
        <w:rPr>
          <w:rFonts w:hint="eastAsia"/>
        </w:rPr>
        <w:t>刘世洪</w:t>
      </w:r>
    </w:p>
    <w:p w14:paraId="02EBE5AF">
      <w:pPr>
        <w:pStyle w:val="4"/>
        <w:bidi w:val="0"/>
        <w:rPr>
          <w:rFonts w:hint="eastAsia"/>
        </w:rPr>
      </w:pPr>
      <w:r>
        <w:rPr>
          <w:rFonts w:hint="eastAsia"/>
        </w:rPr>
        <w:t>【南雄市中医院】</w:t>
      </w:r>
    </w:p>
    <w:p w14:paraId="543F9532">
      <w:r>
        <w:rPr>
          <w:rFonts w:hint="eastAsia"/>
        </w:rPr>
        <w:t>南雄市中医院前身为南雄县卫校，创建于</w:t>
      </w:r>
      <w:r>
        <w:t>1959年8月。1985年9月南雄县在卫</w:t>
      </w:r>
      <w:r>
        <w:rPr>
          <w:rFonts w:hint="eastAsia"/>
        </w:rPr>
        <w:t>校的基础上筹建中医院，院址在南雄县雄州镇新城区，医院</w:t>
      </w:r>
      <w:r>
        <w:t>1987年底建成，占地面积12000平方米，</w:t>
      </w:r>
      <w:r>
        <w:rPr>
          <w:rFonts w:hint="eastAsia"/>
        </w:rPr>
        <w:t>建筑面积</w:t>
      </w:r>
      <w:r>
        <w:t>2600平方米，全院职工20人，为副科级</w:t>
      </w:r>
      <w:r>
        <w:rPr>
          <w:rFonts w:hint="eastAsia"/>
        </w:rPr>
        <w:t>事业单位，隶属县卫生局，同年县卫校撤销。</w:t>
      </w:r>
      <w:r>
        <w:t>1996</w:t>
      </w:r>
      <w:r>
        <w:rPr>
          <w:rFonts w:hint="eastAsia"/>
        </w:rPr>
        <w:t>年</w:t>
      </w:r>
      <w:r>
        <w:t>6月南雄撤县设市，医院更名为南雄市中医院。</w:t>
      </w:r>
    </w:p>
    <w:p w14:paraId="77B75E93">
      <w:r>
        <w:t>1998年5月，南雄市中医院与南雄市雄州镇卫</w:t>
      </w:r>
      <w:r>
        <w:rPr>
          <w:rFonts w:hint="eastAsia"/>
        </w:rPr>
        <w:t>生院合并重组，院址定在原雄州镇卫生院（原光明东路</w:t>
      </w:r>
      <w:r>
        <w:t>135号，现雄州大道中146号），为正科级事</w:t>
      </w:r>
      <w:r>
        <w:rPr>
          <w:rFonts w:hint="eastAsia"/>
        </w:rPr>
        <w:t>业单位。经过十余年的发展，医院已发展成一所集医疗、教学、科研、保健、康复为一体的综合性</w:t>
      </w:r>
      <w:r>
        <w:t>.</w:t>
      </w:r>
      <w:r>
        <w:rPr>
          <w:rFonts w:hint="eastAsia"/>
        </w:rPr>
        <w:t>级甲等中医医院，成为广东药学院临床教学医院</w:t>
      </w:r>
      <w:r>
        <w:rPr>
          <w:rFonts w:hint="eastAsia"/>
          <w:lang w:eastAsia="zh-CN"/>
        </w:rPr>
        <w:t>、</w:t>
      </w:r>
      <w:r>
        <w:rPr>
          <w:rFonts w:hint="eastAsia"/>
        </w:rPr>
        <w:t>广东药学院附属第一医院技术协作医院、韶关医学院教学医院、本市医疗保险机构定点医院。医院占地</w:t>
      </w:r>
      <w:r>
        <w:t>9977</w:t>
      </w:r>
      <w:r>
        <w:rPr>
          <w:rFonts w:hint="eastAsia"/>
          <w:lang w:val="en-US" w:eastAsia="zh-CN"/>
        </w:rPr>
        <w:t>.</w:t>
      </w:r>
      <w:r>
        <w:t>18平方米，建筑面积12056平方米（不含</w:t>
      </w:r>
      <w:r>
        <w:rPr>
          <w:rFonts w:hint="eastAsia"/>
        </w:rPr>
        <w:t>住院综合大楼二期工程）。编制床位</w:t>
      </w:r>
      <w:r>
        <w:t>250张，实际</w:t>
      </w:r>
      <w:r>
        <w:rPr>
          <w:rFonts w:hint="eastAsia"/>
        </w:rPr>
        <w:t>开放床位</w:t>
      </w:r>
      <w:r>
        <w:t>180张，在职职工298人，其中高级职称15人。</w:t>
      </w:r>
    </w:p>
    <w:p w14:paraId="3BA1BA2B">
      <w:pPr>
        <w:rPr>
          <w:rFonts w:hint="eastAsia"/>
        </w:rPr>
      </w:pPr>
      <w:r>
        <w:rPr>
          <w:rFonts w:hint="eastAsia"/>
        </w:rPr>
        <w:t>医院设有急诊科、内科、脑病科、外科、妇产科、骨伤科、康复科、治未病科、麻醉科、手术室、预防保健科、眼科、耳鼻咽喉科、皮肤科、口腔科、药剂科、检验科、内镜室、放射科和功能检</w:t>
      </w:r>
      <w:r>
        <w:rPr>
          <w:rFonts w:hint="eastAsia"/>
          <w:lang w:eastAsia="zh-CN"/>
        </w:rPr>
        <w:t>查</w:t>
      </w:r>
      <w:r>
        <w:rPr>
          <w:rFonts w:hint="eastAsia"/>
        </w:rPr>
        <w:t>科等</w:t>
      </w:r>
      <w:r>
        <w:t>24个医学专业学科和专科门诊，其中骨伤</w:t>
      </w:r>
      <w:r>
        <w:rPr>
          <w:rFonts w:hint="eastAsia"/>
        </w:rPr>
        <w:t>科是南雄市中医特色（重点）专科，康复科、脑病科是韶关市中医特色（重点）专科，康复科还是国家农村医疗机构中医特色专科建设项目。</w:t>
      </w:r>
    </w:p>
    <w:p w14:paraId="1472A09A">
      <w:pPr>
        <w:rPr>
          <w:rFonts w:hint="eastAsia"/>
        </w:rPr>
      </w:pPr>
      <w:r>
        <w:rPr>
          <w:rFonts w:hint="eastAsia"/>
        </w:rPr>
        <w:t>医院不断加大设备投入力度，拥有</w:t>
      </w:r>
      <w:r>
        <w:t>CT、彩超</w:t>
      </w:r>
      <w:r>
        <w:rPr>
          <w:rFonts w:hint="eastAsia"/>
          <w:lang w:eastAsia="zh-CN"/>
        </w:rPr>
        <w:t>、</w:t>
      </w:r>
      <w:r>
        <w:rPr>
          <w:rFonts w:hint="eastAsia"/>
        </w:rPr>
        <w:t>数字化</w:t>
      </w:r>
      <w:r>
        <w:t>X线摄影（DR）、CR、全自动生化分析仪</w:t>
      </w:r>
      <w:r>
        <w:rPr>
          <w:rFonts w:hint="eastAsia"/>
          <w:lang w:eastAsia="zh-CN"/>
        </w:rPr>
        <w:t>、全</w:t>
      </w:r>
      <w:r>
        <w:rPr>
          <w:rFonts w:hint="eastAsia"/>
        </w:rPr>
        <w:t>自动五分类血球分析仪、腹腔镜、电子胃镜、钬激光、舌面脉体质辨识系统和系列康复设备，中医诊疗设备配置齐备。</w:t>
      </w:r>
    </w:p>
    <w:p w14:paraId="72406999">
      <w:pPr>
        <w:rPr>
          <w:rFonts w:hint="eastAsia"/>
        </w:rPr>
      </w:pPr>
      <w:r>
        <w:rPr>
          <w:rFonts w:hint="eastAsia"/>
        </w:rPr>
        <w:t>医院充分发挥中医药特色优势，不断加强医疗质量的监控，强化医务人员医疗安全意识和规范意识，在临床科室全面实施“中医诊疗方案”、“常见病及优势病种中医临床路径”并持续改进，严格《中医病历书写基本规范》，制定《护理管理</w:t>
      </w:r>
      <w:r>
        <w:rPr>
          <w:rFonts w:hint="eastAsia"/>
          <w:lang w:val="en-US" w:eastAsia="zh-CN"/>
        </w:rPr>
        <w:t>工</w:t>
      </w:r>
      <w:r>
        <w:rPr>
          <w:rFonts w:hint="eastAsia"/>
        </w:rPr>
        <w:t>作规范》，积极开展中医特色护理及健康指导工作，进</w:t>
      </w:r>
      <w:r>
        <w:rPr>
          <w:rFonts w:hint="eastAsia"/>
          <w:lang w:val="en-US" w:eastAsia="zh-CN"/>
        </w:rPr>
        <w:t>一</w:t>
      </w:r>
      <w:r>
        <w:rPr>
          <w:rFonts w:hint="eastAsia"/>
        </w:rPr>
        <w:t>步完善医疗质量、医疗安全保障体系，医疗质量持续提升。</w:t>
      </w:r>
    </w:p>
    <w:p w14:paraId="02976FA9">
      <w:pPr>
        <w:rPr>
          <w:rFonts w:hint="eastAsia"/>
          <w:lang w:eastAsia="zh-CN"/>
        </w:rPr>
      </w:pPr>
      <w:r>
        <w:rPr>
          <w:rFonts w:hint="eastAsia"/>
        </w:rPr>
        <w:t>医院住院综合大楼被列入中央扩大内需基础设施建设项目，大楼建筑面积为</w:t>
      </w:r>
      <w:r>
        <w:t>10901平方米，一期</w:t>
      </w:r>
      <w:r>
        <w:rPr>
          <w:rFonts w:hint="eastAsia"/>
        </w:rPr>
        <w:t>工程已于</w:t>
      </w:r>
      <w:r>
        <w:t>2013年9月10日投入使用，二期工程正</w:t>
      </w:r>
      <w:r>
        <w:rPr>
          <w:rFonts w:hint="eastAsia"/>
        </w:rPr>
        <w:t>在建设中，住院综合大楼附楼、医技楼及供应室建设在推进中。按照二级甲等中医医院的建设标准和要求，随着医院发展总体规划的逐步推进，住院综合大楼及医技楼相继投入使用，医院基础设施和科室配置建设将进一步完善，就医环境大为改观</w:t>
      </w:r>
      <w:r>
        <w:rPr>
          <w:rFonts w:hint="eastAsia"/>
          <w:lang w:eastAsia="zh-CN"/>
        </w:rPr>
        <w:t>。</w:t>
      </w:r>
    </w:p>
    <w:p w14:paraId="51F00B7A">
      <w:pPr>
        <w:rPr>
          <w:rFonts w:hint="eastAsia"/>
          <w:lang w:eastAsia="zh-CN"/>
        </w:rPr>
      </w:pPr>
      <w:r>
        <w:rPr>
          <w:rFonts w:hint="eastAsia"/>
        </w:rPr>
        <w:t>医院以二级甲等中医医院复评工作为抓手，坚持以中医为主的办院方向，加强人才与学科建设，大力弘扬中医药文化，不断提升医院核心竞争力，努力把医院建设成为中医特色浓厚、学科优势明显、专科特色鲜明的现代化二级甲等中医医院</w:t>
      </w:r>
      <w:r>
        <w:rPr>
          <w:rFonts w:hint="eastAsia"/>
          <w:lang w:eastAsia="zh-CN"/>
        </w:rPr>
        <w:t>。</w:t>
      </w:r>
    </w:p>
    <w:p w14:paraId="6C7F091C">
      <w:pPr>
        <w:jc w:val="right"/>
        <w:rPr>
          <w:rFonts w:hint="eastAsia"/>
          <w:b/>
          <w:bCs/>
        </w:rPr>
      </w:pPr>
      <w:r>
        <w:rPr>
          <w:rFonts w:hint="eastAsia"/>
          <w:b/>
          <w:bCs/>
        </w:rPr>
        <w:t>（刘</w:t>
      </w:r>
      <w:r>
        <w:rPr>
          <w:rFonts w:hint="eastAsia"/>
          <w:b/>
          <w:bCs/>
          <w:lang w:val="en-US" w:eastAsia="zh-CN"/>
        </w:rPr>
        <w:t xml:space="preserve">  </w:t>
      </w:r>
      <w:r>
        <w:rPr>
          <w:rFonts w:hint="eastAsia"/>
          <w:b/>
          <w:bCs/>
        </w:rPr>
        <w:t>华）</w:t>
      </w:r>
    </w:p>
    <w:p w14:paraId="3CF55D61">
      <w:pPr>
        <w:pStyle w:val="10"/>
        <w:bidi w:val="0"/>
        <w:rPr>
          <w:b/>
          <w:bCs/>
        </w:rPr>
      </w:pPr>
      <w:r>
        <w:rPr>
          <w:rFonts w:hint="eastAsia"/>
          <w:b/>
          <w:bCs/>
        </w:rPr>
        <w:t>附：</w:t>
      </w:r>
      <w:r>
        <w:rPr>
          <w:b/>
          <w:bCs/>
        </w:rPr>
        <w:t>2013年市中医院领导班子成员名单</w:t>
      </w:r>
    </w:p>
    <w:p w14:paraId="6B6C77A3">
      <w:pPr>
        <w:pStyle w:val="10"/>
        <w:bidi w:val="0"/>
        <w:rPr>
          <w:rFonts w:hint="eastAsia"/>
        </w:rPr>
      </w:pPr>
      <w:r>
        <w:rPr>
          <w:rFonts w:hint="eastAsia"/>
          <w:b/>
          <w:bCs/>
        </w:rPr>
        <w:t>院</w:t>
      </w:r>
      <w:r>
        <w:rPr>
          <w:rFonts w:hint="eastAsia"/>
          <w:b/>
          <w:bCs/>
          <w:lang w:val="en-US" w:eastAsia="zh-CN"/>
        </w:rPr>
        <w:t xml:space="preserve">    </w:t>
      </w:r>
      <w:r>
        <w:rPr>
          <w:rFonts w:hint="eastAsia"/>
          <w:b/>
          <w:bCs/>
        </w:rPr>
        <w:t>长：</w:t>
      </w:r>
      <w:r>
        <w:rPr>
          <w:rFonts w:hint="eastAsia"/>
        </w:rPr>
        <w:t>李</w:t>
      </w:r>
      <w:r>
        <w:rPr>
          <w:rFonts w:hint="eastAsia"/>
          <w:lang w:val="en-US" w:eastAsia="zh-CN"/>
        </w:rPr>
        <w:t xml:space="preserve">  </w:t>
      </w:r>
      <w:r>
        <w:rPr>
          <w:rFonts w:hint="eastAsia"/>
        </w:rPr>
        <w:t>冰</w:t>
      </w:r>
    </w:p>
    <w:p w14:paraId="02276FA4">
      <w:pPr>
        <w:pStyle w:val="10"/>
        <w:bidi w:val="0"/>
        <w:rPr>
          <w:rFonts w:hint="eastAsia"/>
        </w:rPr>
      </w:pPr>
      <w:r>
        <w:rPr>
          <w:rFonts w:hint="eastAsia"/>
          <w:b/>
          <w:bCs/>
        </w:rPr>
        <w:t>副</w:t>
      </w:r>
      <w:r>
        <w:rPr>
          <w:rFonts w:hint="eastAsia"/>
          <w:b/>
          <w:bCs/>
          <w:lang w:val="en-US" w:eastAsia="zh-CN"/>
        </w:rPr>
        <w:t xml:space="preserve"> </w:t>
      </w:r>
      <w:r>
        <w:rPr>
          <w:rFonts w:hint="eastAsia"/>
          <w:b/>
          <w:bCs/>
        </w:rPr>
        <w:t>院</w:t>
      </w:r>
      <w:r>
        <w:rPr>
          <w:rFonts w:hint="eastAsia"/>
          <w:b/>
          <w:bCs/>
          <w:lang w:val="en-US" w:eastAsia="zh-CN"/>
        </w:rPr>
        <w:t xml:space="preserve"> </w:t>
      </w:r>
      <w:r>
        <w:rPr>
          <w:rFonts w:hint="eastAsia"/>
          <w:b/>
          <w:bCs/>
        </w:rPr>
        <w:t>长：</w:t>
      </w:r>
      <w:r>
        <w:rPr>
          <w:rFonts w:hint="eastAsia"/>
        </w:rPr>
        <w:t>张万峰</w:t>
      </w:r>
      <w:r>
        <w:rPr>
          <w:rFonts w:hint="eastAsia"/>
          <w:lang w:val="en-US" w:eastAsia="zh-CN"/>
        </w:rPr>
        <w:t xml:space="preserve">   </w:t>
      </w:r>
      <w:r>
        <w:rPr>
          <w:rFonts w:hint="eastAsia"/>
        </w:rPr>
        <w:t>刘加波</w:t>
      </w:r>
      <w:r>
        <w:rPr>
          <w:rFonts w:hint="eastAsia"/>
          <w:lang w:val="en-US" w:eastAsia="zh-CN"/>
        </w:rPr>
        <w:t xml:space="preserve">   </w:t>
      </w:r>
      <w:r>
        <w:rPr>
          <w:rFonts w:hint="eastAsia"/>
        </w:rPr>
        <w:t>郭晓日</w:t>
      </w:r>
    </w:p>
    <w:p w14:paraId="27AD1993">
      <w:pPr>
        <w:pStyle w:val="10"/>
        <w:bidi w:val="0"/>
        <w:rPr>
          <w:rFonts w:hint="eastAsia"/>
        </w:rPr>
      </w:pPr>
      <w:r>
        <w:rPr>
          <w:rFonts w:hint="eastAsia"/>
          <w:b/>
          <w:bCs/>
        </w:rPr>
        <w:t>工会主席：</w:t>
      </w:r>
      <w:r>
        <w:rPr>
          <w:rFonts w:hint="eastAsia"/>
        </w:rPr>
        <w:t>王文博</w:t>
      </w:r>
    </w:p>
    <w:p w14:paraId="7BF643A3">
      <w:pPr>
        <w:pStyle w:val="4"/>
        <w:bidi w:val="0"/>
        <w:rPr>
          <w:rFonts w:hint="eastAsia"/>
        </w:rPr>
      </w:pPr>
      <w:r>
        <w:rPr>
          <w:rFonts w:hint="eastAsia"/>
        </w:rPr>
        <w:t>【南雄市妇幼保健院】</w:t>
      </w:r>
    </w:p>
    <w:p w14:paraId="3AEED867">
      <w:r>
        <w:rPr>
          <w:rFonts w:hint="eastAsia"/>
        </w:rPr>
        <w:t>南雄市妇幼保健院地处市区新城水南路</w:t>
      </w:r>
      <w:r>
        <w:t>17号，是一所以保健为主，保健与</w:t>
      </w:r>
      <w:r>
        <w:rPr>
          <w:rFonts w:hint="eastAsia"/>
        </w:rPr>
        <w:t>临床相结合，集保健、临床、预防、教学、科研为体的一级甲等综合医院。担负着全市妇女、儿童保健及基层妇幼人员培训工作。是南雄市妇女、儿童保健服务指导中心，同时也是本市医疗保险机构定点医院。医院占地面积</w:t>
      </w:r>
      <w:r>
        <w:t>2200平方米，建筑面积1613.16平方米，编制床位65张，人员编制39个，</w:t>
      </w:r>
      <w:r>
        <w:rPr>
          <w:rFonts w:hint="eastAsia"/>
        </w:rPr>
        <w:t>在职在编</w:t>
      </w:r>
      <w:r>
        <w:t>37人。其中高级职称1人，中级职称19</w:t>
      </w:r>
      <w:r>
        <w:rPr>
          <w:rFonts w:hint="eastAsia"/>
        </w:rPr>
        <w:t>人。院内设妇产科、儿科、门诊、检验科、</w:t>
      </w:r>
      <w:r>
        <w:t>B超</w:t>
      </w:r>
      <w:r>
        <w:rPr>
          <w:rFonts w:hint="eastAsia"/>
        </w:rPr>
        <w:t>室、保健科、药剂科、康复科、婚检室等科室。</w:t>
      </w:r>
      <w:r>
        <w:t>2013年围绕“一法两纲”要求，严格按照《南雄</w:t>
      </w:r>
      <w:r>
        <w:rPr>
          <w:rFonts w:hint="eastAsia"/>
        </w:rPr>
        <w:t>市妇女发展规划（</w:t>
      </w:r>
      <w:r>
        <w:t>2011-2020）》、《南雄市儿童发</w:t>
      </w:r>
      <w:r>
        <w:rPr>
          <w:rFonts w:hint="eastAsia"/>
        </w:rPr>
        <w:t>展规划（</w:t>
      </w:r>
      <w:r>
        <w:t>2011-2020）》要求，较好的完成各项妇</w:t>
      </w:r>
      <w:r>
        <w:rPr>
          <w:rFonts w:hint="eastAsia"/>
        </w:rPr>
        <w:t>幼工作指标。</w:t>
      </w:r>
      <w:r>
        <w:t>2013年门诊人次49022人，同比增加995人次，增长率为2%；住院人次1479人，同比</w:t>
      </w:r>
      <w:r>
        <w:rPr>
          <w:rFonts w:hint="eastAsia"/>
        </w:rPr>
        <w:t>增长</w:t>
      </w:r>
      <w:r>
        <w:t>23人，增长率1.55%。</w:t>
      </w:r>
    </w:p>
    <w:p w14:paraId="177F8F62">
      <w:pPr>
        <w:jc w:val="right"/>
        <w:rPr>
          <w:rFonts w:hint="eastAsia"/>
          <w:b/>
          <w:bCs/>
        </w:rPr>
      </w:pPr>
      <w:r>
        <w:rPr>
          <w:rFonts w:hint="eastAsia"/>
          <w:b/>
          <w:bCs/>
          <w:lang w:eastAsia="zh-CN"/>
        </w:rPr>
        <w:t>（</w:t>
      </w:r>
      <w:r>
        <w:rPr>
          <w:rFonts w:hint="eastAsia"/>
          <w:b/>
          <w:bCs/>
        </w:rPr>
        <w:t>何青竹）</w:t>
      </w:r>
    </w:p>
    <w:p w14:paraId="776F0706">
      <w:pPr>
        <w:pStyle w:val="10"/>
        <w:bidi w:val="0"/>
        <w:rPr>
          <w:b/>
          <w:bCs/>
        </w:rPr>
      </w:pPr>
      <w:r>
        <w:rPr>
          <w:rFonts w:hint="eastAsia"/>
          <w:b/>
          <w:bCs/>
        </w:rPr>
        <w:t>附：</w:t>
      </w:r>
      <w:r>
        <w:rPr>
          <w:b/>
          <w:bCs/>
        </w:rPr>
        <w:t>2013年市妇幼保健院领导班子成员名单</w:t>
      </w:r>
    </w:p>
    <w:p w14:paraId="7AE536F7">
      <w:pPr>
        <w:pStyle w:val="10"/>
        <w:bidi w:val="0"/>
        <w:rPr>
          <w:rFonts w:hint="eastAsia"/>
        </w:rPr>
      </w:pPr>
      <w:r>
        <w:rPr>
          <w:rFonts w:hint="eastAsia"/>
          <w:b/>
          <w:bCs/>
        </w:rPr>
        <w:t>院</w:t>
      </w:r>
      <w:r>
        <w:rPr>
          <w:rFonts w:hint="eastAsia"/>
          <w:b/>
          <w:bCs/>
          <w:lang w:val="en-US" w:eastAsia="zh-CN"/>
        </w:rPr>
        <w:t xml:space="preserve">  </w:t>
      </w:r>
      <w:r>
        <w:rPr>
          <w:rFonts w:hint="eastAsia"/>
          <w:b/>
          <w:bCs/>
        </w:rPr>
        <w:t>长：</w:t>
      </w:r>
      <w:r>
        <w:rPr>
          <w:rFonts w:hint="eastAsia"/>
        </w:rPr>
        <w:t>徐永宁</w:t>
      </w:r>
    </w:p>
    <w:p w14:paraId="752BF7F2">
      <w:pPr>
        <w:pStyle w:val="10"/>
        <w:bidi w:val="0"/>
        <w:rPr>
          <w:rFonts w:hint="eastAsia"/>
        </w:rPr>
      </w:pPr>
      <w:r>
        <w:rPr>
          <w:rFonts w:hint="eastAsia"/>
          <w:b/>
          <w:bCs/>
        </w:rPr>
        <w:t>副院长：</w:t>
      </w:r>
      <w:r>
        <w:rPr>
          <w:rFonts w:hint="eastAsia"/>
        </w:rPr>
        <w:t>汪忠权</w:t>
      </w:r>
      <w:r>
        <w:rPr>
          <w:rFonts w:hint="eastAsia"/>
          <w:lang w:val="en-US" w:eastAsia="zh-CN"/>
        </w:rPr>
        <w:t xml:space="preserve">   </w:t>
      </w:r>
      <w:r>
        <w:rPr>
          <w:rFonts w:hint="eastAsia"/>
        </w:rPr>
        <w:t>邓月秋</w:t>
      </w:r>
      <w:r>
        <w:rPr>
          <w:rFonts w:hint="eastAsia"/>
          <w:lang w:val="en-US" w:eastAsia="zh-CN"/>
        </w:rPr>
        <w:t xml:space="preserve">   </w:t>
      </w:r>
      <w:r>
        <w:rPr>
          <w:rFonts w:hint="eastAsia"/>
        </w:rPr>
        <w:t>何海芳</w:t>
      </w:r>
    </w:p>
    <w:p w14:paraId="4CCC8A83">
      <w:pPr>
        <w:pStyle w:val="4"/>
        <w:bidi w:val="0"/>
        <w:rPr>
          <w:rFonts w:hint="eastAsia"/>
        </w:rPr>
      </w:pPr>
      <w:r>
        <w:rPr>
          <w:rFonts w:hint="eastAsia"/>
        </w:rPr>
        <w:t>【南雄市疾病预防控制中心】</w:t>
      </w:r>
    </w:p>
    <w:p w14:paraId="5B69E04F">
      <w:r>
        <w:rPr>
          <w:rFonts w:hint="eastAsia"/>
        </w:rPr>
        <w:t>南雄市疾病预防控制中心是政府卫生防病工作的技术保障部门和疾病预防控制研究及技术服务的专业机构，为副科级公益一类事业单位。中心位于雄州街道环城东路与洋汾路路口交接处东侧，占地面积</w:t>
      </w:r>
      <w:r>
        <w:t>1010平方米，综</w:t>
      </w:r>
      <w:r>
        <w:rPr>
          <w:rFonts w:hint="eastAsia"/>
        </w:rPr>
        <w:t>合大楼为</w:t>
      </w:r>
      <w:r>
        <w:t>7层框架结构，占地面积508平方米，建</w:t>
      </w:r>
      <w:r>
        <w:rPr>
          <w:rFonts w:hint="eastAsia"/>
        </w:rPr>
        <w:t>筑面积</w:t>
      </w:r>
      <w:r>
        <w:t>4280平方米，于2013年4月投入使用。</w:t>
      </w:r>
    </w:p>
    <w:p w14:paraId="162CB0A7">
      <w:r>
        <w:rPr>
          <w:rFonts w:hint="eastAsia"/>
        </w:rPr>
        <w:t>中心设有办公室、行政管理科、检验科、供应科、传染病防治科、慢性非传染性疾病防</w:t>
      </w:r>
      <w:r>
        <w:rPr>
          <w:rFonts w:hint="eastAsia"/>
          <w:lang w:val="en-US" w:eastAsia="zh-CN"/>
        </w:rPr>
        <w:t>治</w:t>
      </w:r>
      <w:r>
        <w:rPr>
          <w:rFonts w:hint="eastAsia"/>
        </w:rPr>
        <w:t>科、健康教育所、公共卫生科、免疫规划管理科（含接种门诊）、体检科等</w:t>
      </w:r>
      <w:r>
        <w:t>10个科（所），拥有高效液相色</w:t>
      </w:r>
      <w:r>
        <w:rPr>
          <w:rFonts w:hint="eastAsia"/>
        </w:rPr>
        <w:t>谱仪、气相色谱仪、原子吸收分光光度计、原子荧光光度计、全自动细菌鉴定及药敏测定仪及全自动生化分析仪和血液细胞分析仪等先进仪器。获认可的检验项目包括生活饮用水、公共场所、学校</w:t>
      </w:r>
      <w:r>
        <w:rPr>
          <w:rFonts w:hint="eastAsia"/>
          <w:lang w:val="en-US" w:eastAsia="zh-CN"/>
        </w:rPr>
        <w:t>卫</w:t>
      </w:r>
      <w:r>
        <w:rPr>
          <w:rFonts w:hint="eastAsia"/>
        </w:rPr>
        <w:t>生、职业卫生、疾病控制等</w:t>
      </w:r>
      <w:r>
        <w:t>5大类100项，食品检</w:t>
      </w:r>
      <w:r>
        <w:rPr>
          <w:rFonts w:hint="eastAsia"/>
        </w:rPr>
        <w:t>验项目</w:t>
      </w:r>
      <w:r>
        <w:t>62项。2013年末中心在编干部职工47人，</w:t>
      </w:r>
      <w:r>
        <w:rPr>
          <w:rFonts w:hint="eastAsia"/>
        </w:rPr>
        <w:t>其中专业技术人员</w:t>
      </w:r>
      <w:r>
        <w:t>37人（副高职称1人，中级职</w:t>
      </w:r>
      <w:r>
        <w:rPr>
          <w:rFonts w:hint="eastAsia"/>
        </w:rPr>
        <w:t>称</w:t>
      </w:r>
      <w:r>
        <w:t>20人，初级职称16人），新招聘卫生医学专业</w:t>
      </w:r>
      <w:r>
        <w:rPr>
          <w:rFonts w:hint="eastAsia"/>
        </w:rPr>
        <w:t>人员</w:t>
      </w:r>
      <w:r>
        <w:t>5人，工勤</w:t>
      </w:r>
      <w:r>
        <w:rPr>
          <w:rFonts w:hint="eastAsia"/>
          <w:lang w:eastAsia="zh-CN"/>
        </w:rPr>
        <w:t>岗位</w:t>
      </w:r>
      <w:r>
        <w:t>5人。</w:t>
      </w:r>
    </w:p>
    <w:p w14:paraId="4F3058D9">
      <w:pPr>
        <w:rPr>
          <w:rFonts w:hint="eastAsia"/>
        </w:rPr>
      </w:pPr>
      <w:r>
        <w:t>2013年，紧紧围绕疾病预防控制工作要点，组</w:t>
      </w:r>
      <w:r>
        <w:rPr>
          <w:rFonts w:hint="eastAsia"/>
        </w:rPr>
        <w:t>织实施和指导基本公共卫生服务均等化，扎实推进疾病预防控制各项工作落实。开展人感染</w:t>
      </w:r>
      <w:r>
        <w:t>H7N9禽</w:t>
      </w:r>
      <w:r>
        <w:rPr>
          <w:rFonts w:hint="eastAsia"/>
        </w:rPr>
        <w:t>流感、手足口病、艾滋病等重大疾病防控以及消除脊髓灰质炎、麻疹、疟疾等重点工作，按国家、省、市部署做好了农村饮用水、碘盐、食品安全风险评估、乙肝血清流行病学、慢病及其危险因素</w:t>
      </w:r>
      <w:r>
        <w:rPr>
          <w:rFonts w:hint="eastAsia"/>
          <w:lang w:eastAsia="zh-CN"/>
        </w:rPr>
        <w:t>、</w:t>
      </w:r>
      <w:r>
        <w:rPr>
          <w:rFonts w:hint="eastAsia"/>
        </w:rPr>
        <w:t>居民营养与健康状况和青少年健康危险行为等专项监测工作。为加强全市疾病预防控制队伍建设，先后举办六期业务培训班，培训</w:t>
      </w:r>
      <w:r>
        <w:t>180人次；3月份组</w:t>
      </w:r>
      <w:r>
        <w:rPr>
          <w:rFonts w:hint="eastAsia"/>
        </w:rPr>
        <w:t>织全市</w:t>
      </w:r>
      <w:r>
        <w:t>19个医疗单位和中心的2个应急小分队开</w:t>
      </w:r>
      <w:r>
        <w:rPr>
          <w:rFonts w:hint="eastAsia"/>
        </w:rPr>
        <w:t>展一次突发公共卫生事件应急处置演练。</w:t>
      </w:r>
    </w:p>
    <w:p w14:paraId="441B73F4">
      <w:pPr>
        <w:jc w:val="right"/>
        <w:rPr>
          <w:rFonts w:hint="eastAsia"/>
          <w:b/>
          <w:bCs/>
          <w:lang w:eastAsia="zh-CN"/>
        </w:rPr>
      </w:pPr>
      <w:r>
        <w:rPr>
          <w:rFonts w:hint="eastAsia"/>
          <w:b/>
          <w:bCs/>
        </w:rPr>
        <w:t>（王海涛</w:t>
      </w:r>
      <w:r>
        <w:rPr>
          <w:rFonts w:hint="eastAsia"/>
          <w:b/>
          <w:bCs/>
          <w:lang w:eastAsia="zh-CN"/>
        </w:rPr>
        <w:t>）</w:t>
      </w:r>
    </w:p>
    <w:p w14:paraId="31AE3C0D">
      <w:pPr>
        <w:pStyle w:val="10"/>
        <w:bidi w:val="0"/>
        <w:rPr>
          <w:b/>
          <w:bCs/>
        </w:rPr>
      </w:pPr>
      <w:r>
        <w:rPr>
          <w:rFonts w:hint="eastAsia"/>
          <w:b/>
          <w:bCs/>
        </w:rPr>
        <w:t>附：</w:t>
      </w:r>
      <w:r>
        <w:rPr>
          <w:b/>
          <w:bCs/>
        </w:rPr>
        <w:t>2013年市疾控中心领导班子成员名单</w:t>
      </w:r>
    </w:p>
    <w:p w14:paraId="50F016F7">
      <w:pPr>
        <w:pStyle w:val="10"/>
        <w:bidi w:val="0"/>
      </w:pPr>
      <w:r>
        <w:rPr>
          <w:rFonts w:hint="eastAsia"/>
          <w:b/>
          <w:bCs/>
        </w:rPr>
        <w:t>主</w:t>
      </w:r>
      <w:r>
        <w:rPr>
          <w:rFonts w:hint="eastAsia"/>
          <w:b/>
          <w:bCs/>
          <w:lang w:val="en-US" w:eastAsia="zh-CN"/>
        </w:rPr>
        <w:t xml:space="preserve">    </w:t>
      </w:r>
      <w:r>
        <w:rPr>
          <w:rFonts w:hint="eastAsia"/>
          <w:b/>
          <w:bCs/>
        </w:rPr>
        <w:t>任：</w:t>
      </w:r>
      <w:r>
        <w:rPr>
          <w:rFonts w:hint="eastAsia"/>
        </w:rPr>
        <w:t>叶春福（任至</w:t>
      </w:r>
      <w:r>
        <w:t>12月）</w:t>
      </w:r>
    </w:p>
    <w:p w14:paraId="3C19B849">
      <w:pPr>
        <w:pStyle w:val="10"/>
        <w:bidi w:val="0"/>
        <w:ind w:leftChars="500"/>
      </w:pPr>
      <w:r>
        <w:rPr>
          <w:rFonts w:hint="eastAsia"/>
        </w:rPr>
        <w:t>易艳辉（</w:t>
      </w:r>
      <w:r>
        <w:t>12月任）</w:t>
      </w:r>
    </w:p>
    <w:p w14:paraId="2568364B">
      <w:pPr>
        <w:pStyle w:val="10"/>
        <w:bidi w:val="0"/>
      </w:pPr>
      <w:r>
        <w:rPr>
          <w:rFonts w:hint="eastAsia"/>
          <w:b/>
          <w:bCs/>
        </w:rPr>
        <w:t>副</w:t>
      </w:r>
      <w:r>
        <w:rPr>
          <w:rFonts w:hint="eastAsia"/>
          <w:b/>
          <w:bCs/>
          <w:lang w:val="en-US" w:eastAsia="zh-CN"/>
        </w:rPr>
        <w:t xml:space="preserve"> </w:t>
      </w:r>
      <w:r>
        <w:rPr>
          <w:rFonts w:hint="eastAsia"/>
          <w:b/>
          <w:bCs/>
        </w:rPr>
        <w:t>主</w:t>
      </w:r>
      <w:r>
        <w:rPr>
          <w:rFonts w:hint="eastAsia"/>
          <w:b/>
          <w:bCs/>
          <w:lang w:val="en-US" w:eastAsia="zh-CN"/>
        </w:rPr>
        <w:t xml:space="preserve"> </w:t>
      </w:r>
      <w:r>
        <w:rPr>
          <w:rFonts w:hint="eastAsia"/>
          <w:b/>
          <w:bCs/>
        </w:rPr>
        <w:t>任：</w:t>
      </w:r>
      <w:r>
        <w:rPr>
          <w:rFonts w:hint="eastAsia"/>
        </w:rPr>
        <w:t>霍丽峰（任至</w:t>
      </w:r>
      <w:r>
        <w:t>7月）</w:t>
      </w:r>
    </w:p>
    <w:p w14:paraId="787F8289">
      <w:pPr>
        <w:pStyle w:val="10"/>
        <w:bidi w:val="0"/>
        <w:ind w:leftChars="500"/>
        <w:rPr>
          <w:rFonts w:hint="eastAsia"/>
        </w:rPr>
      </w:pPr>
      <w:r>
        <w:rPr>
          <w:rFonts w:hint="eastAsia"/>
        </w:rPr>
        <w:t>陈日新</w:t>
      </w:r>
      <w:r>
        <w:rPr>
          <w:rFonts w:hint="eastAsia"/>
          <w:lang w:val="en-US" w:eastAsia="zh-CN"/>
        </w:rPr>
        <w:t xml:space="preserve">   </w:t>
      </w:r>
      <w:r>
        <w:rPr>
          <w:rFonts w:hint="eastAsia"/>
        </w:rPr>
        <w:t>邬香华</w:t>
      </w:r>
    </w:p>
    <w:p w14:paraId="77387A70">
      <w:pPr>
        <w:pStyle w:val="10"/>
        <w:bidi w:val="0"/>
        <w:rPr>
          <w:rFonts w:hint="eastAsia"/>
        </w:rPr>
      </w:pPr>
      <w:r>
        <w:rPr>
          <w:rFonts w:hint="eastAsia"/>
          <w:b/>
          <w:bCs/>
        </w:rPr>
        <w:t>工会主席：</w:t>
      </w:r>
      <w:r>
        <w:rPr>
          <w:rFonts w:hint="eastAsia"/>
        </w:rPr>
        <w:t>彭庆育</w:t>
      </w:r>
    </w:p>
    <w:p w14:paraId="6BE41072">
      <w:pPr>
        <w:pStyle w:val="4"/>
        <w:bidi w:val="0"/>
        <w:rPr>
          <w:rFonts w:hint="eastAsia"/>
        </w:rPr>
      </w:pPr>
      <w:r>
        <w:rPr>
          <w:rFonts w:hint="eastAsia"/>
        </w:rPr>
        <w:t>【南雄市慢性病防</w:t>
      </w:r>
      <w:r>
        <w:rPr>
          <w:rFonts w:hint="eastAsia"/>
          <w:lang w:val="en-US" w:eastAsia="zh-CN"/>
        </w:rPr>
        <w:t>治</w:t>
      </w:r>
      <w:r>
        <w:rPr>
          <w:rFonts w:hint="eastAsia"/>
        </w:rPr>
        <w:t>站】</w:t>
      </w:r>
    </w:p>
    <w:p w14:paraId="203DCE44">
      <w:pPr>
        <w:rPr>
          <w:rFonts w:hint="eastAsia"/>
        </w:rPr>
      </w:pPr>
      <w:r>
        <w:rPr>
          <w:rFonts w:hint="eastAsia"/>
        </w:rPr>
        <w:t>南雄市慢性病防治站主要承担全市结核病防控、麻风病防治、重性精神疾病防治以及皮肤性病等慢性病的防治工作。于</w:t>
      </w:r>
      <w:r>
        <w:t>1976</w:t>
      </w:r>
      <w:r>
        <w:rPr>
          <w:rFonts w:hint="eastAsia"/>
        </w:rPr>
        <w:t>年</w:t>
      </w:r>
      <w:r>
        <w:t>6月成立，当时设在县防疫站，主要从事麻风病</w:t>
      </w:r>
      <w:r>
        <w:rPr>
          <w:rFonts w:hint="eastAsia"/>
        </w:rPr>
        <w:t>防治工作。</w:t>
      </w:r>
      <w:r>
        <w:t>1978年1月站址迁至雄东路119号。1981年增设皮肤病专科门诊部。1993年8月，结</w:t>
      </w:r>
      <w:r>
        <w:rPr>
          <w:rFonts w:hint="eastAsia"/>
        </w:rPr>
        <w:t>核病防控由慢病站负责运作和管理，同年与原小岭医院合并。</w:t>
      </w:r>
      <w:r>
        <w:t>2000年按照上级要求，将原小岭医院治</w:t>
      </w:r>
      <w:r>
        <w:rPr>
          <w:rFonts w:hint="eastAsia"/>
        </w:rPr>
        <w:t>愈后残老麻风病人全部迁移到韶关枫湾医院。</w:t>
      </w:r>
      <w:r>
        <w:t>2008</w:t>
      </w:r>
      <w:r>
        <w:rPr>
          <w:rFonts w:hint="eastAsia"/>
        </w:rPr>
        <w:t>年市慢性病防治站开设住院部。</w:t>
      </w:r>
      <w:r>
        <w:t>2009年承担国家九</w:t>
      </w:r>
      <w:r>
        <w:rPr>
          <w:rFonts w:hint="eastAsia"/>
        </w:rPr>
        <w:t>大公共卫生服务项目之重性精神疾病防治工作。</w:t>
      </w:r>
      <w:r>
        <w:t>2010年5月16日，市慢性病防治站升格为副科级</w:t>
      </w:r>
      <w:r>
        <w:rPr>
          <w:rFonts w:hint="eastAsia"/>
        </w:rPr>
        <w:t>公益一类事业单位。</w:t>
      </w:r>
    </w:p>
    <w:p w14:paraId="03A65FC5">
      <w:r>
        <w:rPr>
          <w:rFonts w:hint="eastAsia"/>
        </w:rPr>
        <w:t>单位业务用房近</w:t>
      </w:r>
      <w:r>
        <w:t>2500平方米，设有门诊部、</w:t>
      </w:r>
      <w:r>
        <w:rPr>
          <w:rFonts w:hint="eastAsia"/>
        </w:rPr>
        <w:t>住院部、化验室、功能科和防</w:t>
      </w:r>
      <w:r>
        <w:rPr>
          <w:rFonts w:hint="eastAsia"/>
          <w:lang w:val="en-US" w:eastAsia="zh-CN"/>
        </w:rPr>
        <w:t>治</w:t>
      </w:r>
      <w:r>
        <w:rPr>
          <w:rFonts w:hint="eastAsia"/>
        </w:rPr>
        <w:t>科等业务科室，全站在职职工</w:t>
      </w:r>
      <w:r>
        <w:t>30人、其中专业技术人员有25人，</w:t>
      </w:r>
      <w:r>
        <w:rPr>
          <w:rFonts w:hint="eastAsia"/>
        </w:rPr>
        <w:t>（其中：中级职称</w:t>
      </w:r>
      <w:r>
        <w:t>7人，初级职称18人）。2013年，</w:t>
      </w:r>
      <w:r>
        <w:rPr>
          <w:rFonts w:hint="eastAsia"/>
        </w:rPr>
        <w:t>门诊服务</w:t>
      </w:r>
      <w:r>
        <w:t>16897人次，住院服务1168人次。</w:t>
      </w:r>
    </w:p>
    <w:p w14:paraId="07D3623E">
      <w:pPr>
        <w:rPr>
          <w:rFonts w:hint="eastAsia"/>
        </w:rPr>
      </w:pPr>
      <w:r>
        <w:rPr>
          <w:rFonts w:hint="eastAsia"/>
        </w:rPr>
        <w:t>南雄市慢性病防治站荣获“</w:t>
      </w:r>
      <w:r>
        <w:t>2013年广东省重性</w:t>
      </w:r>
      <w:r>
        <w:rPr>
          <w:rFonts w:hint="eastAsia"/>
        </w:rPr>
        <w:t>精神病管理优秀县”、“</w:t>
      </w:r>
      <w:r>
        <w:t>2013年度韶关市慢病防治</w:t>
      </w:r>
      <w:r>
        <w:rPr>
          <w:rFonts w:hint="eastAsia"/>
        </w:rPr>
        <w:t>工作先进单位”、“</w:t>
      </w:r>
      <w:r>
        <w:t>2013年度韶关市性病防治工作</w:t>
      </w:r>
      <w:r>
        <w:rPr>
          <w:rFonts w:hint="eastAsia"/>
        </w:rPr>
        <w:t>先进单位”、“</w:t>
      </w:r>
      <w:r>
        <w:t>2013年度韶关市重性精神病管</w:t>
      </w:r>
      <w:r>
        <w:rPr>
          <w:rFonts w:hint="eastAsia"/>
          <w:lang w:val="en-US" w:eastAsia="zh-CN"/>
        </w:rPr>
        <w:t>治</w:t>
      </w:r>
      <w:r>
        <w:t>项</w:t>
      </w:r>
      <w:r>
        <w:rPr>
          <w:rFonts w:hint="eastAsia"/>
        </w:rPr>
        <w:t>目优秀单位”、“</w:t>
      </w:r>
      <w:r>
        <w:t>2013年度韶关市麻风病防治先进</w:t>
      </w:r>
      <w:r>
        <w:rPr>
          <w:rFonts w:hint="eastAsia"/>
        </w:rPr>
        <w:t>单位”。</w:t>
      </w:r>
    </w:p>
    <w:p w14:paraId="119B88B2">
      <w:pPr>
        <w:jc w:val="right"/>
        <w:rPr>
          <w:rFonts w:hint="eastAsia"/>
          <w:b/>
          <w:bCs/>
        </w:rPr>
      </w:pPr>
      <w:r>
        <w:rPr>
          <w:rFonts w:hint="eastAsia"/>
          <w:b/>
          <w:bCs/>
        </w:rPr>
        <w:t>（王建宇）</w:t>
      </w:r>
    </w:p>
    <w:p w14:paraId="5E1D376F">
      <w:pPr>
        <w:pStyle w:val="10"/>
        <w:bidi w:val="0"/>
        <w:rPr>
          <w:b/>
          <w:bCs/>
        </w:rPr>
      </w:pPr>
      <w:r>
        <w:rPr>
          <w:b/>
          <w:bCs/>
        </w:rPr>
        <w:t>2013年市慢性病防治站领导班子成员名单</w:t>
      </w:r>
    </w:p>
    <w:p w14:paraId="311101E3">
      <w:pPr>
        <w:pStyle w:val="10"/>
        <w:bidi w:val="0"/>
        <w:rPr>
          <w:rFonts w:hint="eastAsia"/>
        </w:rPr>
      </w:pPr>
      <w:r>
        <w:rPr>
          <w:rFonts w:hint="eastAsia"/>
          <w:b/>
          <w:bCs/>
        </w:rPr>
        <w:t>站</w:t>
      </w:r>
      <w:r>
        <w:rPr>
          <w:rFonts w:hint="eastAsia"/>
          <w:b/>
          <w:bCs/>
          <w:lang w:val="en-US" w:eastAsia="zh-CN"/>
        </w:rPr>
        <w:t xml:space="preserve">  </w:t>
      </w:r>
      <w:r>
        <w:rPr>
          <w:rFonts w:hint="eastAsia"/>
          <w:b/>
          <w:bCs/>
        </w:rPr>
        <w:t>长：</w:t>
      </w:r>
      <w:r>
        <w:rPr>
          <w:rFonts w:hint="eastAsia"/>
        </w:rPr>
        <w:t>张明峰</w:t>
      </w:r>
    </w:p>
    <w:p w14:paraId="559869FB">
      <w:pPr>
        <w:pStyle w:val="10"/>
        <w:bidi w:val="0"/>
        <w:rPr>
          <w:rFonts w:hint="eastAsia"/>
        </w:rPr>
      </w:pPr>
      <w:r>
        <w:rPr>
          <w:rFonts w:hint="eastAsia"/>
          <w:b/>
          <w:bCs/>
        </w:rPr>
        <w:t>副站长：</w:t>
      </w:r>
      <w:r>
        <w:rPr>
          <w:rFonts w:hint="eastAsia"/>
        </w:rPr>
        <w:t>王拨雄</w:t>
      </w:r>
      <w:r>
        <w:rPr>
          <w:rFonts w:hint="eastAsia"/>
          <w:lang w:val="en-US" w:eastAsia="zh-CN"/>
        </w:rPr>
        <w:t xml:space="preserve">   </w:t>
      </w:r>
      <w:r>
        <w:rPr>
          <w:rFonts w:hint="eastAsia"/>
        </w:rPr>
        <w:t>傅赣明</w:t>
      </w:r>
      <w:r>
        <w:rPr>
          <w:rFonts w:hint="eastAsia"/>
          <w:lang w:val="en-US" w:eastAsia="zh-CN"/>
        </w:rPr>
        <w:t xml:space="preserve">   </w:t>
      </w:r>
      <w:r>
        <w:rPr>
          <w:rFonts w:hint="eastAsia"/>
        </w:rPr>
        <w:t>谢</w:t>
      </w:r>
      <w:r>
        <w:rPr>
          <w:rFonts w:hint="eastAsia"/>
          <w:lang w:val="en-US" w:eastAsia="zh-CN"/>
        </w:rPr>
        <w:t xml:space="preserve">  </w:t>
      </w:r>
      <w:r>
        <w:rPr>
          <w:rFonts w:hint="eastAsia"/>
        </w:rPr>
        <w:t>飞</w:t>
      </w:r>
    </w:p>
    <w:p w14:paraId="064992D4">
      <w:pPr>
        <w:pStyle w:val="4"/>
        <w:bidi w:val="0"/>
        <w:rPr>
          <w:rFonts w:hint="eastAsia"/>
        </w:rPr>
      </w:pPr>
      <w:r>
        <w:rPr>
          <w:rFonts w:hint="eastAsia"/>
        </w:rPr>
        <w:t>【南雄市卫生监督所】</w:t>
      </w:r>
    </w:p>
    <w:p w14:paraId="6810030F">
      <w:pPr>
        <w:rPr>
          <w:rFonts w:hint="eastAsia"/>
        </w:rPr>
      </w:pPr>
      <w:r>
        <w:rPr>
          <w:rFonts w:hint="eastAsia"/>
        </w:rPr>
        <w:t>南雄市卫生监督所是副科级公益一类参公单位，主要是组织实施卫生行政部门制定的卫生监督计划；依照法律、法规行使预防性和经常性卫生监督；接受卫生行政部门委托承担公共卫生（职业卫生、放射卫生、公共场所、生活饮用水卫生、传染病防治、学校卫生）和医疗卫生的监管；受理卫生许可和执业许可的申请及健康卫生产品的审核上报和批准后的发证工作；承办卫生处罚案件的调</w:t>
      </w:r>
      <w:r>
        <w:rPr>
          <w:rFonts w:hint="eastAsia"/>
          <w:lang w:eastAsia="zh-CN"/>
        </w:rPr>
        <w:t>查</w:t>
      </w:r>
      <w:r>
        <w:rPr>
          <w:rFonts w:hint="eastAsia"/>
        </w:rPr>
        <w:t>取证，提出行政处罚意见及文书</w:t>
      </w:r>
      <w:r>
        <w:rPr>
          <w:rFonts w:hint="eastAsia"/>
          <w:lang w:val="en-US" w:eastAsia="zh-CN"/>
        </w:rPr>
        <w:t>制</w:t>
      </w:r>
      <w:r>
        <w:rPr>
          <w:rFonts w:hint="eastAsia"/>
        </w:rPr>
        <w:t>作；参与对危害公共卫生、医疗放射、重大疫情和突发事件的调</w:t>
      </w:r>
      <w:r>
        <w:rPr>
          <w:rFonts w:hint="eastAsia"/>
          <w:lang w:eastAsia="zh-CN"/>
        </w:rPr>
        <w:t>查</w:t>
      </w:r>
      <w:r>
        <w:rPr>
          <w:rFonts w:hint="eastAsia"/>
        </w:rPr>
        <w:t>处理。</w:t>
      </w:r>
    </w:p>
    <w:p w14:paraId="7CF96ED2">
      <w:pPr>
        <w:rPr>
          <w:rFonts w:hint="eastAsia"/>
        </w:rPr>
      </w:pPr>
      <w:r>
        <w:rPr>
          <w:rFonts w:hint="eastAsia"/>
        </w:rPr>
        <w:t>现有编制</w:t>
      </w:r>
      <w:r>
        <w:t>32名，所长1名，副所长3名，内设</w:t>
      </w:r>
      <w:r>
        <w:rPr>
          <w:rFonts w:hint="eastAsia"/>
        </w:rPr>
        <w:t>办公室、医疗机构监督科、受理办证科、公共卫生监督科和稽</w:t>
      </w:r>
      <w:r>
        <w:rPr>
          <w:rFonts w:hint="eastAsia"/>
          <w:lang w:eastAsia="zh-CN"/>
        </w:rPr>
        <w:t>查</w:t>
      </w:r>
      <w:r>
        <w:rPr>
          <w:rFonts w:hint="eastAsia"/>
        </w:rPr>
        <w:t>科。</w:t>
      </w:r>
    </w:p>
    <w:p w14:paraId="00EBCC18">
      <w:r>
        <w:t>2013年，市卫生监督所荣获</w:t>
      </w:r>
      <w:r>
        <w:rPr>
          <w:rFonts w:hint="eastAsia"/>
        </w:rPr>
        <w:t>“</w:t>
      </w:r>
      <w:r>
        <w:t>2013年度韶关市卫生行政执法先进单位”荣誉</w:t>
      </w:r>
      <w:r>
        <w:rPr>
          <w:rFonts w:hint="eastAsia"/>
        </w:rPr>
        <w:t>称号</w:t>
      </w:r>
      <w:r>
        <w:rPr>
          <w:rFonts w:hint="eastAsia"/>
          <w:lang w:eastAsia="zh-CN"/>
        </w:rPr>
        <w:t>。</w:t>
      </w:r>
      <w:r>
        <w:t>2013年，《公共场所卫生许可证》发证合格率100%。公共场所、学校卫生、饮用水卫生、职业</w:t>
      </w:r>
      <w:r>
        <w:rPr>
          <w:rFonts w:hint="eastAsia"/>
        </w:rPr>
        <w:t>卫生经营单位量化分级管理率达到</w:t>
      </w:r>
      <w:r>
        <w:t>98%以上。</w:t>
      </w:r>
      <w:r>
        <w:rPr>
          <w:rFonts w:hint="eastAsia"/>
          <w:lang w:eastAsia="zh-CN"/>
        </w:rPr>
        <w:t>查</w:t>
      </w:r>
      <w:r>
        <w:t>处2家违法经营的公共场所。罚款金额2000元。取缔</w:t>
      </w:r>
      <w:r>
        <w:rPr>
          <w:rFonts w:hint="eastAsia"/>
        </w:rPr>
        <w:t>了</w:t>
      </w:r>
      <w:r>
        <w:t>4家违反《医疗机构管理条例》与《执业医师</w:t>
      </w:r>
      <w:r>
        <w:rPr>
          <w:rFonts w:hint="eastAsia"/>
        </w:rPr>
        <w:t>法》的单位。没收违法所得</w:t>
      </w:r>
      <w:r>
        <w:t>6000元，罚款人民币20000元；对7个村卫生站超出诊疗范围行为进行</w:t>
      </w:r>
      <w:r>
        <w:rPr>
          <w:rFonts w:hint="eastAsia"/>
        </w:rPr>
        <w:t>行政处罚，罚款人民币</w:t>
      </w:r>
      <w:r>
        <w:t>7000元。</w:t>
      </w:r>
    </w:p>
    <w:p w14:paraId="67A7F899">
      <w:pPr>
        <w:jc w:val="right"/>
        <w:rPr>
          <w:rFonts w:hint="eastAsia"/>
          <w:b/>
          <w:bCs/>
        </w:rPr>
      </w:pPr>
      <w:r>
        <w:rPr>
          <w:rFonts w:hint="eastAsia"/>
          <w:b/>
          <w:bCs/>
        </w:rPr>
        <w:t>（钟海平）</w:t>
      </w:r>
    </w:p>
    <w:p w14:paraId="5C4EEF9E">
      <w:pPr>
        <w:pStyle w:val="10"/>
        <w:bidi w:val="0"/>
        <w:rPr>
          <w:b/>
          <w:bCs/>
        </w:rPr>
      </w:pPr>
      <w:r>
        <w:rPr>
          <w:rFonts w:hint="eastAsia"/>
          <w:b/>
          <w:bCs/>
        </w:rPr>
        <w:t>附：</w:t>
      </w:r>
      <w:r>
        <w:rPr>
          <w:b/>
          <w:bCs/>
        </w:rPr>
        <w:t>2013年市卫监所领导班子成员名单</w:t>
      </w:r>
    </w:p>
    <w:p w14:paraId="6025D4F6">
      <w:pPr>
        <w:pStyle w:val="10"/>
        <w:bidi w:val="0"/>
        <w:rPr>
          <w:rFonts w:hint="eastAsia"/>
        </w:rPr>
      </w:pPr>
      <w:r>
        <w:rPr>
          <w:rFonts w:hint="eastAsia"/>
          <w:b/>
          <w:bCs/>
        </w:rPr>
        <w:t>所</w:t>
      </w:r>
      <w:r>
        <w:rPr>
          <w:rFonts w:hint="eastAsia"/>
          <w:b/>
          <w:bCs/>
          <w:lang w:val="en-US" w:eastAsia="zh-CN"/>
        </w:rPr>
        <w:t xml:space="preserve">  </w:t>
      </w:r>
      <w:r>
        <w:rPr>
          <w:rFonts w:hint="eastAsia"/>
          <w:b/>
          <w:bCs/>
        </w:rPr>
        <w:t>长：</w:t>
      </w:r>
      <w:r>
        <w:rPr>
          <w:rFonts w:hint="eastAsia"/>
        </w:rPr>
        <w:t>黄承煌</w:t>
      </w:r>
    </w:p>
    <w:p w14:paraId="16328D9E">
      <w:pPr>
        <w:pStyle w:val="10"/>
        <w:bidi w:val="0"/>
        <w:rPr>
          <w:rFonts w:hint="eastAsia"/>
        </w:rPr>
      </w:pPr>
      <w:r>
        <w:rPr>
          <w:rFonts w:hint="eastAsia"/>
          <w:b/>
          <w:bCs/>
        </w:rPr>
        <w:t>副所长：</w:t>
      </w:r>
      <w:r>
        <w:rPr>
          <w:rFonts w:hint="eastAsia"/>
        </w:rPr>
        <w:t>潘志明</w:t>
      </w:r>
      <w:r>
        <w:rPr>
          <w:rFonts w:hint="eastAsia"/>
          <w:lang w:val="en-US" w:eastAsia="zh-CN"/>
        </w:rPr>
        <w:t xml:space="preserve">   </w:t>
      </w:r>
      <w:r>
        <w:rPr>
          <w:rFonts w:hint="eastAsia"/>
        </w:rPr>
        <w:t>钟海平</w:t>
      </w:r>
      <w:r>
        <w:rPr>
          <w:rFonts w:hint="eastAsia"/>
          <w:lang w:val="en-US" w:eastAsia="zh-CN"/>
        </w:rPr>
        <w:t xml:space="preserve">   </w:t>
      </w:r>
      <w:r>
        <w:rPr>
          <w:rFonts w:hint="eastAsia"/>
        </w:rPr>
        <w:t>孔亚军</w:t>
      </w:r>
    </w:p>
    <w:p w14:paraId="34C6DE5A">
      <w:pPr>
        <w:pStyle w:val="3"/>
        <w:bidi w:val="0"/>
        <w:rPr>
          <w:rFonts w:hint="eastAsia"/>
          <w:lang w:val="en-US" w:eastAsia="zh-CN"/>
        </w:rPr>
      </w:pPr>
      <w:r>
        <w:rPr>
          <w:rFonts w:hint="eastAsia"/>
        </w:rPr>
        <w:t>红十字会</w:t>
      </w:r>
      <w:r>
        <w:rPr>
          <w:rFonts w:hint="eastAsia"/>
          <w:lang w:val="en-US" w:eastAsia="zh-CN"/>
        </w:rPr>
        <w:t>工作</w:t>
      </w:r>
    </w:p>
    <w:p w14:paraId="2200C973">
      <w:pPr>
        <w:pStyle w:val="4"/>
        <w:bidi w:val="0"/>
        <w:rPr>
          <w:rFonts w:hint="eastAsia"/>
        </w:rPr>
      </w:pPr>
      <w:r>
        <w:rPr>
          <w:rFonts w:hint="eastAsia"/>
          <w:lang w:eastAsia="zh-CN"/>
        </w:rPr>
        <w:t>【</w:t>
      </w:r>
      <w:r>
        <w:rPr>
          <w:rFonts w:hint="eastAsia"/>
        </w:rPr>
        <w:t>概况】</w:t>
      </w:r>
    </w:p>
    <w:p w14:paraId="3C3E0C9E">
      <w:pPr>
        <w:rPr>
          <w:rFonts w:hint="eastAsia"/>
        </w:rPr>
      </w:pPr>
      <w:r>
        <w:rPr>
          <w:rFonts w:hint="eastAsia"/>
        </w:rPr>
        <w:t>南雄市红十字会于</w:t>
      </w:r>
      <w:r>
        <w:t>1992年8月设立机</w:t>
      </w:r>
      <w:r>
        <w:rPr>
          <w:rFonts w:hint="eastAsia"/>
        </w:rPr>
        <w:t>构，</w:t>
      </w:r>
      <w:r>
        <w:t>2006年3月，南雄市编办核定事业编制2名</w:t>
      </w:r>
      <w:r>
        <w:rPr>
          <w:rFonts w:hint="eastAsia"/>
          <w:lang w:eastAsia="zh-CN"/>
        </w:rPr>
        <w:t>，</w:t>
      </w:r>
      <w:r>
        <w:rPr>
          <w:rFonts w:hint="eastAsia"/>
        </w:rPr>
        <w:t>由南雄市卫生局代管。市红十字会秉承人道、博爱、奉献的精神，履行红十字会职责，宣传红十字会精神，加强组织建设，发展红十会会员，成立志愿者队伍，抓好红十字青少年工作；强化初级卫生救护培训，深入开展救灾、救助、救护工作和积极推进遗体捐献工作。</w:t>
      </w:r>
    </w:p>
    <w:p w14:paraId="7AFD59A0">
      <w:pPr>
        <w:pStyle w:val="4"/>
        <w:bidi w:val="0"/>
        <w:rPr>
          <w:rFonts w:hint="eastAsia"/>
        </w:rPr>
      </w:pPr>
      <w:r>
        <w:rPr>
          <w:rFonts w:hint="eastAsia"/>
        </w:rPr>
        <w:t>【开展“送温暖”活动】</w:t>
      </w:r>
    </w:p>
    <w:p w14:paraId="25FDB5D7">
      <w:r>
        <w:t>2013年春节前夕，市红</w:t>
      </w:r>
      <w:r>
        <w:rPr>
          <w:rFonts w:hint="eastAsia"/>
        </w:rPr>
        <w:t>十字会对南雄市的特困、低保户及珠玑镇敬老院的五保户进行慰问。把关爱和祝福送给特困群众。活动发放慰问物资大米</w:t>
      </w:r>
      <w:r>
        <w:t>31袋、食用油32瓶、棉被32</w:t>
      </w:r>
      <w:r>
        <w:rPr>
          <w:rFonts w:hint="eastAsia"/>
        </w:rPr>
        <w:t>床、方便面</w:t>
      </w:r>
      <w:r>
        <w:t>18箱。</w:t>
      </w:r>
    </w:p>
    <w:p w14:paraId="559CD18B">
      <w:pPr>
        <w:pStyle w:val="4"/>
        <w:bidi w:val="0"/>
        <w:rPr>
          <w:rFonts w:hint="eastAsia"/>
        </w:rPr>
      </w:pPr>
      <w:r>
        <w:rPr>
          <w:rFonts w:hint="eastAsia"/>
        </w:rPr>
        <w:t>【开展红十字日宣传】</w:t>
      </w:r>
    </w:p>
    <w:p w14:paraId="660C8F88">
      <w:pPr>
        <w:rPr>
          <w:rFonts w:hint="eastAsia"/>
        </w:rPr>
      </w:pPr>
      <w:r>
        <w:t>2013年5月8日，市红十</w:t>
      </w:r>
      <w:r>
        <w:rPr>
          <w:rFonts w:hint="eastAsia"/>
        </w:rPr>
        <w:t>字会在南雄市三影塔广场开展世界红十字日宣传咨询活动。发放宣传资料</w:t>
      </w:r>
      <w:r>
        <w:t>200多份。活动的开展使</w:t>
      </w:r>
      <w:r>
        <w:rPr>
          <w:rFonts w:hint="eastAsia"/>
        </w:rPr>
        <w:t>“人道、博爱、奉献”的红十字精神得到升华，扩大了红十字会的社会影响。</w:t>
      </w:r>
    </w:p>
    <w:p w14:paraId="797F1E39">
      <w:pPr>
        <w:pStyle w:val="4"/>
        <w:bidi w:val="0"/>
        <w:rPr>
          <w:rFonts w:hint="eastAsia"/>
        </w:rPr>
      </w:pPr>
      <w:r>
        <w:rPr>
          <w:rFonts w:hint="eastAsia"/>
        </w:rPr>
        <w:t>【开展扶贫助医工作】</w:t>
      </w:r>
    </w:p>
    <w:p w14:paraId="2EBB06C1">
      <w:pPr>
        <w:rPr>
          <w:rFonts w:hint="eastAsia"/>
        </w:rPr>
      </w:pPr>
      <w:r>
        <w:t>2013年6月初，为配合</w:t>
      </w:r>
      <w:r>
        <w:rPr>
          <w:rFonts w:hint="eastAsia"/>
          <w:lang w:val="en-US" w:eastAsia="zh-CN"/>
        </w:rPr>
        <w:t>广</w:t>
      </w:r>
      <w:r>
        <w:rPr>
          <w:rFonts w:hint="eastAsia"/>
        </w:rPr>
        <w:t>东省今年开展“扶贫济困日”活动，广东省扶贫基金会、中恒集团—梧州制药给红十字会捐赠一批</w:t>
      </w:r>
      <w:r>
        <w:rPr>
          <w:rFonts w:hint="eastAsia"/>
          <w:lang w:eastAsia="zh-CN"/>
        </w:rPr>
        <w:t>“</w:t>
      </w:r>
      <w:r>
        <w:t>爱心药品”，该批药品折合人民币约200万元，主</w:t>
      </w:r>
      <w:r>
        <w:rPr>
          <w:rFonts w:hint="eastAsia"/>
        </w:rPr>
        <w:t>要用于支持乡镇卫生院的发展，更好的为农民群众提供医疗卫生服务，助力南雄市乡镇卫生院的建设。各镇（街道）卫生院（社区卫生服务中心）领取捐赠药品后，红十字会要求各单位必须在近期开展“巡回医疗义诊”活动</w:t>
      </w:r>
      <w:r>
        <w:t>1</w:t>
      </w:r>
      <w:r>
        <w:rPr>
          <w:rFonts w:hint="eastAsia"/>
          <w:lang w:eastAsia="zh-CN"/>
        </w:rPr>
        <w:t>—</w:t>
      </w:r>
      <w:r>
        <w:t>2次，并按要求做</w:t>
      </w:r>
      <w:r>
        <w:rPr>
          <w:rFonts w:hint="eastAsia"/>
        </w:rPr>
        <w:t>好登记，以备检</w:t>
      </w:r>
      <w:r>
        <w:rPr>
          <w:rFonts w:hint="eastAsia"/>
          <w:lang w:eastAsia="zh-CN"/>
        </w:rPr>
        <w:t>查</w:t>
      </w:r>
      <w:r>
        <w:rPr>
          <w:rFonts w:hint="eastAsia"/>
        </w:rPr>
        <w:t>。</w:t>
      </w:r>
    </w:p>
    <w:p w14:paraId="2FA54E1B">
      <w:pPr>
        <w:pStyle w:val="4"/>
        <w:bidi w:val="0"/>
        <w:rPr>
          <w:rFonts w:hint="eastAsia"/>
        </w:rPr>
      </w:pPr>
      <w:r>
        <w:rPr>
          <w:rFonts w:hint="eastAsia"/>
        </w:rPr>
        <w:t>【弘扬博爱精神，推动无偿献血工作】</w:t>
      </w:r>
    </w:p>
    <w:p w14:paraId="438E22E2">
      <w:pPr>
        <w:rPr>
          <w:rFonts w:hint="eastAsia"/>
        </w:rPr>
      </w:pPr>
      <w:r>
        <w:rPr>
          <w:rFonts w:hint="eastAsia"/>
        </w:rPr>
        <w:t>多年来</w:t>
      </w:r>
      <w:r>
        <w:rPr>
          <w:rFonts w:hint="eastAsia"/>
          <w:lang w:eastAsia="zh-CN"/>
        </w:rPr>
        <w:t>，</w:t>
      </w:r>
      <w:r>
        <w:rPr>
          <w:rFonts w:hint="eastAsia"/>
        </w:rPr>
        <w:t>红十字会始终把宣传《中华人民共和国献血法》，普及献血知识，推动捐献造血干细胞和遗体捐献工作作为全市精神文明建设的重要内容，开展多种形式的宣传活动，动员和组织红十字会基层组织和</w:t>
      </w:r>
      <w:r>
        <w:rPr>
          <w:rFonts w:hint="eastAsia"/>
          <w:lang w:val="en-US" w:eastAsia="zh-CN"/>
        </w:rPr>
        <w:t>广</w:t>
      </w:r>
      <w:r>
        <w:rPr>
          <w:rFonts w:hint="eastAsia"/>
        </w:rPr>
        <w:t>大会员、志愿者带头参与，形成良好的社会氛围，无偿献血、捐献遗体（器官）工作迈上新台阶。无偿献血工作多年获韶关市无偿献血项目管理先进单位。</w:t>
      </w:r>
    </w:p>
    <w:p w14:paraId="72080F90">
      <w:pPr>
        <w:jc w:val="right"/>
        <w:rPr>
          <w:rFonts w:hint="eastAsia"/>
          <w:b/>
          <w:bCs/>
        </w:rPr>
      </w:pPr>
      <w:r>
        <w:rPr>
          <w:rFonts w:hint="eastAsia"/>
          <w:b/>
          <w:bCs/>
        </w:rPr>
        <w:t>（谢红兵）</w:t>
      </w:r>
    </w:p>
    <w:p w14:paraId="5AEC2FEA">
      <w:pPr>
        <w:pStyle w:val="10"/>
        <w:bidi w:val="0"/>
        <w:rPr>
          <w:b/>
          <w:bCs/>
        </w:rPr>
      </w:pPr>
      <w:r>
        <w:rPr>
          <w:rFonts w:hint="eastAsia"/>
          <w:b/>
          <w:bCs/>
        </w:rPr>
        <w:t>附：</w:t>
      </w:r>
      <w:r>
        <w:rPr>
          <w:b/>
          <w:bCs/>
        </w:rPr>
        <w:t>2013年市红十字会领导班子成员名单</w:t>
      </w:r>
    </w:p>
    <w:p w14:paraId="23092E52">
      <w:pPr>
        <w:pStyle w:val="10"/>
        <w:bidi w:val="0"/>
        <w:rPr>
          <w:rFonts w:hint="eastAsia"/>
        </w:rPr>
      </w:pPr>
      <w:r>
        <w:rPr>
          <w:rFonts w:hint="eastAsia"/>
          <w:b/>
          <w:bCs/>
        </w:rPr>
        <w:t>会</w:t>
      </w:r>
      <w:r>
        <w:rPr>
          <w:rFonts w:hint="eastAsia"/>
          <w:b/>
          <w:bCs/>
          <w:lang w:val="en-US" w:eastAsia="zh-CN"/>
        </w:rPr>
        <w:t xml:space="preserve">      </w:t>
      </w:r>
      <w:r>
        <w:rPr>
          <w:rFonts w:hint="eastAsia"/>
          <w:b/>
          <w:bCs/>
        </w:rPr>
        <w:t>长：</w:t>
      </w:r>
      <w:r>
        <w:rPr>
          <w:rFonts w:hint="eastAsia"/>
        </w:rPr>
        <w:t>马细妹（兼）</w:t>
      </w:r>
    </w:p>
    <w:p w14:paraId="44B3BD42">
      <w:pPr>
        <w:pStyle w:val="10"/>
        <w:bidi w:val="0"/>
        <w:rPr>
          <w:rFonts w:hint="eastAsia"/>
        </w:rPr>
      </w:pPr>
      <w:r>
        <w:rPr>
          <w:rFonts w:hint="eastAsia"/>
          <w:b/>
          <w:bCs/>
        </w:rPr>
        <w:t>常务副会长：</w:t>
      </w:r>
      <w:r>
        <w:rPr>
          <w:rFonts w:hint="eastAsia"/>
        </w:rPr>
        <w:t>丁春晖（兼）</w:t>
      </w:r>
    </w:p>
    <w:p w14:paraId="532445B5">
      <w:pPr>
        <w:pStyle w:val="10"/>
        <w:bidi w:val="0"/>
        <w:rPr>
          <w:rFonts w:hint="eastAsia"/>
        </w:rPr>
      </w:pPr>
      <w:r>
        <w:rPr>
          <w:rFonts w:hint="eastAsia"/>
          <w:b/>
          <w:bCs/>
        </w:rPr>
        <w:t>办公室主任：</w:t>
      </w:r>
      <w:r>
        <w:rPr>
          <w:rFonts w:hint="eastAsia"/>
        </w:rPr>
        <w:t>谢红兵</w:t>
      </w:r>
    </w:p>
    <w:p w14:paraId="5F6D15D8">
      <w:pPr>
        <w:pStyle w:val="3"/>
        <w:bidi w:val="0"/>
        <w:rPr>
          <w:rFonts w:hint="eastAsia"/>
          <w:lang w:val="en-US" w:eastAsia="zh-CN"/>
        </w:rPr>
      </w:pPr>
      <w:r>
        <w:rPr>
          <w:rFonts w:hint="eastAsia"/>
          <w:lang w:val="en-US" w:eastAsia="zh-CN"/>
        </w:rPr>
        <w:t>体育</w:t>
      </w:r>
    </w:p>
    <w:p w14:paraId="348F9505">
      <w:pPr>
        <w:pStyle w:val="4"/>
        <w:bidi w:val="0"/>
        <w:rPr>
          <w:rFonts w:hint="eastAsia"/>
        </w:rPr>
      </w:pPr>
      <w:r>
        <w:rPr>
          <w:rFonts w:hint="eastAsia"/>
        </w:rPr>
        <w:t>【概况】</w:t>
      </w:r>
    </w:p>
    <w:p w14:paraId="474DFDA3">
      <w:pPr>
        <w:rPr>
          <w:rFonts w:hint="eastAsia"/>
        </w:rPr>
      </w:pPr>
      <w:r>
        <w:rPr>
          <w:rFonts w:hint="eastAsia"/>
        </w:rPr>
        <w:t>南雄市体育局，属市人民政府赋予行政管理职能的市政府直属事业单位。局内设办公室，群体股，竞训股；编制</w:t>
      </w:r>
      <w:r>
        <w:t>6人，在职人员6人。下辖</w:t>
      </w:r>
      <w:r>
        <w:rPr>
          <w:rFonts w:hint="eastAsia"/>
        </w:rPr>
        <w:t>南雄市青少年业余体育学校，编制</w:t>
      </w:r>
      <w:r>
        <w:t>6人，在职人员12人。体校有国家一级教练1名、二级教练6名，</w:t>
      </w:r>
      <w:r>
        <w:rPr>
          <w:rFonts w:hint="eastAsia"/>
        </w:rPr>
        <w:t>设有田径、举重、武术三个韶关市重点训练项目训练班，并在部分学校设立训练网点。</w:t>
      </w:r>
    </w:p>
    <w:p w14:paraId="544F52F5">
      <w:pPr>
        <w:pStyle w:val="4"/>
        <w:bidi w:val="0"/>
        <w:rPr>
          <w:rFonts w:hint="eastAsia"/>
        </w:rPr>
      </w:pPr>
      <w:r>
        <w:rPr>
          <w:rFonts w:hint="eastAsia"/>
        </w:rPr>
        <w:t>【群众体育蓬勃开展】</w:t>
      </w:r>
    </w:p>
    <w:p w14:paraId="7521F6B9">
      <w:pPr>
        <w:rPr>
          <w:rFonts w:hint="eastAsia"/>
        </w:rPr>
      </w:pPr>
      <w:r>
        <w:rPr>
          <w:rFonts w:hint="eastAsia"/>
        </w:rPr>
        <w:t>经常性地开展全民健身活动，实现“月月有竞赛活动”的目标。</w:t>
      </w:r>
      <w:r>
        <w:t>2013年春</w:t>
      </w:r>
      <w:r>
        <w:rPr>
          <w:rFonts w:hint="eastAsia"/>
        </w:rPr>
        <w:t>节期间，组织开展篮球赛、象棋、羽毛球、趣味体育等系列体育活动；</w:t>
      </w:r>
      <w:r>
        <w:t>4月—5月，组织4支球队参</w:t>
      </w:r>
      <w:r>
        <w:rPr>
          <w:rFonts w:hint="eastAsia"/>
        </w:rPr>
        <w:t>加了广东省“红牛杯”挑战赛；</w:t>
      </w:r>
      <w:r>
        <w:t>5月，举办南雄市</w:t>
      </w:r>
      <w:r>
        <w:rPr>
          <w:rFonts w:hint="eastAsia"/>
        </w:rPr>
        <w:t>第二届羽毛球团体赛暨“天翼杯”羽毛球赛；</w:t>
      </w:r>
      <w:r>
        <w:t>6</w:t>
      </w:r>
      <w:r>
        <w:rPr>
          <w:rFonts w:hint="eastAsia"/>
        </w:rPr>
        <w:t>月，组织</w:t>
      </w:r>
      <w:r>
        <w:t>2支队伍参加了韶关市龙舟赛；6月，举</w:t>
      </w:r>
      <w:r>
        <w:rPr>
          <w:rFonts w:hint="eastAsia"/>
        </w:rPr>
        <w:t>办市首届“钓鱼杯”钓鱼大赛，全市</w:t>
      </w:r>
      <w:r>
        <w:t>80多名钓鱼</w:t>
      </w:r>
      <w:r>
        <w:rPr>
          <w:rFonts w:hint="eastAsia"/>
        </w:rPr>
        <w:t>爱好者参加了比赛；组织全市</w:t>
      </w:r>
      <w:r>
        <w:t>50多名武术爱好者</w:t>
      </w:r>
      <w:r>
        <w:rPr>
          <w:rFonts w:hint="eastAsia"/>
        </w:rPr>
        <w:t>参加了“太极拳”培训班；</w:t>
      </w:r>
      <w:r>
        <w:t>7月，组织开展第二届</w:t>
      </w:r>
      <w:r>
        <w:rPr>
          <w:rFonts w:hint="eastAsia"/>
        </w:rPr>
        <w:t>乒乓球混合团体赛暨“华溢杯”乒乓球混合团体赛；</w:t>
      </w:r>
      <w:r>
        <w:t>8月，组织开展第二届“篮协杯”篮球赛；9</w:t>
      </w:r>
      <w:r>
        <w:rPr>
          <w:rFonts w:hint="eastAsia"/>
        </w:rPr>
        <w:t>月—</w:t>
      </w:r>
      <w:r>
        <w:t>10月，组织开展首届“镇机关运动会”，全市18个镇（街道）组队参加了象棋、乒乓球、羽毛</w:t>
      </w:r>
      <w:r>
        <w:rPr>
          <w:rFonts w:hint="eastAsia"/>
        </w:rPr>
        <w:t>球和篮球赛；</w:t>
      </w:r>
      <w:r>
        <w:t>11月，组队参加韶关市“市长杯”</w:t>
      </w:r>
      <w:r>
        <w:rPr>
          <w:rFonts w:hint="eastAsia"/>
        </w:rPr>
        <w:t>篮球赛，取得亚军；</w:t>
      </w:r>
      <w:r>
        <w:t>12月，举办第一届“华溢地</w:t>
      </w:r>
      <w:r>
        <w:rPr>
          <w:rFonts w:hint="eastAsia"/>
        </w:rPr>
        <w:t>产杯”</w:t>
      </w:r>
      <w:r>
        <w:rPr>
          <w:rFonts w:hint="eastAsia"/>
          <w:lang w:eastAsia="zh-CN"/>
        </w:rPr>
        <w:t>粤</w:t>
      </w:r>
      <w:r>
        <w:rPr>
          <w:rFonts w:hint="eastAsia"/>
        </w:rPr>
        <w:t>赣邻县男子篮球赛。</w:t>
      </w:r>
    </w:p>
    <w:p w14:paraId="55C19A6D">
      <w:pPr>
        <w:pStyle w:val="4"/>
        <w:bidi w:val="0"/>
        <w:rPr>
          <w:rFonts w:hint="eastAsia"/>
        </w:rPr>
      </w:pPr>
      <w:r>
        <w:rPr>
          <w:rFonts w:hint="eastAsia"/>
        </w:rPr>
        <w:t>【公共体育设施建设】</w:t>
      </w:r>
    </w:p>
    <w:p w14:paraId="7BD1B17C">
      <w:pPr>
        <w:rPr>
          <w:rFonts w:hint="eastAsia"/>
          <w:lang w:eastAsia="zh-CN"/>
        </w:rPr>
      </w:pPr>
      <w:r>
        <w:rPr>
          <w:rFonts w:hint="eastAsia"/>
        </w:rPr>
        <w:t>建设公共体育设施，是引导和开展全民健身运动的基础。为满足业余训练和群众体育活动的需求，积极推进体育场馆的建设。是争取省局扶持力度，更加关注镇级农民健身工程健身阵地建设，有序推进黄坑、邓坊、全安、澜河等四个镇的镇级农民健身工程建设，按计划将在</w:t>
      </w:r>
      <w:r>
        <w:t>2013年12月底完工；二是2013年，体育局积极配</w:t>
      </w:r>
      <w:r>
        <w:rPr>
          <w:rFonts w:hint="eastAsia"/>
        </w:rPr>
        <w:t>合有关部门，争取了中央财政彩票公益金扶持中央苏区县群众体育活动场所建设资金</w:t>
      </w:r>
      <w:r>
        <w:t>3000万元</w:t>
      </w:r>
      <w:r>
        <w:rPr>
          <w:rFonts w:hint="eastAsia"/>
        </w:rPr>
        <w:t>（</w:t>
      </w:r>
      <w:r>
        <w:t>2013-2015年，每年1000万元），建设群众体育</w:t>
      </w:r>
      <w:r>
        <w:rPr>
          <w:rFonts w:hint="eastAsia"/>
        </w:rPr>
        <w:t>活动中心</w:t>
      </w:r>
      <w:r>
        <w:rPr>
          <w:rFonts w:hint="eastAsia"/>
          <w:lang w:eastAsia="zh-CN"/>
        </w:rPr>
        <w:t>。</w:t>
      </w:r>
    </w:p>
    <w:p w14:paraId="4A4536D6">
      <w:pPr>
        <w:pStyle w:val="4"/>
        <w:bidi w:val="0"/>
        <w:rPr>
          <w:rFonts w:hint="eastAsia"/>
        </w:rPr>
      </w:pPr>
      <w:r>
        <w:rPr>
          <w:rFonts w:hint="eastAsia"/>
        </w:rPr>
        <w:t>【</w:t>
      </w:r>
      <w:r>
        <w:rPr>
          <w:rFonts w:hint="eastAsia"/>
          <w:lang w:eastAsia="zh-CN"/>
        </w:rPr>
        <w:t>竞</w:t>
      </w:r>
      <w:r>
        <w:rPr>
          <w:rFonts w:hint="eastAsia"/>
        </w:rPr>
        <w:t>技体育】</w:t>
      </w:r>
    </w:p>
    <w:p w14:paraId="61A6E5F6">
      <w:pPr>
        <w:rPr>
          <w:rFonts w:hint="eastAsia"/>
        </w:rPr>
      </w:pPr>
      <w:r>
        <w:rPr>
          <w:rFonts w:hint="eastAsia"/>
        </w:rPr>
        <w:t>紧盯</w:t>
      </w:r>
      <w:r>
        <w:t>2014年市运会和2015年省运</w:t>
      </w:r>
      <w:r>
        <w:rPr>
          <w:rFonts w:hint="eastAsia"/>
        </w:rPr>
        <w:t>会，立足于早、立足于准、立足于快，优化项目布局，狠抓训练管理，健全保障机制，抓好体育后备人才培养，竞技体育呈现出新的势头。（一）备战市十四届运动会。为全力备战市十四届运动会，进</w:t>
      </w:r>
      <w:r>
        <w:rPr>
          <w:rFonts w:hint="eastAsia"/>
          <w:lang w:val="en-US" w:eastAsia="zh-CN"/>
        </w:rPr>
        <w:t>一</w:t>
      </w:r>
      <w:r>
        <w:rPr>
          <w:rFonts w:hint="eastAsia"/>
        </w:rPr>
        <w:t>步自增压力，明确目标，落实任务。一是狠抓夏训和冬训工作。为扎实训练基础，从</w:t>
      </w:r>
      <w:r>
        <w:t>2013年夏季</w:t>
      </w:r>
      <w:r>
        <w:rPr>
          <w:rFonts w:hint="eastAsia"/>
        </w:rPr>
        <w:t>开始对运动员进行为期</w:t>
      </w:r>
      <w:r>
        <w:t>2个月的夏训和2个月的冬</w:t>
      </w:r>
      <w:r>
        <w:rPr>
          <w:rFonts w:hint="eastAsia"/>
        </w:rPr>
        <w:t>训。二是加大对训练工作的投入。争取上级资金支持，购置基本器材及辅助训练设施，改善训练条件。三是加大人才输送力度。输送优秀运动员</w:t>
      </w:r>
      <w:r>
        <w:t>43</w:t>
      </w:r>
      <w:r>
        <w:rPr>
          <w:rFonts w:hint="eastAsia"/>
        </w:rPr>
        <w:t>人，田径项目</w:t>
      </w:r>
      <w:r>
        <w:t>15人，射击项目10人，举重项目13</w:t>
      </w:r>
      <w:r>
        <w:rPr>
          <w:rFonts w:hint="eastAsia"/>
        </w:rPr>
        <w:t>人。市业余体校集训</w:t>
      </w:r>
      <w:r>
        <w:t>65人，长期集训50人。四是</w:t>
      </w:r>
      <w:r>
        <w:rPr>
          <w:rFonts w:hint="eastAsia"/>
        </w:rPr>
        <w:t>督促、指导各参赛队组织集训。局主要领导主抓备战市十四届运运会的全盘工作，分管领导具体抓</w:t>
      </w:r>
      <w:r>
        <w:rPr>
          <w:rFonts w:hint="eastAsia"/>
          <w:lang w:eastAsia="zh-CN"/>
        </w:rPr>
        <w:t>，</w:t>
      </w:r>
      <w:r>
        <w:rPr>
          <w:rFonts w:hint="eastAsia"/>
        </w:rPr>
        <w:t>不定期地深入训练基地，督促、指导各参赛队组织集训。六是开展全市业余训练工作调研。多次下乡开展大规模的运动员选拔工作，所接触的学校多达</w:t>
      </w:r>
      <w:r>
        <w:t>15所，进行短期试训后正式录用运动员15名，并</w:t>
      </w:r>
      <w:r>
        <w:rPr>
          <w:rFonts w:hint="eastAsia"/>
        </w:rPr>
        <w:t>顺利落实新生文化课就读学校。（二）取得的成绩。南雄市参加韶关市青少年锦标赛，获团体总分第四名。</w:t>
      </w:r>
      <w:r>
        <w:t>2013年9月8日，南雄市输送运动员马丽芸代</w:t>
      </w:r>
      <w:r>
        <w:rPr>
          <w:rFonts w:hint="eastAsia"/>
        </w:rPr>
        <w:t>表广东队参加第十二届全运会自行车女子</w:t>
      </w:r>
      <w:r>
        <w:t>BMX越</w:t>
      </w:r>
      <w:r>
        <w:rPr>
          <w:rFonts w:hint="eastAsia"/>
        </w:rPr>
        <w:t>野赛摘得铜牌。</w:t>
      </w:r>
    </w:p>
    <w:p w14:paraId="0DA56F6F">
      <w:pPr>
        <w:pStyle w:val="4"/>
        <w:bidi w:val="0"/>
        <w:rPr>
          <w:rFonts w:hint="eastAsia"/>
        </w:rPr>
      </w:pPr>
      <w:r>
        <w:rPr>
          <w:rFonts w:hint="eastAsia"/>
        </w:rPr>
        <w:t>【体育经济持续发展】</w:t>
      </w:r>
    </w:p>
    <w:p w14:paraId="780F265A">
      <w:pPr>
        <w:rPr>
          <w:rFonts w:hint="eastAsia"/>
        </w:rPr>
      </w:pPr>
      <w:r>
        <w:t>2013年，通过开拓市场，</w:t>
      </w:r>
      <w:r>
        <w:rPr>
          <w:rFonts w:hint="eastAsia"/>
        </w:rPr>
        <w:t>增设体彩销售网点，加强网点管理，加大宣传力度，邀请专家来雄讲座，使传统型体育彩票销售工作持续保持较好的销售势头，据统计南雄市体育彩票年销售量达到</w:t>
      </w:r>
      <w:r>
        <w:t>2100多万元。此外还着重抓体育</w:t>
      </w:r>
      <w:r>
        <w:rPr>
          <w:rFonts w:hint="eastAsia"/>
        </w:rPr>
        <w:t>经营许可证的年审和发放工作，对体育事业从业人员进行登记和上岗培训，规范体育经营市场。</w:t>
      </w:r>
    </w:p>
    <w:p w14:paraId="01E04AEE">
      <w:pPr>
        <w:pStyle w:val="4"/>
        <w:bidi w:val="0"/>
        <w:rPr>
          <w:rFonts w:hint="eastAsia"/>
        </w:rPr>
      </w:pPr>
      <w:r>
        <w:rPr>
          <w:rFonts w:hint="eastAsia"/>
        </w:rPr>
        <w:t>【南雄市首届镇机关运动会】</w:t>
      </w:r>
    </w:p>
    <w:p w14:paraId="24533DE7">
      <w:pPr>
        <w:rPr>
          <w:rFonts w:hint="eastAsia"/>
        </w:rPr>
      </w:pPr>
      <w:r>
        <w:rPr>
          <w:rFonts w:hint="eastAsia"/>
        </w:rPr>
        <w:t>周密部署、精心组织，组织开展首届镇机关运动会。</w:t>
      </w:r>
      <w:r>
        <w:t>2013年3月初，</w:t>
      </w:r>
      <w:r>
        <w:rPr>
          <w:rFonts w:hint="eastAsia"/>
        </w:rPr>
        <w:t>发文组织开展首届镇机关运动会，帮助各镇开展体育运动，在全市各镇掀起运动热潮。镇机关运动会比赛从</w:t>
      </w:r>
      <w:r>
        <w:t>9月至10月，历时2个月，全市18个镇</w:t>
      </w:r>
      <w:r>
        <w:rPr>
          <w:rFonts w:hint="eastAsia"/>
        </w:rPr>
        <w:t>（街道）组队参加象棋、乒乓球、羽毛球和篮球比赛，珠玑镇、界址镇、帽子峰镇、全安镇、南亩镇分获团体总分前</w:t>
      </w:r>
      <w:r>
        <w:t>6名；各单项获奖名次如下：古市</w:t>
      </w:r>
      <w:r>
        <w:rPr>
          <w:rFonts w:hint="eastAsia"/>
        </w:rPr>
        <w:t>镇、珠玑镇、油山镇、百顺镇、界址镇分获中国象棋团体赛</w:t>
      </w:r>
      <w:r>
        <w:t>1至6名；珠玑镇、全安镇、南亩镇、帽</w:t>
      </w:r>
      <w:r>
        <w:rPr>
          <w:rFonts w:hint="eastAsia"/>
        </w:rPr>
        <w:t>子峰镇、邓坊镇分获羽毛球混合团体赛</w:t>
      </w:r>
      <w:r>
        <w:t>1至6名</w:t>
      </w:r>
      <w:r>
        <w:rPr>
          <w:rFonts w:hint="eastAsia"/>
          <w:lang w:eastAsia="zh-CN"/>
        </w:rPr>
        <w:t>；</w:t>
      </w:r>
      <w:r>
        <w:rPr>
          <w:rFonts w:hint="eastAsia"/>
        </w:rPr>
        <w:t>帽子峰镇、珠玑镇、黄坑镇、古市镇、南亩镇、乌迳镇分获乒乓球混合团体赛</w:t>
      </w:r>
      <w:r>
        <w:t>1至6名；男子篮球赛</w:t>
      </w:r>
      <w:r>
        <w:rPr>
          <w:rFonts w:hint="eastAsia"/>
        </w:rPr>
        <w:t>的</w:t>
      </w:r>
      <w:r>
        <w:t>1至6名代表队分别是湖口镇、界址镇、江头</w:t>
      </w:r>
      <w:r>
        <w:rPr>
          <w:rFonts w:hint="eastAsia"/>
        </w:rPr>
        <w:t>镇、全安镇、邓访镇、澜河镇。</w:t>
      </w:r>
    </w:p>
    <w:p w14:paraId="70107631">
      <w:pPr>
        <w:jc w:val="right"/>
        <w:rPr>
          <w:rFonts w:hint="eastAsia"/>
          <w:b/>
          <w:bCs/>
        </w:rPr>
      </w:pPr>
      <w:r>
        <w:rPr>
          <w:rFonts w:hint="eastAsia"/>
          <w:b/>
          <w:bCs/>
        </w:rPr>
        <w:t>（马</w:t>
      </w:r>
      <w:r>
        <w:rPr>
          <w:rFonts w:hint="eastAsia"/>
          <w:b/>
          <w:bCs/>
          <w:lang w:val="en-US" w:eastAsia="zh-CN"/>
        </w:rPr>
        <w:t xml:space="preserve">  </w:t>
      </w:r>
      <w:r>
        <w:rPr>
          <w:rFonts w:hint="eastAsia"/>
          <w:b/>
          <w:bCs/>
        </w:rPr>
        <w:t>平）</w:t>
      </w:r>
    </w:p>
    <w:p w14:paraId="6F32F7F1">
      <w:pPr>
        <w:pStyle w:val="10"/>
        <w:bidi w:val="0"/>
        <w:rPr>
          <w:b/>
          <w:bCs/>
        </w:rPr>
      </w:pPr>
      <w:r>
        <w:rPr>
          <w:rFonts w:hint="eastAsia"/>
          <w:b/>
          <w:bCs/>
        </w:rPr>
        <w:t>附：</w:t>
      </w:r>
      <w:r>
        <w:rPr>
          <w:b/>
          <w:bCs/>
        </w:rPr>
        <w:t>2013年市体育局领导班子成员名单</w:t>
      </w:r>
    </w:p>
    <w:p w14:paraId="6D67D9CB">
      <w:pPr>
        <w:pStyle w:val="10"/>
        <w:bidi w:val="0"/>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吴林山</w:t>
      </w:r>
    </w:p>
    <w:p w14:paraId="0265F045">
      <w:pPr>
        <w:pStyle w:val="10"/>
        <w:bidi w:val="0"/>
        <w:rPr>
          <w:rFonts w:hint="eastAsia"/>
        </w:rPr>
      </w:pPr>
      <w:r>
        <w:rPr>
          <w:rFonts w:hint="eastAsia"/>
          <w:b/>
          <w:bCs/>
        </w:rPr>
        <w:t>副局长：</w:t>
      </w:r>
      <w:r>
        <w:rPr>
          <w:rFonts w:hint="eastAsia"/>
        </w:rPr>
        <w:t>陈志高</w:t>
      </w:r>
      <w:r>
        <w:rPr>
          <w:rFonts w:hint="eastAsia"/>
          <w:lang w:val="en-US" w:eastAsia="zh-CN"/>
        </w:rPr>
        <w:t xml:space="preserve">   </w:t>
      </w:r>
      <w:r>
        <w:rPr>
          <w:rFonts w:hint="eastAsia"/>
        </w:rPr>
        <w:t>曾智君</w:t>
      </w:r>
    </w:p>
    <w:p w14:paraId="1DDF53F0">
      <w:pPr>
        <w:pStyle w:val="2"/>
        <w:bidi w:val="0"/>
        <w:rPr>
          <w:rFonts w:hint="eastAsia"/>
        </w:rPr>
      </w:pPr>
      <w:r>
        <w:rPr>
          <w:rFonts w:hint="eastAsia"/>
        </w:rPr>
        <w:t>社会事业</w:t>
      </w:r>
    </w:p>
    <w:p w14:paraId="2D7D64FF">
      <w:pPr>
        <w:pStyle w:val="3"/>
        <w:bidi w:val="0"/>
        <w:rPr>
          <w:rFonts w:hint="default"/>
          <w:lang w:val="en-US" w:eastAsia="zh-CN"/>
        </w:rPr>
      </w:pPr>
      <w:r>
        <w:rPr>
          <w:rFonts w:hint="eastAsia"/>
          <w:lang w:val="en-US" w:eastAsia="zh-CN"/>
        </w:rPr>
        <w:t>人口计划生育</w:t>
      </w:r>
    </w:p>
    <w:p w14:paraId="6791536C">
      <w:pPr>
        <w:pStyle w:val="4"/>
        <w:bidi w:val="0"/>
        <w:rPr>
          <w:rFonts w:hint="eastAsia"/>
        </w:rPr>
      </w:pPr>
      <w:r>
        <w:rPr>
          <w:rFonts w:hint="eastAsia"/>
        </w:rPr>
        <w:t>【概况】</w:t>
      </w:r>
    </w:p>
    <w:p w14:paraId="3026CF0D">
      <w:pPr>
        <w:rPr>
          <w:rFonts w:hint="eastAsia"/>
        </w:rPr>
      </w:pPr>
      <w:r>
        <w:rPr>
          <w:rFonts w:hint="eastAsia"/>
        </w:rPr>
        <w:t>南雄市人口与计划生育局是政府的组成部门，主管全市人口与计划生育工作；市计划生育协会是协助政府做好人口和计划生育工作的群众团体，与市人口和计划生育局合署办公。内设办公室、规划统计股、科学技术股、政策法规股、宣传教育股、综合治理出生人口性别比办公室、人口目标与责任制考核办公室、计划生育协会；行政编制</w:t>
      </w:r>
      <w:r>
        <w:t>13名，领导职数6名，工勤人员2人。下设1个副</w:t>
      </w:r>
      <w:r>
        <w:rPr>
          <w:rFonts w:hint="eastAsia"/>
        </w:rPr>
        <w:t>科级事业单位计划生育服务站。设</w:t>
      </w:r>
      <w:r>
        <w:t>18个镇（街道）</w:t>
      </w:r>
      <w:r>
        <w:rPr>
          <w:rFonts w:hint="eastAsia"/>
        </w:rPr>
        <w:t>计生办和计划生育服务站。</w:t>
      </w:r>
    </w:p>
    <w:p w14:paraId="515A5149">
      <w:pPr>
        <w:pStyle w:val="4"/>
        <w:bidi w:val="0"/>
        <w:rPr>
          <w:rFonts w:hint="eastAsia"/>
        </w:rPr>
      </w:pPr>
      <w:r>
        <w:rPr>
          <w:rFonts w:hint="eastAsia"/>
        </w:rPr>
        <w:t>【信息化建设】</w:t>
      </w:r>
    </w:p>
    <w:p w14:paraId="72F83C38">
      <w:pPr>
        <w:rPr>
          <w:rFonts w:hint="eastAsia"/>
        </w:rPr>
      </w:pPr>
      <w:r>
        <w:rPr>
          <w:rFonts w:hint="eastAsia"/>
        </w:rPr>
        <w:t>南雄市人口和计划生育信息化网络目前已实现市、县、镇三级光纤联网，已建立全员人口信息数据库，流动人口信息网上全国交互，软件自动生成报表，软件审核办证并且电脑打印。全市人口计生系统有</w:t>
      </w:r>
      <w:r>
        <w:t>96台计算机和1台服务器，</w:t>
      </w:r>
      <w:r>
        <w:rPr>
          <w:rFonts w:hint="eastAsia"/>
        </w:rPr>
        <w:t>各镇（街道）配备有</w:t>
      </w:r>
      <w:r>
        <w:t>2名以上的信息操作员，每年</w:t>
      </w:r>
      <w:r>
        <w:rPr>
          <w:rFonts w:hint="eastAsia"/>
        </w:rPr>
        <w:t>市人口计生局不定期组织业务培训。</w:t>
      </w:r>
    </w:p>
    <w:p w14:paraId="65C2BE15">
      <w:pPr>
        <w:pStyle w:val="4"/>
        <w:bidi w:val="0"/>
        <w:rPr>
          <w:rFonts w:hint="eastAsia"/>
        </w:rPr>
      </w:pPr>
      <w:r>
        <w:rPr>
          <w:rFonts w:hint="eastAsia"/>
        </w:rPr>
        <w:t>【人口计生宣传】</w:t>
      </w:r>
    </w:p>
    <w:p w14:paraId="1AC246C6">
      <w:pPr>
        <w:rPr>
          <w:rFonts w:hint="eastAsia"/>
        </w:rPr>
      </w:pPr>
      <w:r>
        <w:rPr>
          <w:rFonts w:hint="eastAsia"/>
        </w:rPr>
        <w:t>市委、市政府每年都组织召开人口与计划生育宣传教育工作联席会议，明确工作重点和部门职责；坚持重大宣传和经常性宣传相结合，营造“大人口、大计生”宣传氛围。利用时</w:t>
      </w:r>
      <w:r>
        <w:rPr>
          <w:rFonts w:hint="eastAsia"/>
          <w:lang w:val="en-US" w:eastAsia="zh-CN"/>
        </w:rPr>
        <w:t>广</w:t>
      </w:r>
      <w:r>
        <w:rPr>
          <w:rFonts w:hint="eastAsia"/>
        </w:rPr>
        <w:t>播电视、网络、报刊和大型宣传牌，坚持做好计划生育经常性宣传工作。在市电视台和远程教育网开设了“人口计生创国优”专栏；利用广播电台“村村通广播”、</w:t>
      </w:r>
      <w:r>
        <w:rPr>
          <w:rFonts w:hint="eastAsia"/>
          <w:lang w:val="en-US" w:eastAsia="zh-CN"/>
        </w:rPr>
        <w:t>L</w:t>
      </w:r>
      <w:r>
        <w:t>ED大型视频宣传人口和计划生育政</w:t>
      </w:r>
      <w:r>
        <w:rPr>
          <w:rFonts w:hint="eastAsia"/>
        </w:rPr>
        <w:t>策法规；充分利用资源优势，大量印制、发放计划生育宣传环保袋、宣传杯、挂历、围裙等宣传品；在国道、省道上新建了计划生育宣传牌，同时在市区到各镇的候车亭增挂了计划生育</w:t>
      </w:r>
      <w:r>
        <w:rPr>
          <w:rFonts w:hint="eastAsia"/>
          <w:lang w:eastAsia="zh-CN"/>
        </w:rPr>
        <w:t>宣</w:t>
      </w:r>
      <w:r>
        <w:rPr>
          <w:rFonts w:hint="eastAsia"/>
        </w:rPr>
        <w:t>传牌；联合韶关市人口和计划生育局、韶关市计划生育协会在乌迳计划生育文化广场开展“生育关怀，创建幸福家庭——防治寄生虫，促进健康行动”暨</w:t>
      </w:r>
      <w:r>
        <w:t>7·11世界</w:t>
      </w:r>
      <w:r>
        <w:rPr>
          <w:rFonts w:hint="eastAsia"/>
        </w:rPr>
        <w:t>人口日宣传服务活动文艺汇演；抓住“</w:t>
      </w:r>
      <w:r>
        <w:t>5·29</w:t>
      </w:r>
      <w:r>
        <w:rPr>
          <w:rFonts w:hint="eastAsia" w:ascii="宋体" w:hAnsi="宋体" w:cs="宋体"/>
        </w:rPr>
        <w:t>”</w:t>
      </w:r>
      <w:r>
        <w:t>协</w:t>
      </w:r>
      <w:r>
        <w:rPr>
          <w:rFonts w:hint="eastAsia"/>
        </w:rPr>
        <w:t>会会员日、“</w:t>
      </w:r>
      <w:r>
        <w:t>7·11”世界人口人和中秋、国庆、元</w:t>
      </w:r>
      <w:r>
        <w:rPr>
          <w:rFonts w:hint="eastAsia"/>
        </w:rPr>
        <w:t>旦、春节等重大节日契机，开展集中性计划生育宣传。</w:t>
      </w:r>
      <w:r>
        <w:t>2013年荣获全省“十佳”宣教创新项目奖。</w:t>
      </w:r>
      <w:r>
        <w:rPr>
          <w:rFonts w:hint="eastAsia"/>
        </w:rPr>
        <w:t>宣传工作荣获韶关市第二名。</w:t>
      </w:r>
    </w:p>
    <w:p w14:paraId="3DA09F58">
      <w:pPr>
        <w:pStyle w:val="4"/>
        <w:bidi w:val="0"/>
        <w:rPr>
          <w:rFonts w:hint="eastAsia"/>
        </w:rPr>
      </w:pPr>
      <w:r>
        <w:rPr>
          <w:rFonts w:hint="eastAsia"/>
        </w:rPr>
        <w:t>【全市计划生育工作会议】</w:t>
      </w:r>
    </w:p>
    <w:p w14:paraId="19A72FA1">
      <w:pPr>
        <w:rPr>
          <w:rFonts w:hint="eastAsia"/>
        </w:rPr>
      </w:pPr>
      <w:r>
        <w:t>2013年4月28日，召</w:t>
      </w:r>
      <w:r>
        <w:rPr>
          <w:rFonts w:hint="eastAsia"/>
        </w:rPr>
        <w:t>开全市计划生育工作会议</w:t>
      </w:r>
      <w:r>
        <w:rPr>
          <w:rFonts w:hint="eastAsia"/>
          <w:lang w:val="en-US" w:eastAsia="zh-CN"/>
        </w:rPr>
        <w:t>暨</w:t>
      </w:r>
      <w:r>
        <w:rPr>
          <w:rFonts w:hint="eastAsia"/>
        </w:rPr>
        <w:t>表彰会，会议对上一年度的工作进行总结，对下一年度的工作作出部署，市长刘清生与各镇（街道）、各兼职单位代表签订责任书，会议对</w:t>
      </w:r>
      <w:r>
        <w:t>2012年度计划生育先进集体、先</w:t>
      </w:r>
      <w:r>
        <w:rPr>
          <w:rFonts w:hint="eastAsia"/>
        </w:rPr>
        <w:t>进工作者进行了表彰；</w:t>
      </w:r>
      <w:r>
        <w:t>2013年7月12日，召开全</w:t>
      </w:r>
      <w:r>
        <w:rPr>
          <w:rFonts w:hint="eastAsia"/>
        </w:rPr>
        <w:t>市计划生育形势分析会，会议对上半年计划生育工作进行了总结，分析当前人口形势，部署下半年人口和计划生育工作。</w:t>
      </w:r>
    </w:p>
    <w:p w14:paraId="0DE0FD1B">
      <w:pPr>
        <w:pStyle w:val="4"/>
        <w:bidi w:val="0"/>
        <w:rPr>
          <w:rFonts w:hint="eastAsia"/>
        </w:rPr>
      </w:pPr>
      <w:r>
        <w:rPr>
          <w:rFonts w:hint="eastAsia"/>
        </w:rPr>
        <w:t>【转型期人口计生工作新机制】</w:t>
      </w:r>
    </w:p>
    <w:p w14:paraId="15E95DD7">
      <w:pPr>
        <w:rPr>
          <w:rFonts w:hint="eastAsia"/>
          <w:lang w:eastAsia="zh-CN"/>
        </w:rPr>
      </w:pPr>
      <w:r>
        <w:rPr>
          <w:rFonts w:hint="eastAsia"/>
        </w:rPr>
        <w:t>全市推行人口和计划生育综合改制，建立流动人口计划生育管理服务新机制。计生工作实行“阳光管理”、“阳光服务”“阳光维权”。计划生育工作做到政务公开、办事公开、村务公开，并上栏上网，并开通</w:t>
      </w:r>
      <w:r>
        <w:t>12356阳</w:t>
      </w:r>
      <w:r>
        <w:rPr>
          <w:rFonts w:hint="eastAsia"/>
        </w:rPr>
        <w:t>光服务热线。</w:t>
      </w:r>
      <w:r>
        <w:t>2013年收到计生各类信访案件1293</w:t>
      </w:r>
      <w:r>
        <w:rPr>
          <w:rFonts w:hint="eastAsia"/>
        </w:rPr>
        <w:t>件，答复率</w:t>
      </w:r>
      <w:r>
        <w:t>100%，办结率100%。市人口计生局</w:t>
      </w:r>
      <w:r>
        <w:rPr>
          <w:rFonts w:hint="eastAsia"/>
          <w:lang w:eastAsia="zh-CN"/>
        </w:rPr>
        <w:t>、</w:t>
      </w:r>
      <w:r>
        <w:rPr>
          <w:rFonts w:hint="eastAsia"/>
        </w:rPr>
        <w:t>市计生服务站、各镇（街道）的办事窗口都装有满意度电子测评设备，共</w:t>
      </w:r>
      <w:r>
        <w:t>20台，各村有群众意见箱252个。南雄市计划生育服务站收到96份优质服务</w:t>
      </w:r>
      <w:r>
        <w:rPr>
          <w:rFonts w:hint="eastAsia"/>
        </w:rPr>
        <w:t>测评表，其中服务态度满意率</w:t>
      </w:r>
      <w:r>
        <w:t>91%，工作效率满意</w:t>
      </w:r>
      <w:r>
        <w:rPr>
          <w:rFonts w:hint="eastAsia"/>
        </w:rPr>
        <w:t>率</w:t>
      </w:r>
      <w:r>
        <w:t>89%，无不满意对象</w:t>
      </w:r>
      <w:r>
        <w:rPr>
          <w:rFonts w:hint="eastAsia"/>
          <w:lang w:eastAsia="zh-CN"/>
        </w:rPr>
        <w:t>。</w:t>
      </w:r>
    </w:p>
    <w:p w14:paraId="216FF580">
      <w:pPr>
        <w:pStyle w:val="4"/>
        <w:bidi w:val="0"/>
        <w:rPr>
          <w:rFonts w:hint="eastAsia"/>
        </w:rPr>
      </w:pPr>
      <w:r>
        <w:rPr>
          <w:rFonts w:hint="eastAsia"/>
        </w:rPr>
        <w:t>【人</w:t>
      </w:r>
      <w:r>
        <w:rPr>
          <w:rFonts w:hint="eastAsia"/>
          <w:lang w:val="en-US" w:eastAsia="zh-CN"/>
        </w:rPr>
        <w:t>口</w:t>
      </w:r>
      <w:r>
        <w:rPr>
          <w:rFonts w:hint="eastAsia"/>
        </w:rPr>
        <w:t>专项整治】</w:t>
      </w:r>
    </w:p>
    <w:p w14:paraId="4DF158A2">
      <w:pPr>
        <w:rPr>
          <w:rFonts w:hint="eastAsia"/>
        </w:rPr>
      </w:pPr>
      <w:r>
        <w:t>2013年，由市财政拨款15万</w:t>
      </w:r>
      <w:r>
        <w:rPr>
          <w:rFonts w:hint="eastAsia"/>
        </w:rPr>
        <w:t>元，对非医学需要的胎儿性别鉴定和非医学需要的人工终止妊娠行为（简称“两非”）进行打击</w:t>
      </w:r>
      <w:r>
        <w:rPr>
          <w:rFonts w:hint="eastAsia"/>
          <w:lang w:eastAsia="zh-CN"/>
        </w:rPr>
        <w:t>查</w:t>
      </w:r>
      <w:r>
        <w:rPr>
          <w:rFonts w:hint="eastAsia"/>
        </w:rPr>
        <w:t>处。全年</w:t>
      </w:r>
      <w:r>
        <w:rPr>
          <w:rFonts w:hint="eastAsia"/>
          <w:lang w:eastAsia="zh-CN"/>
        </w:rPr>
        <w:t>查</w:t>
      </w:r>
      <w:r>
        <w:rPr>
          <w:rFonts w:hint="eastAsia"/>
        </w:rPr>
        <w:t>处“两非”案件</w:t>
      </w:r>
      <w:r>
        <w:t>5宗。处理涉案人员5</w:t>
      </w:r>
      <w:r>
        <w:rPr>
          <w:rFonts w:hint="eastAsia"/>
        </w:rPr>
        <w:t>人，罚款</w:t>
      </w:r>
      <w:r>
        <w:t>5万元，兑现举报奖励2万元。联合市公</w:t>
      </w:r>
      <w:r>
        <w:rPr>
          <w:rFonts w:hint="eastAsia"/>
        </w:rPr>
        <w:t>安局、住建局、工商局、卫生局、财政局等计划生育兼职部门在全市范围内开展流动人口计划生育服务管理专项活动，对出租屋、窝棚、商铺、住宅小区、工地、厂区宿舍等流动人口比较集中的地方进行地毯式的清</w:t>
      </w:r>
      <w:r>
        <w:rPr>
          <w:rFonts w:hint="eastAsia"/>
          <w:lang w:eastAsia="zh-CN"/>
        </w:rPr>
        <w:t>查</w:t>
      </w:r>
      <w:r>
        <w:rPr>
          <w:rFonts w:hint="eastAsia"/>
        </w:rPr>
        <w:t>登记，以强化对辖区内流动人口的统一管理。</w:t>
      </w:r>
    </w:p>
    <w:p w14:paraId="360E5188">
      <w:pPr>
        <w:pStyle w:val="4"/>
        <w:bidi w:val="0"/>
        <w:rPr>
          <w:rFonts w:hint="eastAsia"/>
        </w:rPr>
      </w:pPr>
      <w:r>
        <w:rPr>
          <w:rFonts w:hint="eastAsia"/>
        </w:rPr>
        <w:t>【政策法规】</w:t>
      </w:r>
    </w:p>
    <w:p w14:paraId="2BEB024C">
      <w:pPr>
        <w:rPr>
          <w:rFonts w:hint="eastAsia"/>
        </w:rPr>
      </w:pPr>
      <w:r>
        <w:rPr>
          <w:rFonts w:hint="eastAsia"/>
        </w:rPr>
        <w:t>南雄市着力完善利益导向，围绕全面实施“惠一生”工程，做好符合“三奖一扶”对象的发放工作。依法保障公民享有计划生育奖励、优待扶助等方面的权利，让广大实行计划生育家庭从中得到实惠，营造“实行计划生育光荣”的良好社会氛围。</w:t>
      </w:r>
      <w:r>
        <w:t>2013年度发放农村部分计划生育家</w:t>
      </w:r>
      <w:r>
        <w:rPr>
          <w:rFonts w:hint="eastAsia"/>
        </w:rPr>
        <w:t>庭奖励金</w:t>
      </w:r>
      <w:r>
        <w:t>1027人次，发放奖励金47.99万元。发放</w:t>
      </w:r>
      <w:r>
        <w:rPr>
          <w:rFonts w:hint="eastAsia"/>
        </w:rPr>
        <w:t>农村独生子女及纯生二女户节育奖</w:t>
      </w:r>
      <w:r>
        <w:t>6730人次，发</w:t>
      </w:r>
      <w:r>
        <w:rPr>
          <w:rFonts w:hint="eastAsia"/>
        </w:rPr>
        <w:t>放奖励金</w:t>
      </w:r>
      <w:r>
        <w:t>391.24万元。发放城镇独生子女父母计</w:t>
      </w:r>
      <w:r>
        <w:rPr>
          <w:rFonts w:hint="eastAsia"/>
        </w:rPr>
        <w:t>划生育奖</w:t>
      </w:r>
      <w:r>
        <w:t>648人次，62.07万元。发放计划生育家</w:t>
      </w:r>
      <w:r>
        <w:rPr>
          <w:rFonts w:hint="eastAsia"/>
        </w:rPr>
        <w:t>庭特别扶助金</w:t>
      </w:r>
      <w:r>
        <w:t>41人次，发放扶助金7.13万元。落</w:t>
      </w:r>
      <w:r>
        <w:rPr>
          <w:rFonts w:hint="eastAsia"/>
        </w:rPr>
        <w:t>实对农村独生子女及纯二女户家庭，父母依法落实长效节育措施，其孩子初中升高中的享受加</w:t>
      </w:r>
      <w:r>
        <w:t>10分</w:t>
      </w:r>
      <w:r>
        <w:rPr>
          <w:rFonts w:hint="eastAsia"/>
        </w:rPr>
        <w:t>的奖励政策。</w:t>
      </w:r>
      <w:r>
        <w:t>2013年度全市共有555名符合加10</w:t>
      </w:r>
      <w:r>
        <w:rPr>
          <w:rFonts w:hint="eastAsia"/>
        </w:rPr>
        <w:t>分的奖励政策。</w:t>
      </w:r>
    </w:p>
    <w:p w14:paraId="64023E61">
      <w:pPr>
        <w:pStyle w:val="4"/>
        <w:bidi w:val="0"/>
        <w:rPr>
          <w:rFonts w:hint="eastAsia"/>
        </w:rPr>
      </w:pPr>
      <w:r>
        <w:rPr>
          <w:rFonts w:hint="eastAsia"/>
        </w:rPr>
        <w:t>【规划统计】</w:t>
      </w:r>
    </w:p>
    <w:p w14:paraId="27E6CCBC">
      <w:pPr>
        <w:rPr>
          <w:rFonts w:hint="eastAsia"/>
        </w:rPr>
      </w:pPr>
      <w:r>
        <w:rPr>
          <w:rFonts w:hint="eastAsia"/>
        </w:rPr>
        <w:t>加强对人口和计划生育发展动态进行监测，通过对人口统计数据和人口变动抽样调</w:t>
      </w:r>
      <w:r>
        <w:rPr>
          <w:rFonts w:hint="eastAsia"/>
          <w:lang w:eastAsia="zh-CN"/>
        </w:rPr>
        <w:t>查</w:t>
      </w:r>
      <w:r>
        <w:rPr>
          <w:rFonts w:hint="eastAsia"/>
        </w:rPr>
        <w:t>结果的分析，提出人口和计划生育安全预警预报建议，以稳定低生育水平，达到控制全市人口的过快增长的目的。同时拟定全市流动人口计划生育服务管理工作规划，规范流动人口计划生育服务管理工作制度，对全市流动人口实现全面统一的管理，切实维护流动人口合法权益。</w:t>
      </w:r>
    </w:p>
    <w:p w14:paraId="43410526">
      <w:pPr>
        <w:pStyle w:val="4"/>
        <w:bidi w:val="0"/>
        <w:rPr>
          <w:rFonts w:hint="eastAsia"/>
        </w:rPr>
      </w:pPr>
      <w:r>
        <w:rPr>
          <w:rFonts w:hint="eastAsia"/>
        </w:rPr>
        <w:t>【基础建设】</w:t>
      </w:r>
    </w:p>
    <w:p w14:paraId="64053BBA">
      <w:pPr>
        <w:rPr>
          <w:rFonts w:hint="eastAsia"/>
        </w:rPr>
      </w:pPr>
      <w:r>
        <w:t>2013年市财政投入计划生育基础建</w:t>
      </w:r>
      <w:r>
        <w:rPr>
          <w:rFonts w:hint="eastAsia"/>
        </w:rPr>
        <w:t>设资金</w:t>
      </w:r>
      <w:r>
        <w:t>429.27万元，对镇、村级服务所进行改造</w:t>
      </w:r>
      <w:r>
        <w:rPr>
          <w:rFonts w:hint="eastAsia"/>
        </w:rPr>
        <w:t>建设。其中建设镇、村级服务所投入</w:t>
      </w:r>
      <w:r>
        <w:t>180万元，配</w:t>
      </w:r>
      <w:r>
        <w:rPr>
          <w:rFonts w:hint="eastAsia"/>
        </w:rPr>
        <w:t>备计划生育“三栏二室一校”投入</w:t>
      </w:r>
      <w:r>
        <w:t>36.52万元</w:t>
      </w:r>
      <w:r>
        <w:rPr>
          <w:rFonts w:hint="eastAsia"/>
          <w:lang w:eastAsia="zh-CN"/>
        </w:rPr>
        <w:t>，</w:t>
      </w:r>
      <w:r>
        <w:rPr>
          <w:rFonts w:hint="eastAsia"/>
        </w:rPr>
        <w:t>镇、村级服务所设备投入</w:t>
      </w:r>
      <w:r>
        <w:t>232.75万元。镇、村级</w:t>
      </w:r>
      <w:r>
        <w:rPr>
          <w:rFonts w:hint="eastAsia"/>
        </w:rPr>
        <w:t>服务所服务实施得到改善。</w:t>
      </w:r>
    </w:p>
    <w:p w14:paraId="1320C39C">
      <w:pPr>
        <w:jc w:val="right"/>
        <w:rPr>
          <w:rFonts w:hint="eastAsia"/>
          <w:b/>
          <w:bCs/>
        </w:rPr>
      </w:pPr>
      <w:r>
        <w:rPr>
          <w:rFonts w:hint="eastAsia"/>
          <w:b/>
          <w:bCs/>
        </w:rPr>
        <w:t>（邓荣强）</w:t>
      </w:r>
    </w:p>
    <w:p w14:paraId="1C9076E8">
      <w:pPr>
        <w:pStyle w:val="10"/>
        <w:bidi w:val="0"/>
        <w:rPr>
          <w:b/>
          <w:bCs/>
        </w:rPr>
      </w:pPr>
      <w:r>
        <w:rPr>
          <w:rFonts w:hint="eastAsia"/>
          <w:b/>
          <w:bCs/>
        </w:rPr>
        <w:t>附：</w:t>
      </w:r>
      <w:r>
        <w:rPr>
          <w:b/>
          <w:bCs/>
        </w:rPr>
        <w:t>2013年市人</w:t>
      </w:r>
      <w:r>
        <w:rPr>
          <w:rFonts w:hint="eastAsia"/>
          <w:b/>
          <w:bCs/>
          <w:lang w:val="en-US" w:eastAsia="zh-CN"/>
        </w:rPr>
        <w:t>口</w:t>
      </w:r>
      <w:r>
        <w:rPr>
          <w:b/>
          <w:bCs/>
        </w:rPr>
        <w:t>和计生局领导成员班子名单</w:t>
      </w:r>
    </w:p>
    <w:p w14:paraId="598C8D32">
      <w:pPr>
        <w:pStyle w:val="10"/>
        <w:bidi w:val="0"/>
        <w:rPr>
          <w:rFonts w:hint="eastAsia"/>
        </w:rPr>
      </w:pPr>
      <w:r>
        <w:rPr>
          <w:rFonts w:hint="eastAsia"/>
          <w:b/>
          <w:bCs/>
        </w:rPr>
        <w:t>局</w:t>
      </w:r>
      <w:r>
        <w:rPr>
          <w:rFonts w:hint="eastAsia"/>
          <w:b/>
          <w:bCs/>
          <w:lang w:val="en-US" w:eastAsia="zh-CN"/>
        </w:rPr>
        <w:t xml:space="preserve">    </w:t>
      </w:r>
      <w:r>
        <w:rPr>
          <w:rFonts w:hint="eastAsia"/>
          <w:b/>
          <w:bCs/>
        </w:rPr>
        <w:t>长：</w:t>
      </w:r>
      <w:r>
        <w:rPr>
          <w:rFonts w:hint="eastAsia"/>
          <w:b w:val="0"/>
          <w:bCs w:val="0"/>
        </w:rPr>
        <w:t>刘</w:t>
      </w:r>
      <w:r>
        <w:rPr>
          <w:rFonts w:hint="eastAsia"/>
        </w:rPr>
        <w:t>光新</w:t>
      </w:r>
    </w:p>
    <w:p w14:paraId="2D8737CC">
      <w:pPr>
        <w:pStyle w:val="10"/>
        <w:bidi w:val="0"/>
        <w:rPr>
          <w:rFonts w:hint="eastAsia"/>
        </w:rPr>
      </w:pPr>
      <w:r>
        <w:rPr>
          <w:rFonts w:hint="eastAsia"/>
          <w:b/>
          <w:bCs/>
        </w:rPr>
        <w:t>党组书记：</w:t>
      </w:r>
      <w:r>
        <w:rPr>
          <w:rFonts w:hint="eastAsia"/>
        </w:rPr>
        <w:t>廖贤光</w:t>
      </w:r>
    </w:p>
    <w:p w14:paraId="5D29B22A">
      <w:pPr>
        <w:pStyle w:val="10"/>
        <w:bidi w:val="0"/>
        <w:rPr>
          <w:rFonts w:hint="eastAsia"/>
        </w:rPr>
      </w:pPr>
      <w:r>
        <w:rPr>
          <w:rFonts w:hint="eastAsia"/>
          <w:b/>
          <w:bCs/>
        </w:rPr>
        <w:t>副</w:t>
      </w:r>
      <w:r>
        <w:rPr>
          <w:rFonts w:hint="eastAsia"/>
          <w:b/>
          <w:bCs/>
          <w:lang w:val="en-US" w:eastAsia="zh-CN"/>
        </w:rPr>
        <w:t xml:space="preserve"> </w:t>
      </w:r>
      <w:r>
        <w:rPr>
          <w:rFonts w:hint="eastAsia"/>
          <w:b/>
          <w:bCs/>
        </w:rPr>
        <w:t>局</w:t>
      </w:r>
      <w:r>
        <w:rPr>
          <w:rFonts w:hint="eastAsia"/>
          <w:b/>
          <w:bCs/>
          <w:lang w:val="en-US" w:eastAsia="zh-CN"/>
        </w:rPr>
        <w:t xml:space="preserve"> </w:t>
      </w:r>
      <w:r>
        <w:rPr>
          <w:rFonts w:hint="eastAsia"/>
          <w:b/>
          <w:bCs/>
        </w:rPr>
        <w:t>长：</w:t>
      </w:r>
      <w:r>
        <w:rPr>
          <w:rFonts w:hint="eastAsia"/>
        </w:rPr>
        <w:t>王向兰</w:t>
      </w:r>
      <w:r>
        <w:rPr>
          <w:rFonts w:hint="eastAsia"/>
          <w:lang w:val="en-US" w:eastAsia="zh-CN"/>
        </w:rPr>
        <w:t xml:space="preserve">   </w:t>
      </w:r>
      <w:r>
        <w:rPr>
          <w:rFonts w:hint="eastAsia"/>
          <w:lang w:eastAsia="zh-CN"/>
        </w:rPr>
        <w:t>黄</w:t>
      </w:r>
      <w:r>
        <w:rPr>
          <w:rFonts w:hint="eastAsia"/>
        </w:rPr>
        <w:t>得胜</w:t>
      </w:r>
    </w:p>
    <w:p w14:paraId="73ABB977">
      <w:pPr>
        <w:pStyle w:val="10"/>
        <w:bidi w:val="0"/>
        <w:rPr>
          <w:rFonts w:hint="eastAsia"/>
        </w:rPr>
      </w:pPr>
      <w:r>
        <w:rPr>
          <w:rFonts w:hint="eastAsia"/>
          <w:b/>
          <w:bCs/>
        </w:rPr>
        <w:t>纪检组长：</w:t>
      </w:r>
      <w:r>
        <w:rPr>
          <w:rFonts w:hint="eastAsia"/>
        </w:rPr>
        <w:t>陈道英</w:t>
      </w:r>
    </w:p>
    <w:p w14:paraId="01FADB5D">
      <w:pPr>
        <w:pStyle w:val="10"/>
        <w:bidi w:val="0"/>
        <w:rPr>
          <w:rFonts w:hint="eastAsia"/>
        </w:rPr>
      </w:pPr>
      <w:r>
        <w:rPr>
          <w:rFonts w:hint="eastAsia"/>
          <w:b/>
          <w:bCs/>
        </w:rPr>
        <w:t>工会主席：</w:t>
      </w:r>
      <w:r>
        <w:rPr>
          <w:rFonts w:hint="eastAsia"/>
        </w:rPr>
        <w:t>刘光文</w:t>
      </w:r>
    </w:p>
    <w:p w14:paraId="54B4A153">
      <w:pPr>
        <w:pStyle w:val="3"/>
        <w:bidi w:val="0"/>
        <w:rPr>
          <w:rFonts w:hint="eastAsia"/>
        </w:rPr>
      </w:pPr>
      <w:r>
        <w:rPr>
          <w:rFonts w:hint="eastAsia"/>
        </w:rPr>
        <w:t>人力资源和社会保障</w:t>
      </w:r>
    </w:p>
    <w:p w14:paraId="4C441B08">
      <w:pPr>
        <w:pStyle w:val="4"/>
        <w:bidi w:val="0"/>
        <w:rPr>
          <w:rFonts w:hint="eastAsia"/>
        </w:rPr>
      </w:pPr>
      <w:r>
        <w:rPr>
          <w:rFonts w:hint="eastAsia"/>
        </w:rPr>
        <w:t>【概况】</w:t>
      </w:r>
    </w:p>
    <w:p w14:paraId="20D1719E">
      <w:pPr>
        <w:rPr>
          <w:rFonts w:hint="eastAsia"/>
        </w:rPr>
      </w:pPr>
      <w:r>
        <w:rPr>
          <w:rFonts w:hint="eastAsia"/>
        </w:rPr>
        <w:t>南雄市人力资源和社会保障局是正科级行政单位，为南雄市人民政府工作部门，内设</w:t>
      </w:r>
      <w:r>
        <w:t>8个</w:t>
      </w:r>
      <w:r>
        <w:rPr>
          <w:rFonts w:hint="eastAsia"/>
        </w:rPr>
        <w:t>股室：办公室、就业促进股、职业能力建设股、事业单位人事管理股、工资福利股、人事劳动监察股、社会保障股和公务员办公室。同时下属</w:t>
      </w:r>
      <w:r>
        <w:t>5个事</w:t>
      </w:r>
      <w:r>
        <w:rPr>
          <w:rFonts w:hint="eastAsia"/>
        </w:rPr>
        <w:t>业单位：南雄市人才工作管理办公室（市人才服务中心）、南雄市劳动人事争议仲裁院、南雄市劳动监察大队、南雄市就业服务管理局、南雄市人力资源管理办公室。</w:t>
      </w:r>
    </w:p>
    <w:p w14:paraId="18244959">
      <w:pPr>
        <w:pStyle w:val="4"/>
        <w:bidi w:val="0"/>
        <w:rPr>
          <w:rFonts w:hint="eastAsia"/>
        </w:rPr>
      </w:pPr>
      <w:r>
        <w:rPr>
          <w:rFonts w:hint="eastAsia"/>
        </w:rPr>
        <w:t>【城乡</w:t>
      </w:r>
      <w:r>
        <w:rPr>
          <w:rFonts w:hint="eastAsia"/>
          <w:lang w:val="en-US" w:eastAsia="zh-CN"/>
        </w:rPr>
        <w:t>统</w:t>
      </w:r>
      <w:r>
        <w:rPr>
          <w:rFonts w:hint="eastAsia"/>
        </w:rPr>
        <w:t>筹就业】</w:t>
      </w:r>
    </w:p>
    <w:p w14:paraId="49AC4F64">
      <w:r>
        <w:rPr>
          <w:rFonts w:hint="eastAsia"/>
        </w:rPr>
        <w:t>实现城镇新增就业</w:t>
      </w:r>
      <w:r>
        <w:t>4613人，年</w:t>
      </w:r>
      <w:r>
        <w:rPr>
          <w:rFonts w:hint="eastAsia"/>
        </w:rPr>
        <w:t>末城镇失业率为</w:t>
      </w:r>
      <w:r>
        <w:t>2.43%，新增农村劳动力转移就业7257人，全年办理失业人员登记221人，发放就业</w:t>
      </w:r>
      <w:r>
        <w:rPr>
          <w:rFonts w:hint="eastAsia"/>
        </w:rPr>
        <w:t>失业登记证</w:t>
      </w:r>
      <w:r>
        <w:t>3152本，发布就业信息1677条，举办</w:t>
      </w:r>
      <w:r>
        <w:rPr>
          <w:rFonts w:hint="eastAsia"/>
        </w:rPr>
        <w:t>农民工招聘会</w:t>
      </w:r>
      <w:r>
        <w:t>42场，参加企业达723家，提供就</w:t>
      </w:r>
      <w:r>
        <w:rPr>
          <w:rFonts w:hint="eastAsia"/>
        </w:rPr>
        <w:t>业岗位</w:t>
      </w:r>
      <w:r>
        <w:t>2万个，现场达成就业意向6815人。</w:t>
      </w:r>
    </w:p>
    <w:p w14:paraId="60FAF9BC">
      <w:pPr>
        <w:pStyle w:val="4"/>
        <w:bidi w:val="0"/>
        <w:rPr>
          <w:rFonts w:hint="eastAsia"/>
        </w:rPr>
      </w:pPr>
      <w:r>
        <w:rPr>
          <w:rFonts w:hint="eastAsia"/>
        </w:rPr>
        <w:t>【劳动力市场调控】</w:t>
      </w:r>
    </w:p>
    <w:p w14:paraId="0B65AE2D">
      <w:r>
        <w:rPr>
          <w:rFonts w:hint="eastAsia"/>
        </w:rPr>
        <w:t>实施企业工资最低标准</w:t>
      </w:r>
      <w:r>
        <w:t>1010</w:t>
      </w:r>
      <w:r>
        <w:rPr>
          <w:rFonts w:hint="eastAsia"/>
        </w:rPr>
        <w:t>元</w:t>
      </w:r>
      <w:r>
        <w:t>/月，引导本市劳动力就业5134人，其中农</w:t>
      </w:r>
      <w:r>
        <w:rPr>
          <w:rFonts w:hint="eastAsia"/>
        </w:rPr>
        <w:t>村劳动力</w:t>
      </w:r>
      <w:r>
        <w:t>3910人，城镇失业人员963人，困难人</w:t>
      </w:r>
      <w:r>
        <w:rPr>
          <w:rFonts w:hint="eastAsia"/>
        </w:rPr>
        <w:t>员就业</w:t>
      </w:r>
      <w:r>
        <w:t>261人。</w:t>
      </w:r>
    </w:p>
    <w:p w14:paraId="77D7C6DF">
      <w:pPr>
        <w:pStyle w:val="4"/>
        <w:bidi w:val="0"/>
        <w:rPr>
          <w:rFonts w:hint="eastAsia"/>
        </w:rPr>
      </w:pPr>
      <w:r>
        <w:rPr>
          <w:rFonts w:hint="eastAsia"/>
        </w:rPr>
        <w:t>【困难群体就业援助】</w:t>
      </w:r>
    </w:p>
    <w:p w14:paraId="15484349">
      <w:r>
        <w:rPr>
          <w:rFonts w:hint="eastAsia"/>
        </w:rPr>
        <w:t>鼓励和引导</w:t>
      </w:r>
      <w:r>
        <w:t>790名就业困</w:t>
      </w:r>
      <w:r>
        <w:rPr>
          <w:rFonts w:hint="eastAsia"/>
        </w:rPr>
        <w:t>难人员从事个体经营、打零工、夜市摆摊等方式实现自主就业，落实灵活就业困难人员社保补贴</w:t>
      </w:r>
      <w:r>
        <w:t>48.91万元，落实企业招用118名就业困难人员社</w:t>
      </w:r>
      <w:r>
        <w:rPr>
          <w:rFonts w:hint="eastAsia"/>
        </w:rPr>
        <w:t>保、岗位补贴</w:t>
      </w:r>
      <w:r>
        <w:t>47.07万元。全市机关事业单位设置</w:t>
      </w:r>
      <w:r>
        <w:rPr>
          <w:rFonts w:hint="eastAsia"/>
        </w:rPr>
        <w:t>环境卫生和门卫等公益性岗位</w:t>
      </w:r>
      <w:r>
        <w:t>809个，安排下岗失</w:t>
      </w:r>
      <w:r>
        <w:rPr>
          <w:rFonts w:hint="eastAsia"/>
        </w:rPr>
        <w:t>业人员再就业</w:t>
      </w:r>
      <w:r>
        <w:t>215人。</w:t>
      </w:r>
    </w:p>
    <w:p w14:paraId="39DBC678">
      <w:pPr>
        <w:pStyle w:val="4"/>
        <w:bidi w:val="0"/>
        <w:rPr>
          <w:rFonts w:hint="eastAsia"/>
        </w:rPr>
      </w:pPr>
      <w:r>
        <w:rPr>
          <w:rFonts w:hint="eastAsia"/>
        </w:rPr>
        <w:t>【农村劳动力技能培训】</w:t>
      </w:r>
    </w:p>
    <w:p w14:paraId="60C649CC">
      <w:pPr>
        <w:rPr>
          <w:rFonts w:hint="eastAsia" w:eastAsia="宋体"/>
          <w:lang w:eastAsia="zh-CN"/>
        </w:rPr>
      </w:pPr>
      <w:r>
        <w:rPr>
          <w:rFonts w:hint="eastAsia"/>
        </w:rPr>
        <w:t>举办</w:t>
      </w:r>
      <w:r>
        <w:t>38期农村劳动力转</w:t>
      </w:r>
      <w:r>
        <w:rPr>
          <w:rFonts w:hint="eastAsia"/>
        </w:rPr>
        <w:t>移就业技能培训，共培训学员</w:t>
      </w:r>
      <w:r>
        <w:t>1393人，完成目标</w:t>
      </w:r>
      <w:r>
        <w:rPr>
          <w:rFonts w:hint="eastAsia"/>
        </w:rPr>
        <w:t>任务的</w:t>
      </w:r>
      <w:r>
        <w:t>139.3%，鉴定合格的有1096人，合格率为78.7%，推荐就业933人，就业率为85%</w:t>
      </w:r>
      <w:r>
        <w:rPr>
          <w:rFonts w:hint="eastAsia"/>
          <w:lang w:eastAsia="zh-CN"/>
        </w:rPr>
        <w:t>。</w:t>
      </w:r>
    </w:p>
    <w:p w14:paraId="0E8F5CDB">
      <w:pPr>
        <w:pStyle w:val="4"/>
        <w:bidi w:val="0"/>
        <w:rPr>
          <w:rFonts w:hint="eastAsia"/>
        </w:rPr>
      </w:pPr>
      <w:r>
        <w:rPr>
          <w:rFonts w:hint="eastAsia"/>
        </w:rPr>
        <w:t>【贫困党员创业培训】</w:t>
      </w:r>
    </w:p>
    <w:p w14:paraId="6CDB1DAC">
      <w:r>
        <w:rPr>
          <w:rFonts w:hint="eastAsia"/>
        </w:rPr>
        <w:t>贫困党员创业培训举办三期贫困党员创业培训，共培训学员</w:t>
      </w:r>
      <w:r>
        <w:t>200人。</w:t>
      </w:r>
    </w:p>
    <w:p w14:paraId="331E7567">
      <w:pPr>
        <w:pStyle w:val="4"/>
        <w:bidi w:val="0"/>
        <w:rPr>
          <w:rFonts w:hint="eastAsia"/>
        </w:rPr>
      </w:pPr>
      <w:r>
        <w:rPr>
          <w:rFonts w:hint="eastAsia"/>
        </w:rPr>
        <w:t>【职业技能鉴定】</w:t>
      </w:r>
    </w:p>
    <w:p w14:paraId="30DC6B80">
      <w:r>
        <w:rPr>
          <w:rFonts w:hint="eastAsia"/>
        </w:rPr>
        <w:t>共组织鉴定考试</w:t>
      </w:r>
      <w:r>
        <w:t>37批次，参加</w:t>
      </w:r>
      <w:r>
        <w:rPr>
          <w:rFonts w:hint="eastAsia"/>
        </w:rPr>
        <w:t>鉴定的考生有</w:t>
      </w:r>
      <w:r>
        <w:t>1394人，鉴定合格1096人，合格</w:t>
      </w:r>
      <w:r>
        <w:rPr>
          <w:rFonts w:hint="eastAsia"/>
        </w:rPr>
        <w:t>率</w:t>
      </w:r>
      <w:r>
        <w:t>78.7%。</w:t>
      </w:r>
    </w:p>
    <w:p w14:paraId="3569E3E6">
      <w:pPr>
        <w:pStyle w:val="4"/>
        <w:bidi w:val="0"/>
        <w:rPr>
          <w:rFonts w:hint="eastAsia"/>
        </w:rPr>
      </w:pPr>
      <w:r>
        <w:rPr>
          <w:rFonts w:hint="eastAsia"/>
        </w:rPr>
        <w:t>【劳动普法宣传】</w:t>
      </w:r>
    </w:p>
    <w:p w14:paraId="27D3F0D5">
      <w:r>
        <w:rPr>
          <w:rFonts w:hint="eastAsia"/>
        </w:rPr>
        <w:t>开展劳动法律法规宣传教育，深入企业、市区、镇（街道）巡回宣传《工伤保险条例》</w:t>
      </w:r>
      <w:r>
        <w:t>42次，《城镇居民医疗保险办法》170次，</w:t>
      </w:r>
      <w:r>
        <w:rPr>
          <w:rFonts w:hint="eastAsia"/>
        </w:rPr>
        <w:t>《社会保险费征缴管理实施办法》、《劳动合同法》、《劳动保障监察条例》共</w:t>
      </w:r>
      <w:r>
        <w:t>42次、《劳动争议调解仲</w:t>
      </w:r>
      <w:r>
        <w:rPr>
          <w:rFonts w:hint="eastAsia"/>
        </w:rPr>
        <w:t>裁法》和《就业促进法》</w:t>
      </w:r>
      <w:r>
        <w:t>42次，举办讲座6次，</w:t>
      </w:r>
      <w:r>
        <w:rPr>
          <w:rFonts w:hint="eastAsia"/>
        </w:rPr>
        <w:t>开展现场咨询</w:t>
      </w:r>
      <w:r>
        <w:t>5次，印发劳动法律法规资料手册20000余册。</w:t>
      </w:r>
    </w:p>
    <w:p w14:paraId="7BEA4894">
      <w:pPr>
        <w:pStyle w:val="4"/>
        <w:bidi w:val="0"/>
        <w:rPr>
          <w:rFonts w:hint="eastAsia"/>
        </w:rPr>
      </w:pPr>
      <w:r>
        <w:rPr>
          <w:rFonts w:hint="eastAsia"/>
        </w:rPr>
        <w:t>【劳动监察】</w:t>
      </w:r>
    </w:p>
    <w:p w14:paraId="37FF5733">
      <w:r>
        <w:rPr>
          <w:rFonts w:hint="eastAsia"/>
        </w:rPr>
        <w:t>开展以建筑施工企业为重点的打击欠薪，规范人力资源市场秩序、规范劳动派遣、整治非法用工、高温劳动保护、打击劳动保障违法犯罪等多项专项行动，全年下企业</w:t>
      </w:r>
      <w:r>
        <w:t>289户，涉及劳动</w:t>
      </w:r>
      <w:r>
        <w:rPr>
          <w:rFonts w:hint="eastAsia"/>
        </w:rPr>
        <w:t>者</w:t>
      </w:r>
      <w:r>
        <w:t>8635人。</w:t>
      </w:r>
    </w:p>
    <w:p w14:paraId="7FAF4568">
      <w:pPr>
        <w:pStyle w:val="4"/>
        <w:bidi w:val="0"/>
        <w:rPr>
          <w:rFonts w:hint="eastAsia"/>
        </w:rPr>
      </w:pPr>
      <w:r>
        <w:rPr>
          <w:rFonts w:hint="eastAsia"/>
        </w:rPr>
        <w:t>【劳动信访】</w:t>
      </w:r>
    </w:p>
    <w:p w14:paraId="024F8782">
      <w:pPr>
        <w:rPr>
          <w:rFonts w:hint="eastAsia"/>
        </w:rPr>
      </w:pPr>
      <w:r>
        <w:rPr>
          <w:rFonts w:hint="eastAsia"/>
        </w:rPr>
        <w:t>受理劳动保障举报投诉案件</w:t>
      </w:r>
      <w:r>
        <w:t>163宗</w:t>
      </w:r>
      <w:r>
        <w:rPr>
          <w:rFonts w:hint="eastAsia"/>
          <w:lang w:eastAsia="zh-CN"/>
        </w:rPr>
        <w:t>，</w:t>
      </w:r>
      <w:r>
        <w:rPr>
          <w:rFonts w:hint="eastAsia"/>
        </w:rPr>
        <w:t>结案率</w:t>
      </w:r>
      <w:r>
        <w:t>100%；受理来信、来电和来访39批次，办</w:t>
      </w:r>
      <w:r>
        <w:rPr>
          <w:rFonts w:hint="eastAsia"/>
        </w:rPr>
        <w:t>结率</w:t>
      </w:r>
      <w:r>
        <w:t>100%；为劳动者追回拖欠、克扣工资2580</w:t>
      </w:r>
      <w:r>
        <w:rPr>
          <w:rFonts w:hint="eastAsia"/>
        </w:rPr>
        <w:t>万元。</w:t>
      </w:r>
    </w:p>
    <w:p w14:paraId="61B83961">
      <w:pPr>
        <w:pStyle w:val="4"/>
        <w:bidi w:val="0"/>
        <w:rPr>
          <w:rFonts w:hint="eastAsia"/>
        </w:rPr>
      </w:pPr>
      <w:r>
        <w:rPr>
          <w:rFonts w:hint="eastAsia"/>
        </w:rPr>
        <w:t>【劳动关系规范管理】</w:t>
      </w:r>
    </w:p>
    <w:p w14:paraId="07BE6B16">
      <w:r>
        <w:rPr>
          <w:rFonts w:hint="eastAsia"/>
        </w:rPr>
        <w:t>办理劳动年审企业</w:t>
      </w:r>
      <w:r>
        <w:t>134户；</w:t>
      </w:r>
      <w:r>
        <w:rPr>
          <w:rFonts w:hint="eastAsia"/>
        </w:rPr>
        <w:t>共受理工伤案件</w:t>
      </w:r>
      <w:r>
        <w:t>72件；全年签订集体劳动合同11</w:t>
      </w:r>
      <w:r>
        <w:rPr>
          <w:rFonts w:hint="eastAsia"/>
        </w:rPr>
        <w:t>户，涉及人数</w:t>
      </w:r>
      <w:r>
        <w:t>7100人；签订合同123户，涉及人</w:t>
      </w:r>
      <w:r>
        <w:rPr>
          <w:rFonts w:hint="eastAsia"/>
        </w:rPr>
        <w:t>数</w:t>
      </w:r>
      <w:r>
        <w:t>4731人。</w:t>
      </w:r>
    </w:p>
    <w:p w14:paraId="7F64B266">
      <w:pPr>
        <w:pStyle w:val="4"/>
        <w:bidi w:val="0"/>
        <w:rPr>
          <w:rFonts w:hint="eastAsia"/>
        </w:rPr>
      </w:pPr>
      <w:r>
        <w:rPr>
          <w:rFonts w:hint="eastAsia"/>
        </w:rPr>
        <w:t>【劳动争议处理】</w:t>
      </w:r>
    </w:p>
    <w:p w14:paraId="534BF3C5">
      <w:r>
        <w:rPr>
          <w:rFonts w:hint="eastAsia"/>
        </w:rPr>
        <w:t>处理劳动人事争议仲裁案件</w:t>
      </w:r>
      <w:r>
        <w:t>151件，办结151件，结案率100%，均为法定审限</w:t>
      </w:r>
      <w:r>
        <w:rPr>
          <w:rFonts w:hint="eastAsia"/>
        </w:rPr>
        <w:t>内结案，涉及劳动者</w:t>
      </w:r>
      <w:r>
        <w:t>307人，涉及经济标的796.04</w:t>
      </w:r>
      <w:r>
        <w:rPr>
          <w:rFonts w:hint="eastAsia"/>
        </w:rPr>
        <w:t>万元。其中仲裁调解</w:t>
      </w:r>
      <w:r>
        <w:t>133件，庭外调解3件，仲裁</w:t>
      </w:r>
      <w:r>
        <w:rPr>
          <w:rFonts w:hint="eastAsia"/>
        </w:rPr>
        <w:t>裁决和其它</w:t>
      </w:r>
      <w:r>
        <w:t>15宗，调解率90%。</w:t>
      </w:r>
    </w:p>
    <w:p w14:paraId="7521A39A">
      <w:pPr>
        <w:pStyle w:val="4"/>
        <w:bidi w:val="0"/>
        <w:rPr>
          <w:rFonts w:hint="eastAsia"/>
        </w:rPr>
      </w:pPr>
      <w:r>
        <w:rPr>
          <w:rFonts w:hint="eastAsia"/>
        </w:rPr>
        <w:t>【人才服务工作】</w:t>
      </w:r>
    </w:p>
    <w:p w14:paraId="7A7A0B0E">
      <w:r>
        <w:rPr>
          <w:rFonts w:hint="eastAsia"/>
        </w:rPr>
        <w:t>办理人事代理</w:t>
      </w:r>
      <w:r>
        <w:t>189宗，档案保</w:t>
      </w:r>
      <w:r>
        <w:rPr>
          <w:rFonts w:hint="eastAsia"/>
        </w:rPr>
        <w:t>存</w:t>
      </w:r>
      <w:r>
        <w:t>131宗，其中办理转正定级169人，办理年度考</w:t>
      </w:r>
      <w:r>
        <w:rPr>
          <w:rFonts w:hint="eastAsia"/>
        </w:rPr>
        <w:t>核</w:t>
      </w:r>
      <w:r>
        <w:t>1108人次；调整档案工资1112人次；为在市外</w:t>
      </w:r>
      <w:r>
        <w:rPr>
          <w:rFonts w:hint="eastAsia"/>
        </w:rPr>
        <w:t>就业人员办理人事代理调动手续有</w:t>
      </w:r>
      <w:r>
        <w:t>96人，市内就</w:t>
      </w:r>
      <w:r>
        <w:rPr>
          <w:rFonts w:hint="eastAsia"/>
        </w:rPr>
        <w:t>业人员办理人事代理手续有</w:t>
      </w:r>
      <w:r>
        <w:t>60人。按照省、市人</w:t>
      </w:r>
      <w:r>
        <w:rPr>
          <w:rFonts w:hint="eastAsia"/>
        </w:rPr>
        <w:t>社部门的有关培训教育规定，提高公务员和专业技术人员服务科学发展能力，依法行政能力和创新能力，培训</w:t>
      </w:r>
      <w:r>
        <w:t>1.12万人次，其中公务员2159人次，专</w:t>
      </w:r>
      <w:r>
        <w:rPr>
          <w:rFonts w:hint="eastAsia"/>
        </w:rPr>
        <w:t>业技术人员</w:t>
      </w:r>
      <w:r>
        <w:t>6377人次，培训内容6项，培训时间168天。</w:t>
      </w:r>
    </w:p>
    <w:p w14:paraId="71A426F4">
      <w:pPr>
        <w:pStyle w:val="4"/>
        <w:bidi w:val="0"/>
        <w:rPr>
          <w:rFonts w:hint="eastAsia"/>
        </w:rPr>
      </w:pPr>
      <w:r>
        <w:rPr>
          <w:rFonts w:hint="eastAsia"/>
        </w:rPr>
        <w:t>【高校毕业生就业】</w:t>
      </w:r>
    </w:p>
    <w:p w14:paraId="0E0C3E53">
      <w:r>
        <w:rPr>
          <w:rFonts w:hint="eastAsia"/>
        </w:rPr>
        <w:t>为</w:t>
      </w:r>
      <w:r>
        <w:t>1323名毕业生办理报到登</w:t>
      </w:r>
      <w:r>
        <w:rPr>
          <w:rFonts w:hint="eastAsia"/>
        </w:rPr>
        <w:t>记手续，其中硕士研究生</w:t>
      </w:r>
      <w:r>
        <w:t>2名，本科生184名，专</w:t>
      </w:r>
      <w:r>
        <w:rPr>
          <w:rFonts w:hint="eastAsia"/>
        </w:rPr>
        <w:t>科生</w:t>
      </w:r>
      <w:r>
        <w:t>1137名。</w:t>
      </w:r>
    </w:p>
    <w:p w14:paraId="26F6F869">
      <w:pPr>
        <w:pStyle w:val="4"/>
        <w:bidi w:val="0"/>
        <w:rPr>
          <w:rFonts w:hint="eastAsia"/>
        </w:rPr>
      </w:pPr>
      <w:r>
        <w:rPr>
          <w:rFonts w:hint="eastAsia"/>
        </w:rPr>
        <w:t>【</w:t>
      </w:r>
      <w:r>
        <w:rPr>
          <w:rFonts w:hint="eastAsia"/>
          <w:lang w:eastAsia="zh-CN"/>
        </w:rPr>
        <w:t>干部</w:t>
      </w:r>
      <w:r>
        <w:rPr>
          <w:rFonts w:hint="eastAsia"/>
        </w:rPr>
        <w:t>管理】</w:t>
      </w:r>
    </w:p>
    <w:p w14:paraId="3DC9E72F">
      <w:r>
        <w:rPr>
          <w:rFonts w:hint="eastAsia"/>
        </w:rPr>
        <w:t>继续加大招考力度，合计招录公务员</w:t>
      </w:r>
      <w:r>
        <w:t>68名。其中乡镇公务员36名（含工农一线2</w:t>
      </w:r>
      <w:r>
        <w:rPr>
          <w:rFonts w:hint="eastAsia"/>
        </w:rPr>
        <w:t>名，选调生</w:t>
      </w:r>
      <w:r>
        <w:t>6名），机关公务员（含参公管理单位</w:t>
      </w:r>
      <w:r>
        <w:rPr>
          <w:rFonts w:hint="eastAsia"/>
        </w:rPr>
        <w:t>人员）</w:t>
      </w:r>
      <w:r>
        <w:t>32名。会同组织部门做好城投公司选拔专</w:t>
      </w:r>
      <w:r>
        <w:rPr>
          <w:rFonts w:hint="eastAsia"/>
        </w:rPr>
        <w:t>业技术人才挂职培养锻炼工作，选拔</w:t>
      </w:r>
      <w:r>
        <w:t>5名乡镇公务</w:t>
      </w:r>
      <w:r>
        <w:rPr>
          <w:rFonts w:hint="eastAsia"/>
        </w:rPr>
        <w:t>员到市城投公司挂职锻炼。在全市机关事业单位工作人员中开展对离岗吃空饷人员的清理整顿工作。</w:t>
      </w:r>
      <w:r>
        <w:t>2013年，办理公务员调动手续38人，其中调离南</w:t>
      </w:r>
      <w:r>
        <w:rPr>
          <w:rFonts w:hint="eastAsia"/>
        </w:rPr>
        <w:t>雄</w:t>
      </w:r>
      <w:r>
        <w:t>12人，调进南雄市2人，办理提前退休手续3人</w:t>
      </w:r>
      <w:r>
        <w:rPr>
          <w:rFonts w:hint="eastAsia"/>
        </w:rPr>
        <w:t>（满</w:t>
      </w:r>
      <w:r>
        <w:t>30年工龄），自愿辞职3人。办理公务员转正</w:t>
      </w:r>
      <w:r>
        <w:rPr>
          <w:rFonts w:hint="eastAsia"/>
        </w:rPr>
        <w:t>登记</w:t>
      </w:r>
      <w:r>
        <w:t>68人。</w:t>
      </w:r>
    </w:p>
    <w:p w14:paraId="235EC7DD">
      <w:pPr>
        <w:pStyle w:val="4"/>
        <w:bidi w:val="0"/>
        <w:rPr>
          <w:rFonts w:hint="eastAsia"/>
        </w:rPr>
      </w:pPr>
      <w:r>
        <w:rPr>
          <w:rFonts w:hint="eastAsia"/>
        </w:rPr>
        <w:t>【企业军转干解困】</w:t>
      </w:r>
    </w:p>
    <w:p w14:paraId="78BC119D">
      <w:r>
        <w:rPr>
          <w:rFonts w:hint="eastAsia"/>
        </w:rPr>
        <w:t>根据全省调整养老金标准和南雄市机关事业单位工作人员调整津补贴的实际情况，对</w:t>
      </w:r>
      <w:r>
        <w:t>48名企业军转干部提高了解困待遇标准，</w:t>
      </w:r>
      <w:r>
        <w:rPr>
          <w:rFonts w:hint="eastAsia"/>
        </w:rPr>
        <w:t>标准为每人每月增加</w:t>
      </w:r>
      <w:r>
        <w:t>125元。</w:t>
      </w:r>
    </w:p>
    <w:p w14:paraId="4178548A">
      <w:pPr>
        <w:pStyle w:val="4"/>
        <w:bidi w:val="0"/>
        <w:rPr>
          <w:rFonts w:hint="eastAsia"/>
        </w:rPr>
      </w:pPr>
      <w:r>
        <w:rPr>
          <w:rFonts w:hint="eastAsia"/>
        </w:rPr>
        <w:t>【职称工作】</w:t>
      </w:r>
    </w:p>
    <w:p w14:paraId="29A49BF9">
      <w:pPr>
        <w:rPr>
          <w:rFonts w:hint="eastAsia"/>
        </w:rPr>
      </w:pPr>
      <w:r>
        <w:rPr>
          <w:rFonts w:hint="eastAsia"/>
        </w:rPr>
        <w:t>根据学历、资历、继续教育等情况，向省推荐申报评审高级职称</w:t>
      </w:r>
      <w:r>
        <w:t>135人，向韶关推荐评</w:t>
      </w:r>
      <w:r>
        <w:rPr>
          <w:rFonts w:hint="eastAsia"/>
        </w:rPr>
        <w:t>审中级职称</w:t>
      </w:r>
      <w:r>
        <w:t>135人，向本市推荐评审初级职称4</w:t>
      </w:r>
      <w:r>
        <w:rPr>
          <w:rFonts w:hint="eastAsia"/>
        </w:rPr>
        <w:t>人，认定初级职称</w:t>
      </w:r>
      <w:r>
        <w:t>64人。办理南雄市初级职称资</w:t>
      </w:r>
      <w:r>
        <w:rPr>
          <w:rFonts w:hint="eastAsia"/>
        </w:rPr>
        <w:t>格证书共</w:t>
      </w:r>
      <w:r>
        <w:t>124人，其中：助理级职称97人，员级</w:t>
      </w:r>
      <w:r>
        <w:rPr>
          <w:rFonts w:hint="eastAsia"/>
        </w:rPr>
        <w:t>职称</w:t>
      </w:r>
      <w:r>
        <w:t>27人。完成对南雄市1600多名专业技术人员</w:t>
      </w:r>
      <w:r>
        <w:rPr>
          <w:rFonts w:hint="eastAsia"/>
        </w:rPr>
        <w:t>职称聘期考核。</w:t>
      </w:r>
    </w:p>
    <w:p w14:paraId="003613D6">
      <w:pPr>
        <w:pStyle w:val="4"/>
        <w:bidi w:val="0"/>
        <w:rPr>
          <w:rFonts w:hint="eastAsia"/>
        </w:rPr>
      </w:pPr>
      <w:r>
        <w:rPr>
          <w:rFonts w:hint="eastAsia"/>
        </w:rPr>
        <w:t>【人事考试】</w:t>
      </w:r>
    </w:p>
    <w:p w14:paraId="5152E1A3">
      <w:pPr>
        <w:rPr>
          <w:rFonts w:hint="eastAsia"/>
        </w:rPr>
      </w:pPr>
      <w:r>
        <w:t>2013年，根据全市事业单位的需</w:t>
      </w:r>
      <w:r>
        <w:rPr>
          <w:rFonts w:hint="eastAsia"/>
        </w:rPr>
        <w:t>求，严格按照省政府颁发的《广东省事业单位公开招聘人员办法》（省政府第</w:t>
      </w:r>
      <w:r>
        <w:t>139号令）和韶关市人</w:t>
      </w:r>
      <w:r>
        <w:rPr>
          <w:rFonts w:hint="eastAsia"/>
        </w:rPr>
        <w:t>力资源和社会保障局韶人社〔</w:t>
      </w:r>
      <w:r>
        <w:t>2010〕70号文件的</w:t>
      </w:r>
      <w:r>
        <w:rPr>
          <w:rFonts w:hint="eastAsia"/>
        </w:rPr>
        <w:t>规定，完成本年度</w:t>
      </w:r>
      <w:r>
        <w:t>34名卫生、计生工作人员的招</w:t>
      </w:r>
      <w:r>
        <w:rPr>
          <w:rFonts w:hint="eastAsia"/>
          <w:lang w:val="en-US" w:eastAsia="zh-CN"/>
        </w:rPr>
        <w:t>聘</w:t>
      </w:r>
      <w:r>
        <w:rPr>
          <w:rFonts w:hint="eastAsia"/>
        </w:rPr>
        <w:t>工作，招聘的卫生、计生工作人员中，男</w:t>
      </w:r>
      <w:r>
        <w:t>17人</w:t>
      </w:r>
      <w:r>
        <w:rPr>
          <w:rFonts w:hint="eastAsia"/>
          <w:lang w:eastAsia="zh-CN"/>
        </w:rPr>
        <w:t>，</w:t>
      </w:r>
      <w:r>
        <w:rPr>
          <w:rFonts w:hint="eastAsia"/>
        </w:rPr>
        <w:t>女</w:t>
      </w:r>
      <w:r>
        <w:t>17人，本科学历26人，大专学历8人。组织了2次“大学生村官”招聘考试，共招聘17</w:t>
      </w:r>
      <w:r>
        <w:rPr>
          <w:rFonts w:hint="eastAsia"/>
          <w:lang w:val="en-US" w:eastAsia="zh-CN"/>
        </w:rPr>
        <w:t>1</w:t>
      </w:r>
      <w:r>
        <w:t>名</w:t>
      </w:r>
      <w:r>
        <w:rPr>
          <w:rFonts w:hint="eastAsia" w:ascii="宋体" w:hAnsi="宋体" w:cs="宋体"/>
        </w:rPr>
        <w:t>“</w:t>
      </w:r>
      <w:r>
        <w:t>大</w:t>
      </w:r>
      <w:r>
        <w:rPr>
          <w:rFonts w:hint="eastAsia"/>
        </w:rPr>
        <w:t>学生村官”。</w:t>
      </w:r>
    </w:p>
    <w:p w14:paraId="1C28F392">
      <w:pPr>
        <w:pStyle w:val="4"/>
        <w:bidi w:val="0"/>
        <w:rPr>
          <w:rFonts w:hint="eastAsia"/>
        </w:rPr>
      </w:pPr>
      <w:r>
        <w:rPr>
          <w:rFonts w:hint="eastAsia"/>
        </w:rPr>
        <w:t>【工资与福利】</w:t>
      </w:r>
    </w:p>
    <w:p w14:paraId="78ADC29E">
      <w:pPr>
        <w:rPr>
          <w:rFonts w:hint="eastAsia"/>
        </w:rPr>
      </w:pPr>
      <w:r>
        <w:rPr>
          <w:rFonts w:hint="eastAsia"/>
        </w:rPr>
        <w:t>完成审核机关事业单位在职人员及离退休人员</w:t>
      </w:r>
      <w:r>
        <w:t>11.23万人次（月均9358人次）财</w:t>
      </w:r>
      <w:r>
        <w:rPr>
          <w:rFonts w:hint="eastAsia"/>
        </w:rPr>
        <w:t>政统发工资工作，并制作工资发放明细表。对全市</w:t>
      </w:r>
      <w:r>
        <w:t>1200名被评为2012年度优秀的人员奖金进行审批</w:t>
      </w:r>
      <w:r>
        <w:rPr>
          <w:rFonts w:hint="eastAsia"/>
        </w:rPr>
        <w:t>协同配合有关部门对新的福利政策进行贯彻落实。做好各项调研、调</w:t>
      </w:r>
      <w:r>
        <w:rPr>
          <w:rFonts w:hint="eastAsia"/>
          <w:lang w:eastAsia="zh-CN"/>
        </w:rPr>
        <w:t>查</w:t>
      </w:r>
      <w:r>
        <w:rPr>
          <w:rFonts w:hint="eastAsia"/>
        </w:rPr>
        <w:t>工作，及时办理工作人员退休及批复抚恤金和遗属生活困难补助等。</w:t>
      </w:r>
    </w:p>
    <w:p w14:paraId="0C12D2AA">
      <w:pPr>
        <w:pStyle w:val="4"/>
        <w:bidi w:val="0"/>
        <w:rPr>
          <w:rFonts w:hint="eastAsia"/>
        </w:rPr>
      </w:pPr>
      <w:r>
        <w:rPr>
          <w:rFonts w:hint="eastAsia"/>
        </w:rPr>
        <w:t>【城乡居、医保】</w:t>
      </w:r>
    </w:p>
    <w:p w14:paraId="1E8D8244">
      <w:r>
        <w:t>2013年2月1日起，新农合行</w:t>
      </w:r>
      <w:r>
        <w:rPr>
          <w:rFonts w:hint="eastAsia"/>
        </w:rPr>
        <w:t>政职能划归人社部门管理。至</w:t>
      </w:r>
      <w:r>
        <w:t>2013年12月31日，</w:t>
      </w:r>
      <w:r>
        <w:rPr>
          <w:rFonts w:hint="eastAsia"/>
        </w:rPr>
        <w:t>全市累计</w:t>
      </w:r>
      <w:r>
        <w:t>170794人参加城乡居保，完成任务数161693的105.3%，其中60周岁以上参保人数为56376人；379568人参加城乡医保，完成任务数364621人的104.1%。</w:t>
      </w:r>
    </w:p>
    <w:p w14:paraId="5F64C884">
      <w:pPr>
        <w:jc w:val="right"/>
        <w:rPr>
          <w:rFonts w:hint="eastAsia"/>
          <w:b/>
          <w:bCs/>
        </w:rPr>
      </w:pPr>
      <w:r>
        <w:rPr>
          <w:rFonts w:hint="eastAsia"/>
          <w:b/>
          <w:bCs/>
        </w:rPr>
        <w:t>（人社局）</w:t>
      </w:r>
    </w:p>
    <w:p w14:paraId="6C255C39">
      <w:pPr>
        <w:pStyle w:val="10"/>
        <w:bidi w:val="0"/>
        <w:rPr>
          <w:b/>
          <w:bCs/>
        </w:rPr>
      </w:pPr>
      <w:r>
        <w:rPr>
          <w:rFonts w:hint="eastAsia"/>
          <w:b/>
          <w:bCs/>
        </w:rPr>
        <w:t>附：</w:t>
      </w:r>
      <w:r>
        <w:rPr>
          <w:b/>
          <w:bCs/>
        </w:rPr>
        <w:t>2013年市人社局领导班子成员名单</w:t>
      </w:r>
    </w:p>
    <w:p w14:paraId="76BECB1C">
      <w:pPr>
        <w:pStyle w:val="10"/>
        <w:bidi w:val="0"/>
      </w:pPr>
      <w:r>
        <w:rPr>
          <w:rFonts w:hint="eastAsia"/>
          <w:b/>
          <w:bCs/>
        </w:rPr>
        <w:t>局</w:t>
      </w:r>
      <w:r>
        <w:rPr>
          <w:rFonts w:hint="eastAsia"/>
          <w:b/>
          <w:bCs/>
          <w:lang w:val="en-US" w:eastAsia="zh-CN"/>
        </w:rPr>
        <w:t xml:space="preserve">    </w:t>
      </w:r>
      <w:r>
        <w:rPr>
          <w:rFonts w:hint="eastAsia"/>
          <w:b/>
          <w:bCs/>
        </w:rPr>
        <w:t>长</w:t>
      </w:r>
      <w:r>
        <w:rPr>
          <w:rFonts w:hint="eastAsia"/>
        </w:rPr>
        <w:t>：董圣国（任至</w:t>
      </w:r>
      <w:r>
        <w:t>12月）</w:t>
      </w:r>
    </w:p>
    <w:p w14:paraId="7B840F68">
      <w:pPr>
        <w:pStyle w:val="10"/>
        <w:bidi w:val="0"/>
        <w:ind w:firstLine="1050" w:firstLineChars="500"/>
      </w:pPr>
      <w:r>
        <w:rPr>
          <w:rFonts w:hint="eastAsia"/>
        </w:rPr>
        <w:t>王婉霞（</w:t>
      </w:r>
      <w:r>
        <w:t>12月任）</w:t>
      </w:r>
    </w:p>
    <w:p w14:paraId="61C5E977">
      <w:pPr>
        <w:pStyle w:val="10"/>
        <w:bidi w:val="0"/>
        <w:rPr>
          <w:rFonts w:hint="eastAsia"/>
        </w:rPr>
      </w:pPr>
      <w:r>
        <w:rPr>
          <w:rFonts w:hint="eastAsia"/>
          <w:b/>
          <w:bCs/>
        </w:rPr>
        <w:t>副</w:t>
      </w:r>
      <w:r>
        <w:rPr>
          <w:rFonts w:hint="eastAsia"/>
          <w:b/>
          <w:bCs/>
          <w:lang w:val="en-US" w:eastAsia="zh-CN"/>
        </w:rPr>
        <w:t xml:space="preserve"> </w:t>
      </w:r>
      <w:r>
        <w:rPr>
          <w:rFonts w:hint="eastAsia"/>
          <w:b/>
          <w:bCs/>
        </w:rPr>
        <w:t>局</w:t>
      </w:r>
      <w:r>
        <w:rPr>
          <w:rFonts w:hint="eastAsia"/>
          <w:b/>
          <w:bCs/>
          <w:lang w:val="en-US" w:eastAsia="zh-CN"/>
        </w:rPr>
        <w:t xml:space="preserve"> </w:t>
      </w:r>
      <w:r>
        <w:rPr>
          <w:rFonts w:hint="eastAsia"/>
          <w:b/>
          <w:bCs/>
        </w:rPr>
        <w:t>长：</w:t>
      </w:r>
      <w:r>
        <w:rPr>
          <w:rFonts w:hint="eastAsia"/>
        </w:rPr>
        <w:t>曾国庆</w:t>
      </w:r>
      <w:r>
        <w:rPr>
          <w:rFonts w:hint="eastAsia"/>
          <w:lang w:val="en-US" w:eastAsia="zh-CN"/>
        </w:rPr>
        <w:t xml:space="preserve">  </w:t>
      </w:r>
      <w:r>
        <w:rPr>
          <w:rFonts w:hint="eastAsia"/>
        </w:rPr>
        <w:t>张荣凤</w:t>
      </w:r>
      <w:r>
        <w:rPr>
          <w:rFonts w:hint="eastAsia"/>
          <w:lang w:val="en-US" w:eastAsia="zh-CN"/>
        </w:rPr>
        <w:t xml:space="preserve">   </w:t>
      </w:r>
      <w:r>
        <w:rPr>
          <w:rFonts w:hint="eastAsia"/>
        </w:rPr>
        <w:t>钟</w:t>
      </w:r>
      <w:r>
        <w:rPr>
          <w:rFonts w:hint="eastAsia"/>
          <w:lang w:val="en-US" w:eastAsia="zh-CN"/>
        </w:rPr>
        <w:t xml:space="preserve">  </w:t>
      </w:r>
      <w:r>
        <w:rPr>
          <w:rFonts w:hint="eastAsia"/>
        </w:rPr>
        <w:t>海</w:t>
      </w:r>
    </w:p>
    <w:p w14:paraId="6A69C42D">
      <w:pPr>
        <w:pStyle w:val="10"/>
        <w:bidi w:val="0"/>
        <w:rPr>
          <w:rFonts w:hint="eastAsia"/>
        </w:rPr>
      </w:pPr>
      <w:r>
        <w:rPr>
          <w:rFonts w:hint="eastAsia"/>
          <w:b/>
          <w:bCs/>
        </w:rPr>
        <w:t>纪检组长：</w:t>
      </w:r>
      <w:r>
        <w:rPr>
          <w:rFonts w:hint="eastAsia"/>
        </w:rPr>
        <w:t>郭盛斌</w:t>
      </w:r>
    </w:p>
    <w:p w14:paraId="17F940F3">
      <w:pPr>
        <w:pStyle w:val="3"/>
        <w:bidi w:val="0"/>
        <w:rPr>
          <w:rFonts w:hint="default"/>
          <w:lang w:val="en-US" w:eastAsia="zh-CN"/>
        </w:rPr>
      </w:pPr>
      <w:r>
        <w:rPr>
          <w:rFonts w:hint="eastAsia"/>
          <w:lang w:val="en-US" w:eastAsia="zh-CN"/>
        </w:rPr>
        <w:t>社会保障</w:t>
      </w:r>
    </w:p>
    <w:p w14:paraId="26D9122A">
      <w:pPr>
        <w:pStyle w:val="4"/>
        <w:bidi w:val="0"/>
        <w:rPr>
          <w:rFonts w:hint="eastAsia"/>
        </w:rPr>
      </w:pPr>
      <w:r>
        <w:rPr>
          <w:rFonts w:hint="eastAsia"/>
        </w:rPr>
        <w:t>【机构变革】</w:t>
      </w:r>
    </w:p>
    <w:p w14:paraId="38AE72DA">
      <w:pPr>
        <w:rPr>
          <w:rFonts w:hint="eastAsia"/>
        </w:rPr>
      </w:pPr>
      <w:r>
        <w:rPr>
          <w:rFonts w:hint="eastAsia"/>
        </w:rPr>
        <w:t>根据雄府〔</w:t>
      </w:r>
      <w:r>
        <w:t>2013〕6号《南雄市人</w:t>
      </w:r>
      <w:r>
        <w:rPr>
          <w:rFonts w:hint="eastAsia"/>
        </w:rPr>
        <w:t>民政府关于南雄市基本医疗保险城乡统筹工作方案的通知》文件要求，南雄市新农合经办机构</w:t>
      </w:r>
      <w:r>
        <w:t>2013</w:t>
      </w:r>
      <w:r>
        <w:rPr>
          <w:rFonts w:hint="eastAsia"/>
        </w:rPr>
        <w:t>年</w:t>
      </w:r>
      <w:r>
        <w:t>2月1日划入社保南雄分局。接收原新农合服务</w:t>
      </w:r>
      <w:r>
        <w:rPr>
          <w:rFonts w:hint="eastAsia"/>
        </w:rPr>
        <w:t>中心</w:t>
      </w:r>
      <w:r>
        <w:t>7人，顺利完成经办职能、参保信息交接、新</w:t>
      </w:r>
      <w:r>
        <w:rPr>
          <w:rFonts w:hint="eastAsia"/>
        </w:rPr>
        <w:t>农合基金和资产交接，顺利完成办公地点搬迁。新农合各项工作有序开展，做到无缝衔接。根据韶机编〔</w:t>
      </w:r>
      <w:r>
        <w:t>2013〕35号文《关于印发&lt;韶</w:t>
      </w:r>
      <w:r>
        <w:rPr>
          <w:rFonts w:hint="eastAsia"/>
        </w:rPr>
        <w:t>关市社会保险服务管理局机构编制方案</w:t>
      </w:r>
      <w:r>
        <w:t>&gt;的通知》，</w:t>
      </w:r>
      <w:r>
        <w:rPr>
          <w:rFonts w:hint="eastAsia"/>
        </w:rPr>
        <w:t>原韶关市社会保险南雄办事处更名为韶关市社会保险服务管理局南雄分局。</w:t>
      </w:r>
      <w:r>
        <w:t>2013年12月31日，韶关</w:t>
      </w:r>
      <w:r>
        <w:rPr>
          <w:rFonts w:hint="eastAsia"/>
        </w:rPr>
        <w:t>市社会保险服务管理局南雄分局正式挂牌。</w:t>
      </w:r>
    </w:p>
    <w:p w14:paraId="59A689A1">
      <w:pPr>
        <w:pStyle w:val="4"/>
        <w:bidi w:val="0"/>
        <w:rPr>
          <w:rFonts w:hint="eastAsia"/>
        </w:rPr>
      </w:pPr>
      <w:r>
        <w:rPr>
          <w:rFonts w:hint="eastAsia"/>
        </w:rPr>
        <w:t>【概况】</w:t>
      </w:r>
    </w:p>
    <w:p w14:paraId="0BF4A6A8">
      <w:pPr>
        <w:rPr>
          <w:rFonts w:hint="eastAsia"/>
        </w:rPr>
      </w:pPr>
      <w:r>
        <w:rPr>
          <w:rFonts w:hint="eastAsia"/>
        </w:rPr>
        <w:t>韶关市社会保险服务管理局南雄分局位于南雄市水南路</w:t>
      </w:r>
      <w:r>
        <w:t>42号，编制33人，在职人员28</w:t>
      </w:r>
      <w:r>
        <w:rPr>
          <w:rFonts w:hint="eastAsia"/>
        </w:rPr>
        <w:t>人，是南雄市社会保险经办机构，隶属于韶关市社会保险服务管理局，公益一类，正科级单位。主要负责辖区内的有关社会保险经办工作。</w:t>
      </w:r>
    </w:p>
    <w:p w14:paraId="3B5074AB">
      <w:pPr>
        <w:pStyle w:val="4"/>
        <w:bidi w:val="0"/>
        <w:rPr>
          <w:rFonts w:hint="eastAsia"/>
        </w:rPr>
      </w:pPr>
      <w:r>
        <w:rPr>
          <w:rFonts w:hint="eastAsia"/>
        </w:rPr>
        <w:t>【社会保险基金管理】</w:t>
      </w:r>
    </w:p>
    <w:p w14:paraId="00F736A9">
      <w:r>
        <w:rPr>
          <w:rFonts w:hint="eastAsia"/>
        </w:rPr>
        <w:t>社保基金的管理严格遵守收支两条线规定，地方税务局征收，当地财政局管理、社保分局支付，必须做到同步记账及账账相符，确保社保基金的安全。</w:t>
      </w:r>
      <w:r>
        <w:t>2013年社会保险7个险</w:t>
      </w:r>
      <w:r>
        <w:rPr>
          <w:rFonts w:hint="eastAsia"/>
        </w:rPr>
        <w:t>种总计征缴</w:t>
      </w:r>
      <w:r>
        <w:t>46129万元，支出40067万元。</w:t>
      </w:r>
    </w:p>
    <w:p w14:paraId="030FC6F1">
      <w:pPr>
        <w:pStyle w:val="4"/>
        <w:bidi w:val="0"/>
        <w:rPr>
          <w:rFonts w:hint="eastAsia"/>
        </w:rPr>
      </w:pPr>
      <w:r>
        <w:rPr>
          <w:rFonts w:hint="eastAsia"/>
        </w:rPr>
        <w:t>【职工养老保险】</w:t>
      </w:r>
    </w:p>
    <w:p w14:paraId="777BF242">
      <w:r>
        <w:t>2013年养老保险实际参保人数</w:t>
      </w:r>
      <w:r>
        <w:rPr>
          <w:rFonts w:hint="eastAsia"/>
        </w:rPr>
        <w:t>为</w:t>
      </w:r>
      <w:r>
        <w:t>46692人，完成任务数的101.50%，与2012年</w:t>
      </w:r>
      <w:r>
        <w:rPr>
          <w:rFonts w:hint="eastAsia"/>
        </w:rPr>
        <w:t>对比增长</w:t>
      </w:r>
      <w:r>
        <w:t>6.47%；实际缴费人数是30673人，与2012年对比增长6.64%。其中企业养老保险完成</w:t>
      </w:r>
      <w:r>
        <w:rPr>
          <w:rFonts w:hint="eastAsia"/>
        </w:rPr>
        <w:t>参保</w:t>
      </w:r>
      <w:r>
        <w:t>27707人，完成任务数的100.39%；实际缴费</w:t>
      </w:r>
      <w:r>
        <w:rPr>
          <w:rFonts w:hint="eastAsia"/>
        </w:rPr>
        <w:t>人数</w:t>
      </w:r>
      <w:r>
        <w:t>22087人。</w:t>
      </w:r>
    </w:p>
    <w:p w14:paraId="2CE4924D">
      <w:pPr>
        <w:rPr>
          <w:rFonts w:hint="eastAsia"/>
        </w:rPr>
      </w:pPr>
      <w:r>
        <w:t>2013年养老保险征收基金18936万元，比2012</w:t>
      </w:r>
      <w:r>
        <w:rPr>
          <w:rFonts w:hint="eastAsia"/>
        </w:rPr>
        <w:t>年增长</w:t>
      </w:r>
      <w:r>
        <w:t>8.27%，其中企业养老保险征收17109万</w:t>
      </w:r>
      <w:r>
        <w:rPr>
          <w:rFonts w:hint="eastAsia"/>
        </w:rPr>
        <w:t>元，</w:t>
      </w:r>
      <w:r>
        <w:t>100%完成上级下达的征收任务。支付退休金18231万元（含机关一次性支付666万元），与上年</w:t>
      </w:r>
      <w:r>
        <w:rPr>
          <w:rFonts w:hint="eastAsia"/>
        </w:rPr>
        <w:t>同期对比增长</w:t>
      </w:r>
      <w:r>
        <w:t>22%。当年上解省养老金支出1143</w:t>
      </w:r>
      <w:r>
        <w:rPr>
          <w:rFonts w:hint="eastAsia"/>
        </w:rPr>
        <w:t>万元。</w:t>
      </w:r>
    </w:p>
    <w:p w14:paraId="4808403A">
      <w:r>
        <w:rPr>
          <w:rFonts w:hint="eastAsia"/>
        </w:rPr>
        <w:t>根据</w:t>
      </w:r>
      <w:r>
        <w:rPr>
          <w:rFonts w:hint="eastAsia"/>
          <w:lang w:eastAsia="zh-CN"/>
        </w:rPr>
        <w:t>粤</w:t>
      </w:r>
      <w:r>
        <w:rPr>
          <w:rFonts w:hint="eastAsia"/>
        </w:rPr>
        <w:t>人社〔</w:t>
      </w:r>
      <w:r>
        <w:t>2013〕31号文要求，按规定调</w:t>
      </w:r>
      <w:r>
        <w:rPr>
          <w:rFonts w:hint="eastAsia"/>
        </w:rPr>
        <w:t>整企业离退休人员基本养老保险待遇</w:t>
      </w:r>
      <w:r>
        <w:t>10399人，人</w:t>
      </w:r>
      <w:r>
        <w:rPr>
          <w:rFonts w:hint="eastAsia"/>
        </w:rPr>
        <w:t>均增资约</w:t>
      </w:r>
      <w:r>
        <w:t>150元。</w:t>
      </w:r>
    </w:p>
    <w:p w14:paraId="61EF2B86">
      <w:pPr>
        <w:pStyle w:val="4"/>
        <w:bidi w:val="0"/>
        <w:rPr>
          <w:rFonts w:hint="eastAsia"/>
        </w:rPr>
      </w:pPr>
      <w:r>
        <w:rPr>
          <w:rFonts w:hint="eastAsia"/>
        </w:rPr>
        <w:t>【职工医疗保险】</w:t>
      </w:r>
    </w:p>
    <w:p w14:paraId="1A229BEA">
      <w:r>
        <w:t>2013年实际参保人数为27047</w:t>
      </w:r>
      <w:r>
        <w:rPr>
          <w:rFonts w:hint="eastAsia"/>
        </w:rPr>
        <w:t>人，完成任务数的</w:t>
      </w:r>
      <w:r>
        <w:t>100.17%，比2012年增长0.31%；实际缴费人数25419人，比2012年增</w:t>
      </w:r>
      <w:r>
        <w:rPr>
          <w:rFonts w:hint="eastAsia"/>
        </w:rPr>
        <w:t>长</w:t>
      </w:r>
      <w:r>
        <w:t>4.88%。</w:t>
      </w:r>
    </w:p>
    <w:p w14:paraId="213DADDC">
      <w:r>
        <w:rPr>
          <w:rFonts w:hint="eastAsia"/>
        </w:rPr>
        <w:t>医疗保险征收</w:t>
      </w:r>
      <w:r>
        <w:t>7031万元，完成任务的122.28%，比上年增长25.42%。支出医疗金待遇6307万元。</w:t>
      </w:r>
    </w:p>
    <w:p w14:paraId="52C69DF2">
      <w:r>
        <w:t>9月份启动南雄市基本医疗关系省内转移。从2013年7月1日起，大额医疗保险待遇在2012医</w:t>
      </w:r>
      <w:r>
        <w:rPr>
          <w:rFonts w:hint="eastAsia"/>
        </w:rPr>
        <w:t>保年度标准基础上适当提高待遇水平。城镇职工住院补充医疗保险过渡期封顶线也提高至</w:t>
      </w:r>
      <w:r>
        <w:t>2万元。</w:t>
      </w:r>
    </w:p>
    <w:p w14:paraId="1A791835">
      <w:pPr>
        <w:pStyle w:val="4"/>
        <w:bidi w:val="0"/>
        <w:rPr>
          <w:rFonts w:hint="eastAsia"/>
        </w:rPr>
      </w:pPr>
      <w:r>
        <w:rPr>
          <w:rFonts w:hint="eastAsia"/>
        </w:rPr>
        <w:t>【失业保险】</w:t>
      </w:r>
    </w:p>
    <w:p w14:paraId="3D107AA8">
      <w:r>
        <w:rPr>
          <w:rFonts w:hint="eastAsia"/>
        </w:rPr>
        <w:t>失业保险实际参保人数是</w:t>
      </w:r>
      <w:r>
        <w:t>20145人，</w:t>
      </w:r>
      <w:r>
        <w:rPr>
          <w:rFonts w:hint="eastAsia"/>
        </w:rPr>
        <w:t>完成任务的</w:t>
      </w:r>
      <w:r>
        <w:t>100.59%；实际缴费人数为10355人。</w:t>
      </w:r>
    </w:p>
    <w:p w14:paraId="520CA53E">
      <w:pPr>
        <w:rPr>
          <w:rFonts w:hint="eastAsia"/>
        </w:rPr>
      </w:pPr>
      <w:r>
        <w:rPr>
          <w:rFonts w:hint="eastAsia"/>
        </w:rPr>
        <w:t>全年征收</w:t>
      </w:r>
      <w:r>
        <w:t>637万元，完成任务数的136.40%，</w:t>
      </w:r>
      <w:r>
        <w:rPr>
          <w:rFonts w:hint="eastAsia"/>
        </w:rPr>
        <w:t>比上年下降了</w:t>
      </w:r>
      <w:r>
        <w:t>13.57%。全年失业保险支出167</w:t>
      </w:r>
      <w:r>
        <w:rPr>
          <w:rFonts w:hint="eastAsia"/>
        </w:rPr>
        <w:t>万元。</w:t>
      </w:r>
    </w:p>
    <w:p w14:paraId="67ECD2B6">
      <w:r>
        <w:rPr>
          <w:rFonts w:hint="eastAsia"/>
        </w:rPr>
        <w:t>根据韶府〔</w:t>
      </w:r>
      <w:r>
        <w:t>2013〕17号文，自2013年5月1</w:t>
      </w:r>
      <w:r>
        <w:rPr>
          <w:rFonts w:hint="eastAsia"/>
        </w:rPr>
        <w:t>日起，南雄市失业保险金标准由</w:t>
      </w:r>
      <w:r>
        <w:t>680元/月调整为808元/月。根据韶人社函〔2013〕206号，从2013</w:t>
      </w:r>
      <w:r>
        <w:rPr>
          <w:rFonts w:hint="eastAsia"/>
        </w:rPr>
        <w:t>年</w:t>
      </w:r>
      <w:r>
        <w:t>6月1日起，将失业保险单位缴费比率从2%下</w:t>
      </w:r>
      <w:r>
        <w:rPr>
          <w:rFonts w:hint="eastAsia"/>
        </w:rPr>
        <w:t>调至</w:t>
      </w:r>
      <w:r>
        <w:t>1.5%，个人缴费比率从1%下调至0.5%。</w:t>
      </w:r>
    </w:p>
    <w:p w14:paraId="6D27EA18">
      <w:pPr>
        <w:pStyle w:val="4"/>
        <w:bidi w:val="0"/>
        <w:rPr>
          <w:rFonts w:hint="eastAsia"/>
        </w:rPr>
      </w:pPr>
      <w:r>
        <w:rPr>
          <w:rFonts w:hint="eastAsia"/>
        </w:rPr>
        <w:t>【生育保险】</w:t>
      </w:r>
    </w:p>
    <w:p w14:paraId="40FC3C84">
      <w:r>
        <w:rPr>
          <w:rFonts w:hint="eastAsia"/>
        </w:rPr>
        <w:t>生育保险实际参保人数是</w:t>
      </w:r>
      <w:r>
        <w:t>9655人</w:t>
      </w:r>
      <w:r>
        <w:rPr>
          <w:rFonts w:hint="eastAsia"/>
          <w:lang w:eastAsia="zh-CN"/>
        </w:rPr>
        <w:t>，</w:t>
      </w:r>
      <w:r>
        <w:rPr>
          <w:rFonts w:hint="eastAsia"/>
        </w:rPr>
        <w:t>完成任务的</w:t>
      </w:r>
      <w:r>
        <w:t>100.57%；实际缴费人数为7889人。</w:t>
      </w:r>
    </w:p>
    <w:p w14:paraId="270638BC">
      <w:r>
        <w:rPr>
          <w:rFonts w:hint="eastAsia"/>
        </w:rPr>
        <w:t>全年征收</w:t>
      </w:r>
      <w:r>
        <w:t>117万元，完成任务数的111.43%，</w:t>
      </w:r>
      <w:r>
        <w:rPr>
          <w:rFonts w:hint="eastAsia"/>
        </w:rPr>
        <w:t>比</w:t>
      </w:r>
      <w:r>
        <w:t>2012年增加13.59%。全年支出13万元。</w:t>
      </w:r>
    </w:p>
    <w:p w14:paraId="441FFF73">
      <w:pPr>
        <w:pStyle w:val="4"/>
        <w:bidi w:val="0"/>
        <w:rPr>
          <w:rFonts w:hint="eastAsia"/>
        </w:rPr>
      </w:pPr>
      <w:r>
        <w:rPr>
          <w:rFonts w:hint="eastAsia"/>
        </w:rPr>
        <w:t>【工伤保险】</w:t>
      </w:r>
    </w:p>
    <w:p w14:paraId="5C876D75">
      <w:r>
        <w:rPr>
          <w:rFonts w:hint="eastAsia"/>
        </w:rPr>
        <w:t>工伤保险实际参保人数为</w:t>
      </w:r>
      <w:r>
        <w:t>20841人</w:t>
      </w:r>
      <w:r>
        <w:rPr>
          <w:rFonts w:hint="eastAsia"/>
          <w:lang w:eastAsia="zh-CN"/>
        </w:rPr>
        <w:t>，</w:t>
      </w:r>
      <w:r>
        <w:rPr>
          <w:rFonts w:hint="eastAsia"/>
        </w:rPr>
        <w:t>完成任务的</w:t>
      </w:r>
      <w:r>
        <w:t>100.54%；实际缴费人数10599人。</w:t>
      </w:r>
    </w:p>
    <w:p w14:paraId="3E338504">
      <w:r>
        <w:rPr>
          <w:rFonts w:hint="eastAsia"/>
        </w:rPr>
        <w:t>全年征收</w:t>
      </w:r>
      <w:r>
        <w:t>303万元，完成任务数的113.48%，</w:t>
      </w:r>
      <w:r>
        <w:rPr>
          <w:rFonts w:hint="eastAsia"/>
        </w:rPr>
        <w:t>比上年增长了</w:t>
      </w:r>
      <w:r>
        <w:t>23.67%。支付工伤待遇617万元。</w:t>
      </w:r>
    </w:p>
    <w:p w14:paraId="0FF3F9C8">
      <w:pPr>
        <w:pStyle w:val="4"/>
        <w:bidi w:val="0"/>
        <w:rPr>
          <w:rFonts w:hint="eastAsia"/>
        </w:rPr>
      </w:pPr>
      <w:r>
        <w:rPr>
          <w:rFonts w:hint="eastAsia"/>
        </w:rPr>
        <w:t>【城乡居民养老保险】</w:t>
      </w:r>
    </w:p>
    <w:p w14:paraId="05163729">
      <w:r>
        <w:t>2013年南雄市的城乡居民</w:t>
      </w:r>
      <w:r>
        <w:rPr>
          <w:rFonts w:hint="eastAsia"/>
        </w:rPr>
        <w:t>养老保险实际参保人数为</w:t>
      </w:r>
      <w:r>
        <w:t>170794人，完成任务</w:t>
      </w:r>
      <w:r>
        <w:rPr>
          <w:rFonts w:hint="eastAsia"/>
        </w:rPr>
        <w:t>的</w:t>
      </w:r>
      <w:r>
        <w:t>105.63%。</w:t>
      </w:r>
    </w:p>
    <w:p w14:paraId="45852EC1">
      <w:r>
        <w:rPr>
          <w:rFonts w:hint="eastAsia"/>
        </w:rPr>
        <w:t>收缴养老金</w:t>
      </w:r>
      <w:r>
        <w:t>956万元，政府补贴收入4367万</w:t>
      </w:r>
      <w:r>
        <w:rPr>
          <w:rFonts w:hint="eastAsia"/>
        </w:rPr>
        <w:t>元。享受退休待遇有</w:t>
      </w:r>
      <w:r>
        <w:t>67977人，支付退休金4154万</w:t>
      </w:r>
      <w:r>
        <w:rPr>
          <w:rFonts w:hint="eastAsia"/>
        </w:rPr>
        <w:t>元。当年结存</w:t>
      </w:r>
      <w:r>
        <w:t>2206万元。</w:t>
      </w:r>
    </w:p>
    <w:p w14:paraId="28B9FD83">
      <w:pPr>
        <w:rPr>
          <w:rFonts w:hint="eastAsia"/>
          <w:lang w:eastAsia="zh-CN"/>
        </w:rPr>
      </w:pPr>
      <w:r>
        <w:rPr>
          <w:rFonts w:hint="eastAsia"/>
        </w:rPr>
        <w:t>根据韶财社〔</w:t>
      </w:r>
      <w:r>
        <w:t>2013〕63号文，从2013年1月</w:t>
      </w:r>
      <w:r>
        <w:rPr>
          <w:rFonts w:hint="eastAsia"/>
        </w:rPr>
        <w:t>份，广东省城乡居民居民社会养老保险基础养老金标准从</w:t>
      </w:r>
      <w:r>
        <w:t>55元/人·月提高到65元/人·月</w:t>
      </w:r>
      <w:r>
        <w:rPr>
          <w:rFonts w:hint="eastAsia"/>
          <w:lang w:eastAsia="zh-CN"/>
        </w:rPr>
        <w:t>。</w:t>
      </w:r>
    </w:p>
    <w:p w14:paraId="59C9C012">
      <w:pPr>
        <w:pStyle w:val="4"/>
        <w:bidi w:val="0"/>
        <w:rPr>
          <w:rFonts w:hint="eastAsia"/>
        </w:rPr>
      </w:pPr>
      <w:r>
        <w:rPr>
          <w:rFonts w:hint="eastAsia"/>
        </w:rPr>
        <w:t>【城乡居民医疗保险】</w:t>
      </w:r>
    </w:p>
    <w:p w14:paraId="0A86ACB6">
      <w:r>
        <w:t>2013年南雄市实际参合人</w:t>
      </w:r>
      <w:r>
        <w:rPr>
          <w:rFonts w:hint="eastAsia"/>
        </w:rPr>
        <w:t>数</w:t>
      </w:r>
      <w:r>
        <w:t>380363人，完成率102.62%。</w:t>
      </w:r>
    </w:p>
    <w:p w14:paraId="1D2EC851">
      <w:pPr>
        <w:rPr>
          <w:rFonts w:hint="eastAsia"/>
        </w:rPr>
      </w:pPr>
      <w:r>
        <w:t>2013年南雄市按人均筹资340元计算，收缴2133万元，财政补贴收入10048万元。享受待遇316319人/次，支出10133万元。当年结存2247</w:t>
      </w:r>
      <w:r>
        <w:rPr>
          <w:rFonts w:hint="eastAsia"/>
        </w:rPr>
        <w:t>万元。</w:t>
      </w:r>
    </w:p>
    <w:p w14:paraId="02CD6F33">
      <w:r>
        <w:rPr>
          <w:rFonts w:hint="eastAsia"/>
        </w:rPr>
        <w:t>社保南雄分局制定《关于新农合经办流程指导意见的通知》（雄社〔</w:t>
      </w:r>
      <w:r>
        <w:t>2013〕1号），从4月1日起</w:t>
      </w:r>
      <w:r>
        <w:rPr>
          <w:rFonts w:hint="eastAsia"/>
        </w:rPr>
        <w:t>优化经办流程，使报销时间从原来的</w:t>
      </w:r>
      <w:r>
        <w:t>2-3个月缩</w:t>
      </w:r>
      <w:r>
        <w:rPr>
          <w:rFonts w:hint="eastAsia"/>
        </w:rPr>
        <w:t>短到</w:t>
      </w:r>
      <w:r>
        <w:t>1个月，大大缩短参合农民报销补偿的时限。</w:t>
      </w:r>
    </w:p>
    <w:p w14:paraId="109BB42D">
      <w:pPr>
        <w:pStyle w:val="4"/>
        <w:bidi w:val="0"/>
        <w:rPr>
          <w:rFonts w:hint="eastAsia"/>
        </w:rPr>
      </w:pPr>
      <w:r>
        <w:rPr>
          <w:rFonts w:hint="eastAsia"/>
        </w:rPr>
        <w:t>【社保扩面】</w:t>
      </w:r>
    </w:p>
    <w:p w14:paraId="6E050A5F">
      <w:pPr>
        <w:rPr>
          <w:rFonts w:hint="eastAsia"/>
          <w:lang w:eastAsia="zh-CN"/>
        </w:rPr>
      </w:pPr>
      <w:r>
        <w:t>8月，由南雄人社局牵头在全市范</w:t>
      </w:r>
      <w:r>
        <w:rPr>
          <w:rFonts w:hint="eastAsia"/>
        </w:rPr>
        <w:t>围内开展以养老保险为重点的扩面征缴工作，认真配合人社局及地税局拟定工作方案，全力配合各项扩面征缴行动，与市政府签订责任状，并抽调了各业务股室负责人及有关业务骨干参与到各扩面征缴工作小组中去，多次下到企业开展扩面征缴工作，到乡镇检</w:t>
      </w:r>
      <w:r>
        <w:rPr>
          <w:rFonts w:hint="eastAsia"/>
          <w:lang w:eastAsia="zh-CN"/>
        </w:rPr>
        <w:t>查</w:t>
      </w:r>
      <w:r>
        <w:rPr>
          <w:rFonts w:hint="eastAsia"/>
        </w:rPr>
        <w:t>督导扩面征缴工作的开展，有效地推进了我市今年度社会保险扩面征缴工作的顺利实施</w:t>
      </w:r>
      <w:r>
        <w:rPr>
          <w:rFonts w:hint="eastAsia"/>
          <w:lang w:eastAsia="zh-CN"/>
        </w:rPr>
        <w:t>。</w:t>
      </w:r>
    </w:p>
    <w:p w14:paraId="23F04D43">
      <w:pPr>
        <w:pStyle w:val="4"/>
        <w:bidi w:val="0"/>
        <w:rPr>
          <w:rFonts w:hint="eastAsia"/>
        </w:rPr>
      </w:pPr>
      <w:r>
        <w:rPr>
          <w:rFonts w:hint="eastAsia"/>
        </w:rPr>
        <w:t>【扶贫双到】</w:t>
      </w:r>
    </w:p>
    <w:p w14:paraId="14E4272F">
      <w:pPr>
        <w:rPr>
          <w:rFonts w:hint="eastAsia"/>
        </w:rPr>
      </w:pPr>
      <w:r>
        <w:t>6月，由于在第一轮“扶贫双到”</w:t>
      </w:r>
      <w:r>
        <w:rPr>
          <w:rFonts w:hint="eastAsia"/>
        </w:rPr>
        <w:t>中分局的扶贫工作取得了很好的成果，被评为南雄市“扶贫双到”优秀单位，驻村干部王向山副主任被评为省“优秀驻村干部”。</w:t>
      </w:r>
      <w:r>
        <w:t>2013年是新一轮“扶</w:t>
      </w:r>
      <w:r>
        <w:rPr>
          <w:rFonts w:hint="eastAsia"/>
        </w:rPr>
        <w:t>贫双到”开启之年，分局新的扶贫点是帽子峰镇坪山村，共有贫困户</w:t>
      </w:r>
      <w:r>
        <w:t>13户，分局分好帮扶小组，指</w:t>
      </w:r>
      <w:r>
        <w:rPr>
          <w:rFonts w:hint="eastAsia"/>
        </w:rPr>
        <w:t>定人员负责每一户贫困户，组织干部职工下到坪山村进行具体调研，了解贫困户情况，并为贫困户提出脱贫措施，帮助贫困户增加</w:t>
      </w:r>
      <w:r>
        <w:rPr>
          <w:rFonts w:hint="eastAsia"/>
          <w:lang w:eastAsia="zh-CN"/>
        </w:rPr>
        <w:t>收入</w:t>
      </w:r>
      <w:r>
        <w:rPr>
          <w:rFonts w:hint="eastAsia"/>
        </w:rPr>
        <w:t>，实现脱贫。</w:t>
      </w:r>
    </w:p>
    <w:p w14:paraId="2A4480C7">
      <w:pPr>
        <w:pStyle w:val="4"/>
        <w:bidi w:val="0"/>
        <w:rPr>
          <w:rFonts w:hint="eastAsia"/>
        </w:rPr>
      </w:pPr>
      <w:r>
        <w:rPr>
          <w:rFonts w:hint="eastAsia"/>
        </w:rPr>
        <w:t>【内控检</w:t>
      </w:r>
      <w:r>
        <w:rPr>
          <w:rFonts w:hint="eastAsia"/>
          <w:lang w:eastAsia="zh-CN"/>
        </w:rPr>
        <w:t>查</w:t>
      </w:r>
      <w:r>
        <w:rPr>
          <w:rFonts w:hint="eastAsia"/>
        </w:rPr>
        <w:t>】</w:t>
      </w:r>
    </w:p>
    <w:p w14:paraId="14B4FBD5">
      <w:pPr>
        <w:rPr>
          <w:rFonts w:hint="eastAsia"/>
          <w:lang w:eastAsia="zh-CN"/>
        </w:rPr>
      </w:pPr>
      <w:r>
        <w:rPr>
          <w:rFonts w:hint="eastAsia"/>
        </w:rPr>
        <w:t>一是做好企业职工养老待遇资格验证工作，对申领失业金的参保者认真审核其资料，每月实行指纹验证。二是完善内控制度，规范管理，制定《韶关市社会保险南雄办事处内部控制监督检</w:t>
      </w:r>
      <w:r>
        <w:rPr>
          <w:rFonts w:hint="eastAsia"/>
          <w:lang w:eastAsia="zh-CN"/>
        </w:rPr>
        <w:t>查</w:t>
      </w:r>
      <w:r>
        <w:rPr>
          <w:rFonts w:hint="eastAsia"/>
        </w:rPr>
        <w:t>工作制度》。顺利通过省社会保险基金管理局检</w:t>
      </w:r>
      <w:r>
        <w:rPr>
          <w:rFonts w:hint="eastAsia"/>
          <w:lang w:eastAsia="zh-CN"/>
        </w:rPr>
        <w:t>查</w:t>
      </w:r>
      <w:r>
        <w:rPr>
          <w:rFonts w:hint="eastAsia"/>
        </w:rPr>
        <w:t>组对分局社保基金财务和城乡居保个账进行专项检</w:t>
      </w:r>
      <w:r>
        <w:rPr>
          <w:rFonts w:hint="eastAsia"/>
          <w:lang w:eastAsia="zh-CN"/>
        </w:rPr>
        <w:t>查</w:t>
      </w:r>
      <w:r>
        <w:rPr>
          <w:rFonts w:hint="eastAsia"/>
        </w:rPr>
        <w:t>。三是做好医疗保险待遇返回结算审核工作，对存在骗保嫌疑、数额巨大的清单，组织人员到外地医院进行实地调</w:t>
      </w:r>
      <w:r>
        <w:rPr>
          <w:rFonts w:hint="eastAsia"/>
          <w:lang w:eastAsia="zh-CN"/>
        </w:rPr>
        <w:t>查</w:t>
      </w:r>
      <w:r>
        <w:rPr>
          <w:rFonts w:hint="eastAsia"/>
        </w:rPr>
        <w:t>，防止不法分子诈保骗保行为</w:t>
      </w:r>
      <w:r>
        <w:rPr>
          <w:rFonts w:hint="eastAsia"/>
          <w:lang w:eastAsia="zh-CN"/>
        </w:rPr>
        <w:t>。</w:t>
      </w:r>
    </w:p>
    <w:p w14:paraId="50A4848B">
      <w:pPr>
        <w:jc w:val="right"/>
        <w:rPr>
          <w:rFonts w:hint="eastAsia"/>
          <w:b/>
          <w:bCs/>
        </w:rPr>
      </w:pPr>
      <w:r>
        <w:rPr>
          <w:rFonts w:hint="eastAsia"/>
          <w:b/>
          <w:bCs/>
        </w:rPr>
        <w:t>（李渊英）</w:t>
      </w:r>
    </w:p>
    <w:p w14:paraId="451043F4">
      <w:pPr>
        <w:pStyle w:val="10"/>
        <w:bidi w:val="0"/>
        <w:rPr>
          <w:b/>
          <w:bCs/>
        </w:rPr>
      </w:pPr>
      <w:r>
        <w:rPr>
          <w:b/>
          <w:bCs/>
        </w:rPr>
        <w:t>2013年韶关市社保局南雄分局领导班子成员名单</w:t>
      </w:r>
    </w:p>
    <w:p w14:paraId="25144C82">
      <w:pPr>
        <w:pStyle w:val="10"/>
        <w:bidi w:val="0"/>
        <w:rPr>
          <w:rFonts w:hint="eastAsia"/>
        </w:rPr>
      </w:pPr>
      <w:r>
        <w:rPr>
          <w:rFonts w:hint="eastAsia"/>
          <w:b/>
          <w:bCs/>
        </w:rPr>
        <w:t>主</w:t>
      </w:r>
      <w:r>
        <w:rPr>
          <w:rFonts w:hint="eastAsia"/>
          <w:b/>
          <w:bCs/>
          <w:lang w:val="en-US" w:eastAsia="zh-CN"/>
        </w:rPr>
        <w:t xml:space="preserve">  </w:t>
      </w:r>
      <w:r>
        <w:rPr>
          <w:rFonts w:hint="eastAsia"/>
          <w:b/>
          <w:bCs/>
        </w:rPr>
        <w:t>任：</w:t>
      </w:r>
      <w:r>
        <w:rPr>
          <w:rFonts w:hint="eastAsia"/>
        </w:rPr>
        <w:t>邱万茹</w:t>
      </w:r>
    </w:p>
    <w:p w14:paraId="60821D63">
      <w:pPr>
        <w:pStyle w:val="10"/>
        <w:bidi w:val="0"/>
        <w:rPr>
          <w:rFonts w:hint="eastAsia"/>
        </w:rPr>
      </w:pPr>
      <w:r>
        <w:rPr>
          <w:rFonts w:hint="eastAsia"/>
          <w:b/>
          <w:bCs/>
        </w:rPr>
        <w:t>副主任：</w:t>
      </w:r>
      <w:r>
        <w:rPr>
          <w:rFonts w:hint="eastAsia"/>
        </w:rPr>
        <w:t>孔维伟</w:t>
      </w:r>
      <w:r>
        <w:rPr>
          <w:rFonts w:hint="eastAsia"/>
          <w:lang w:val="en-US" w:eastAsia="zh-CN"/>
        </w:rPr>
        <w:t xml:space="preserve">   </w:t>
      </w:r>
      <w:r>
        <w:rPr>
          <w:rFonts w:hint="eastAsia"/>
        </w:rPr>
        <w:t>曾宪英</w:t>
      </w:r>
      <w:r>
        <w:rPr>
          <w:rFonts w:hint="eastAsia"/>
          <w:lang w:val="en-US" w:eastAsia="zh-CN"/>
        </w:rPr>
        <w:t xml:space="preserve">   </w:t>
      </w:r>
      <w:r>
        <w:rPr>
          <w:rFonts w:hint="eastAsia"/>
        </w:rPr>
        <w:t>王向山</w:t>
      </w:r>
      <w:r>
        <w:rPr>
          <w:rFonts w:hint="eastAsia"/>
          <w:lang w:val="en-US" w:eastAsia="zh-CN"/>
        </w:rPr>
        <w:t xml:space="preserve">   </w:t>
      </w:r>
      <w:r>
        <w:rPr>
          <w:rFonts w:hint="eastAsia"/>
        </w:rPr>
        <w:t>董书长</w:t>
      </w:r>
    </w:p>
    <w:p w14:paraId="20FC0273">
      <w:pPr>
        <w:pStyle w:val="3"/>
        <w:bidi w:val="0"/>
        <w:rPr>
          <w:rFonts w:hint="default"/>
          <w:lang w:val="en-US" w:eastAsia="zh-CN"/>
        </w:rPr>
      </w:pPr>
      <w:r>
        <w:rPr>
          <w:rFonts w:hint="eastAsia"/>
          <w:lang w:val="en-US" w:eastAsia="zh-CN"/>
        </w:rPr>
        <w:t>民政</w:t>
      </w:r>
    </w:p>
    <w:p w14:paraId="6032265A">
      <w:pPr>
        <w:pStyle w:val="4"/>
        <w:bidi w:val="0"/>
        <w:rPr>
          <w:rFonts w:hint="eastAsia"/>
        </w:rPr>
      </w:pPr>
      <w:r>
        <w:rPr>
          <w:rFonts w:hint="eastAsia"/>
        </w:rPr>
        <w:t>【概况】</w:t>
      </w:r>
    </w:p>
    <w:p w14:paraId="368ECAC1">
      <w:pPr>
        <w:rPr>
          <w:rFonts w:hint="eastAsia"/>
          <w:lang w:eastAsia="zh-CN"/>
        </w:rPr>
      </w:pPr>
      <w:r>
        <w:rPr>
          <w:rFonts w:hint="eastAsia"/>
        </w:rPr>
        <w:t>南雄市民政局领导班子</w:t>
      </w:r>
      <w:r>
        <w:t>5人：局长1人、</w:t>
      </w:r>
      <w:r>
        <w:rPr>
          <w:rFonts w:hint="eastAsia"/>
        </w:rPr>
        <w:t>副局长</w:t>
      </w:r>
      <w:r>
        <w:t>3人、纪检组长1人；内设机构6个：局办</w:t>
      </w:r>
      <w:r>
        <w:rPr>
          <w:rFonts w:hint="eastAsia"/>
        </w:rPr>
        <w:t>公室、优抚安置股、救灾股、社会事务股、基层政权区划地名股、社会救助</w:t>
      </w:r>
      <w:r>
        <w:rPr>
          <w:rFonts w:hint="eastAsia"/>
          <w:lang w:val="en-US" w:eastAsia="zh-CN"/>
        </w:rPr>
        <w:t>股</w:t>
      </w:r>
      <w:r>
        <w:rPr>
          <w:rFonts w:hint="eastAsia"/>
          <w:lang w:eastAsia="zh-CN"/>
        </w:rPr>
        <w:t>。</w:t>
      </w:r>
    </w:p>
    <w:p w14:paraId="2A30A99D">
      <w:pPr>
        <w:rPr>
          <w:rFonts w:hint="eastAsia"/>
        </w:rPr>
      </w:pPr>
      <w:r>
        <w:rPr>
          <w:rFonts w:hint="eastAsia"/>
        </w:rPr>
        <w:t>主要工作职责：一是负责全市社团、民办非企业单位的登记、管理工作；二是负责拥军优属和烈士报批、褒扬工作，退伍军人的接收安置及服务管理工作。三是组织救灾救济工作；四是负责基层政权建设、地名管理和行政区划工作；五是负责婚姻登记、收养登记、老年人特殊权益保护、殡葬管理工作和社会福利工作。</w:t>
      </w:r>
    </w:p>
    <w:p w14:paraId="54F129BA">
      <w:pPr>
        <w:rPr>
          <w:rFonts w:hint="eastAsia"/>
          <w:lang w:eastAsia="zh-CN"/>
        </w:rPr>
      </w:pPr>
      <w:r>
        <w:rPr>
          <w:rFonts w:hint="eastAsia"/>
        </w:rPr>
        <w:t>被评为广东省扶贫“双到”工作先进单位</w:t>
      </w:r>
      <w:r>
        <w:rPr>
          <w:rFonts w:hint="eastAsia"/>
          <w:lang w:eastAsia="zh-CN"/>
        </w:rPr>
        <w:t>。</w:t>
      </w:r>
    </w:p>
    <w:p w14:paraId="5BB5227D">
      <w:pPr>
        <w:pStyle w:val="4"/>
        <w:bidi w:val="0"/>
        <w:rPr>
          <w:rFonts w:hint="eastAsia"/>
        </w:rPr>
      </w:pPr>
      <w:r>
        <w:rPr>
          <w:rFonts w:hint="eastAsia"/>
        </w:rPr>
        <w:t>【低保】</w:t>
      </w:r>
    </w:p>
    <w:p w14:paraId="61EA78A3">
      <w:r>
        <w:rPr>
          <w:rFonts w:hint="eastAsia"/>
        </w:rPr>
        <w:t>将低保受理上提到镇（街）人民政府</w:t>
      </w:r>
      <w:r>
        <w:rPr>
          <w:rFonts w:hint="eastAsia"/>
          <w:lang w:eastAsia="zh-CN"/>
        </w:rPr>
        <w:t>（</w:t>
      </w:r>
      <w:r>
        <w:rPr>
          <w:rFonts w:hint="eastAsia"/>
        </w:rPr>
        <w:t>街道办），全年支出低保资金</w:t>
      </w:r>
      <w:r>
        <w:t>1036万元。</w:t>
      </w:r>
    </w:p>
    <w:p w14:paraId="6BA55B23">
      <w:pPr>
        <w:pStyle w:val="4"/>
        <w:bidi w:val="0"/>
        <w:rPr>
          <w:rFonts w:hint="eastAsia"/>
        </w:rPr>
      </w:pPr>
      <w:r>
        <w:rPr>
          <w:rFonts w:hint="eastAsia"/>
        </w:rPr>
        <w:t>【五保】</w:t>
      </w:r>
    </w:p>
    <w:p w14:paraId="3B01462E">
      <w:r>
        <w:rPr>
          <w:rFonts w:hint="eastAsia"/>
        </w:rPr>
        <w:t>在院老人供养标准从</w:t>
      </w:r>
      <w:r>
        <w:t>460元提高到人月510元，散居五保老人从360元提高到人月410元。</w:t>
      </w:r>
    </w:p>
    <w:p w14:paraId="7EC76273">
      <w:pPr>
        <w:pStyle w:val="4"/>
        <w:bidi w:val="0"/>
        <w:rPr>
          <w:rFonts w:hint="eastAsia"/>
        </w:rPr>
      </w:pPr>
      <w:r>
        <w:rPr>
          <w:rFonts w:hint="eastAsia"/>
        </w:rPr>
        <w:t>【医疗救助】</w:t>
      </w:r>
    </w:p>
    <w:p w14:paraId="5B8490F5">
      <w:pPr>
        <w:rPr>
          <w:rFonts w:hint="eastAsia"/>
          <w:lang w:val="en-US" w:eastAsia="zh-CN"/>
        </w:rPr>
      </w:pPr>
      <w:r>
        <w:rPr>
          <w:rFonts w:hint="eastAsia"/>
        </w:rPr>
        <w:t>建立医疗救助“一站式”服务系统，全年救助</w:t>
      </w:r>
      <w:r>
        <w:t>690人次，支出医疗救助资金204</w:t>
      </w:r>
      <w:r>
        <w:rPr>
          <w:rFonts w:hint="eastAsia"/>
          <w:lang w:val="en-US" w:eastAsia="zh-CN"/>
        </w:rPr>
        <w:t>万元。</w:t>
      </w:r>
    </w:p>
    <w:p w14:paraId="01A2F0B9">
      <w:pPr>
        <w:pStyle w:val="4"/>
        <w:bidi w:val="0"/>
        <w:rPr>
          <w:rFonts w:hint="eastAsia"/>
        </w:rPr>
      </w:pPr>
      <w:r>
        <w:rPr>
          <w:rFonts w:hint="eastAsia"/>
        </w:rPr>
        <w:t>【救灾救济】</w:t>
      </w:r>
    </w:p>
    <w:p w14:paraId="54191924">
      <w:pPr>
        <w:rPr>
          <w:rFonts w:hint="eastAsia"/>
          <w:lang w:eastAsia="zh-CN"/>
        </w:rPr>
      </w:pPr>
      <w:r>
        <w:t>2013年，南雄市部分地区遭受降雨</w:t>
      </w:r>
      <w:r>
        <w:rPr>
          <w:rFonts w:hint="eastAsia"/>
        </w:rPr>
        <w:t>灾害，拨付</w:t>
      </w:r>
      <w:r>
        <w:t>267万元帮助178户全倒</w:t>
      </w:r>
      <w:r>
        <w:rPr>
          <w:rFonts w:hint="eastAsia"/>
          <w:lang w:val="en-US" w:eastAsia="zh-CN"/>
        </w:rPr>
        <w:t>户</w:t>
      </w:r>
      <w:r>
        <w:t>和重危房户</w:t>
      </w:r>
      <w:r>
        <w:rPr>
          <w:rFonts w:hint="eastAsia"/>
        </w:rPr>
        <w:t>重建家园。在春荒和冬寒救济方面，发放大米</w:t>
      </w:r>
      <w:r>
        <w:t>150</w:t>
      </w:r>
      <w:r>
        <w:rPr>
          <w:rFonts w:hint="eastAsia"/>
        </w:rPr>
        <w:t>吨，棉被</w:t>
      </w:r>
      <w:r>
        <w:t>1600床，棉袄1600件、棉裤1600条</w:t>
      </w:r>
      <w:r>
        <w:rPr>
          <w:rFonts w:hint="eastAsia"/>
          <w:lang w:eastAsia="zh-CN"/>
        </w:rPr>
        <w:t>。</w:t>
      </w:r>
    </w:p>
    <w:p w14:paraId="482E8CE2">
      <w:pPr>
        <w:pStyle w:val="4"/>
        <w:bidi w:val="0"/>
        <w:rPr>
          <w:rFonts w:hint="eastAsia"/>
        </w:rPr>
      </w:pPr>
      <w:r>
        <w:rPr>
          <w:rFonts w:hint="eastAsia"/>
        </w:rPr>
        <w:t>【社会福利中心建设】</w:t>
      </w:r>
    </w:p>
    <w:p w14:paraId="55E16C10">
      <w:pPr>
        <w:rPr>
          <w:rFonts w:hint="eastAsia"/>
          <w:lang w:eastAsia="zh-CN"/>
        </w:rPr>
      </w:pPr>
      <w:r>
        <w:rPr>
          <w:rFonts w:hint="eastAsia"/>
        </w:rPr>
        <w:t>完成社会福利中心老年公寓主体工程建设</w:t>
      </w:r>
      <w:r>
        <w:rPr>
          <w:rFonts w:hint="eastAsia"/>
          <w:lang w:eastAsia="zh-CN"/>
        </w:rPr>
        <w:t>。</w:t>
      </w:r>
    </w:p>
    <w:p w14:paraId="0CC4F068">
      <w:pPr>
        <w:pStyle w:val="4"/>
        <w:bidi w:val="0"/>
        <w:rPr>
          <w:rFonts w:hint="eastAsia"/>
        </w:rPr>
      </w:pPr>
      <w:r>
        <w:rPr>
          <w:rFonts w:hint="eastAsia"/>
        </w:rPr>
        <w:t>【优抚安置】</w:t>
      </w:r>
    </w:p>
    <w:p w14:paraId="38D624D7">
      <w:pPr>
        <w:rPr>
          <w:rFonts w:hint="eastAsia"/>
          <w:lang w:eastAsia="zh-CN"/>
        </w:rPr>
      </w:pPr>
      <w:r>
        <w:rPr>
          <w:rFonts w:hint="eastAsia"/>
        </w:rPr>
        <w:t>全年支出定补经费</w:t>
      </w:r>
      <w:r>
        <w:t>950万元，优待</w:t>
      </w:r>
      <w:r>
        <w:rPr>
          <w:rFonts w:hint="eastAsia"/>
        </w:rPr>
        <w:t>面</w:t>
      </w:r>
      <w:r>
        <w:t>100%，军烈属优待金农村每人8180元，城镇每</w:t>
      </w:r>
      <w:r>
        <w:rPr>
          <w:rFonts w:hint="eastAsia"/>
        </w:rPr>
        <w:t>人</w:t>
      </w:r>
      <w:r>
        <w:t>10721元。转移安置城镇退伍义务兵18名，安</w:t>
      </w:r>
      <w:r>
        <w:rPr>
          <w:rFonts w:hint="eastAsia"/>
        </w:rPr>
        <w:t>置农村退役士兵</w:t>
      </w:r>
      <w:r>
        <w:t>100名，支付一次性经济补助139</w:t>
      </w:r>
      <w:r>
        <w:rPr>
          <w:rFonts w:hint="eastAsia"/>
        </w:rPr>
        <w:t>万元</w:t>
      </w:r>
      <w:r>
        <w:rPr>
          <w:rFonts w:hint="eastAsia"/>
          <w:lang w:eastAsia="zh-CN"/>
        </w:rPr>
        <w:t>。</w:t>
      </w:r>
    </w:p>
    <w:p w14:paraId="45DC3A58">
      <w:pPr>
        <w:pStyle w:val="4"/>
        <w:bidi w:val="0"/>
        <w:rPr>
          <w:rFonts w:hint="eastAsia"/>
        </w:rPr>
      </w:pPr>
      <w:r>
        <w:rPr>
          <w:rFonts w:hint="eastAsia"/>
        </w:rPr>
        <w:t>【基层政权建设和地名管理】</w:t>
      </w:r>
    </w:p>
    <w:p w14:paraId="1893B393">
      <w:pPr>
        <w:rPr>
          <w:rFonts w:hint="eastAsia"/>
        </w:rPr>
      </w:pPr>
      <w:r>
        <w:rPr>
          <w:rFonts w:hint="eastAsia"/>
        </w:rPr>
        <w:t>召开动员会为</w:t>
      </w:r>
      <w:r>
        <w:t>2014</w:t>
      </w:r>
      <w:r>
        <w:rPr>
          <w:rFonts w:hint="eastAsia"/>
        </w:rPr>
        <w:t>年村“两委”换届年做准备，对现任村干部进行考核，对村经济状况进行审计。</w:t>
      </w:r>
    </w:p>
    <w:p w14:paraId="544B8BFF">
      <w:pPr>
        <w:pStyle w:val="4"/>
        <w:bidi w:val="0"/>
        <w:rPr>
          <w:rFonts w:hint="eastAsia"/>
        </w:rPr>
      </w:pPr>
      <w:r>
        <w:rPr>
          <w:rFonts w:hint="eastAsia"/>
        </w:rPr>
        <w:t>【殡葬改革】</w:t>
      </w:r>
    </w:p>
    <w:p w14:paraId="616F855C">
      <w:r>
        <w:rPr>
          <w:rFonts w:hint="eastAsia"/>
          <w:lang w:eastAsia="zh-CN"/>
        </w:rPr>
        <w:t>全</w:t>
      </w:r>
      <w:r>
        <w:rPr>
          <w:rFonts w:hint="eastAsia"/>
        </w:rPr>
        <w:t>年火化遗体</w:t>
      </w:r>
      <w:r>
        <w:t>2330具，起棺火化42</w:t>
      </w:r>
      <w:r>
        <w:rPr>
          <w:rFonts w:hint="eastAsia"/>
        </w:rPr>
        <w:t>宗，火化率</w:t>
      </w:r>
      <w:r>
        <w:t>100%。</w:t>
      </w:r>
    </w:p>
    <w:p w14:paraId="705D7DC2">
      <w:pPr>
        <w:pStyle w:val="4"/>
        <w:bidi w:val="0"/>
        <w:rPr>
          <w:rFonts w:hint="eastAsia"/>
        </w:rPr>
      </w:pPr>
      <w:r>
        <w:rPr>
          <w:rFonts w:hint="eastAsia"/>
        </w:rPr>
        <w:t>【其他工作】</w:t>
      </w:r>
    </w:p>
    <w:p w14:paraId="014C16DD">
      <w:pPr>
        <w:rPr>
          <w:rFonts w:hint="eastAsia"/>
          <w:lang w:eastAsia="zh-CN"/>
        </w:rPr>
      </w:pPr>
      <w:r>
        <w:rPr>
          <w:rFonts w:hint="eastAsia"/>
        </w:rPr>
        <w:t>全年办理婚姻登记</w:t>
      </w:r>
      <w:r>
        <w:t>5772对；登记社</w:t>
      </w:r>
      <w:r>
        <w:rPr>
          <w:rFonts w:hint="eastAsia"/>
        </w:rPr>
        <w:t>会团体和民办非企业</w:t>
      </w:r>
      <w:r>
        <w:t>13个；办理收养登记1</w:t>
      </w:r>
      <w:r>
        <w:rPr>
          <w:rFonts w:hint="eastAsia"/>
          <w:lang w:val="en-US" w:eastAsia="zh-CN"/>
        </w:rPr>
        <w:t>1</w:t>
      </w:r>
      <w:r>
        <w:t>宗；</w:t>
      </w:r>
      <w:r>
        <w:rPr>
          <w:rFonts w:hint="eastAsia"/>
        </w:rPr>
        <w:t>制定高龄困难老人津贴方案，</w:t>
      </w:r>
      <w:r>
        <w:t>80-89岁困难老人每</w:t>
      </w:r>
      <w:r>
        <w:rPr>
          <w:rFonts w:hint="eastAsia"/>
        </w:rPr>
        <w:t>人每月</w:t>
      </w:r>
      <w:r>
        <w:t>20元、90-99岁每人每月30元，100岁以</w:t>
      </w:r>
      <w:r>
        <w:rPr>
          <w:rFonts w:hint="eastAsia"/>
        </w:rPr>
        <w:t>上老人每人每月</w:t>
      </w:r>
      <w:r>
        <w:t>200元</w:t>
      </w:r>
      <w:r>
        <w:rPr>
          <w:rFonts w:hint="eastAsia"/>
          <w:lang w:eastAsia="zh-CN"/>
        </w:rPr>
        <w:t>。</w:t>
      </w:r>
    </w:p>
    <w:p w14:paraId="16D417BA">
      <w:pPr>
        <w:jc w:val="right"/>
        <w:rPr>
          <w:rFonts w:hint="eastAsia"/>
          <w:b/>
          <w:bCs/>
        </w:rPr>
      </w:pPr>
      <w:r>
        <w:rPr>
          <w:rFonts w:hint="eastAsia"/>
          <w:b/>
          <w:bCs/>
        </w:rPr>
        <w:t>（李</w:t>
      </w:r>
      <w:r>
        <w:rPr>
          <w:rFonts w:hint="eastAsia"/>
          <w:b/>
          <w:bCs/>
          <w:lang w:val="en-US" w:eastAsia="zh-CN"/>
        </w:rPr>
        <w:t xml:space="preserve">  </w:t>
      </w:r>
      <w:r>
        <w:rPr>
          <w:rFonts w:hint="eastAsia"/>
          <w:b/>
          <w:bCs/>
        </w:rPr>
        <w:t>根）</w:t>
      </w:r>
    </w:p>
    <w:p w14:paraId="0DCD08F9">
      <w:pPr>
        <w:pStyle w:val="10"/>
        <w:bidi w:val="0"/>
        <w:rPr>
          <w:b/>
          <w:bCs/>
        </w:rPr>
      </w:pPr>
      <w:r>
        <w:rPr>
          <w:rFonts w:hint="eastAsia"/>
          <w:b/>
          <w:bCs/>
        </w:rPr>
        <w:t>附：</w:t>
      </w:r>
      <w:r>
        <w:rPr>
          <w:b/>
          <w:bCs/>
        </w:rPr>
        <w:t>2013年市民政局领导班子成员名单</w:t>
      </w:r>
    </w:p>
    <w:p w14:paraId="1FBF7038">
      <w:pPr>
        <w:pStyle w:val="10"/>
        <w:bidi w:val="0"/>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尹本善</w:t>
      </w:r>
    </w:p>
    <w:p w14:paraId="641D4D5C">
      <w:pPr>
        <w:pStyle w:val="10"/>
        <w:bidi w:val="0"/>
        <w:rPr>
          <w:rFonts w:hint="eastAsia"/>
        </w:rPr>
      </w:pPr>
      <w:r>
        <w:rPr>
          <w:rFonts w:hint="eastAsia"/>
          <w:b/>
          <w:bCs/>
        </w:rPr>
        <w:t>副</w:t>
      </w:r>
      <w:r>
        <w:rPr>
          <w:rFonts w:hint="eastAsia"/>
          <w:b/>
          <w:bCs/>
          <w:lang w:val="en-US" w:eastAsia="zh-CN"/>
        </w:rPr>
        <w:t xml:space="preserve"> </w:t>
      </w:r>
      <w:r>
        <w:rPr>
          <w:rFonts w:hint="eastAsia"/>
          <w:b/>
          <w:bCs/>
        </w:rPr>
        <w:t>局</w:t>
      </w:r>
      <w:r>
        <w:rPr>
          <w:rFonts w:hint="eastAsia"/>
          <w:b/>
          <w:bCs/>
          <w:lang w:val="en-US" w:eastAsia="zh-CN"/>
        </w:rPr>
        <w:t xml:space="preserve"> </w:t>
      </w:r>
      <w:r>
        <w:rPr>
          <w:rFonts w:hint="eastAsia"/>
          <w:b/>
          <w:bCs/>
        </w:rPr>
        <w:t>长：</w:t>
      </w:r>
      <w:r>
        <w:rPr>
          <w:rFonts w:hint="eastAsia"/>
        </w:rPr>
        <w:t>刘文秀</w:t>
      </w:r>
      <w:r>
        <w:rPr>
          <w:rFonts w:hint="eastAsia"/>
          <w:lang w:val="en-US" w:eastAsia="zh-CN"/>
        </w:rPr>
        <w:t xml:space="preserve">  </w:t>
      </w:r>
      <w:r>
        <w:rPr>
          <w:rFonts w:hint="eastAsia"/>
        </w:rPr>
        <w:t>刘洪森</w:t>
      </w:r>
      <w:r>
        <w:rPr>
          <w:rFonts w:hint="eastAsia"/>
          <w:lang w:val="en-US" w:eastAsia="zh-CN"/>
        </w:rPr>
        <w:t xml:space="preserve">   </w:t>
      </w:r>
      <w:r>
        <w:rPr>
          <w:rFonts w:hint="eastAsia"/>
        </w:rPr>
        <w:t>吴</w:t>
      </w:r>
      <w:r>
        <w:rPr>
          <w:rFonts w:hint="eastAsia"/>
          <w:lang w:val="en-US" w:eastAsia="zh-CN"/>
        </w:rPr>
        <w:t xml:space="preserve">  </w:t>
      </w:r>
      <w:r>
        <w:rPr>
          <w:rFonts w:hint="eastAsia"/>
        </w:rPr>
        <w:t>勤</w:t>
      </w:r>
    </w:p>
    <w:p w14:paraId="6B7C1923">
      <w:pPr>
        <w:pStyle w:val="10"/>
        <w:bidi w:val="0"/>
      </w:pPr>
      <w:r>
        <w:rPr>
          <w:rFonts w:hint="eastAsia"/>
          <w:b/>
          <w:bCs/>
        </w:rPr>
        <w:t>纪检组长：</w:t>
      </w:r>
      <w:r>
        <w:rPr>
          <w:rFonts w:hint="eastAsia"/>
        </w:rPr>
        <w:t>孙振威（任至</w:t>
      </w:r>
      <w:r>
        <w:t>6月）</w:t>
      </w:r>
    </w:p>
    <w:p w14:paraId="151C2800">
      <w:pPr>
        <w:pStyle w:val="10"/>
        <w:bidi w:val="0"/>
        <w:ind w:firstLine="1050" w:firstLineChars="500"/>
      </w:pPr>
      <w:r>
        <w:rPr>
          <w:rFonts w:hint="eastAsia"/>
        </w:rPr>
        <w:t>邱建平（</w:t>
      </w:r>
      <w:r>
        <w:t>12月任）</w:t>
      </w:r>
    </w:p>
    <w:p w14:paraId="0A0E7C36">
      <w:pPr>
        <w:pStyle w:val="3"/>
        <w:bidi w:val="0"/>
        <w:rPr>
          <w:rFonts w:hint="default"/>
          <w:lang w:val="en-US" w:eastAsia="zh-CN"/>
        </w:rPr>
      </w:pPr>
      <w:r>
        <w:rPr>
          <w:rFonts w:hint="eastAsia"/>
          <w:lang w:val="en-US" w:eastAsia="zh-CN"/>
        </w:rPr>
        <w:t>关心下一代工作</w:t>
      </w:r>
    </w:p>
    <w:p w14:paraId="12527974">
      <w:pPr>
        <w:pStyle w:val="4"/>
        <w:bidi w:val="0"/>
        <w:rPr>
          <w:rFonts w:hint="eastAsia"/>
        </w:rPr>
      </w:pPr>
      <w:r>
        <w:rPr>
          <w:rFonts w:hint="eastAsia"/>
        </w:rPr>
        <w:t>【开展创“五好”关工委活动】</w:t>
      </w:r>
    </w:p>
    <w:p w14:paraId="7D74373C">
      <w:pPr>
        <w:rPr>
          <w:rFonts w:hint="eastAsia"/>
        </w:rPr>
      </w:pPr>
      <w:r>
        <w:rPr>
          <w:rFonts w:hint="eastAsia"/>
        </w:rPr>
        <w:t>根据创“五好”关工委工作要求，市关工委要求各基层关工委要注重研究如何配合党委中心工作，主动把关爱青少年工作融入当地思想文化建设、社会建设的活动中，成为当地精神文建设的重要力量。并把考评标准印发到基层关工委，督促各基层关工委做好“五老”队伍建设工作，制定出制度，积极的、经常的开展活动。营造学先进、当先进的良好氛围。一年来，各级党委、政府已把此项工作融入党建目标、精神文明建设规划和社会管理创新中。</w:t>
      </w:r>
    </w:p>
    <w:p w14:paraId="70F19872">
      <w:pPr>
        <w:pStyle w:val="4"/>
        <w:bidi w:val="0"/>
        <w:rPr>
          <w:rFonts w:hint="eastAsia"/>
        </w:rPr>
      </w:pPr>
      <w:r>
        <w:rPr>
          <w:rFonts w:hint="eastAsia"/>
        </w:rPr>
        <w:t>【创新德育形式】</w:t>
      </w:r>
    </w:p>
    <w:p w14:paraId="2CCBDBCC">
      <w:pPr>
        <w:rPr>
          <w:rFonts w:hint="eastAsia"/>
        </w:rPr>
      </w:pPr>
      <w:r>
        <w:rPr>
          <w:rFonts w:hint="eastAsia"/>
        </w:rPr>
        <w:t>为贯彻上级关工委关于</w:t>
      </w:r>
      <w:r>
        <w:t>2011</w:t>
      </w:r>
      <w:r>
        <w:rPr>
          <w:rFonts w:hint="eastAsia"/>
          <w:lang w:eastAsia="zh-CN"/>
        </w:rPr>
        <w:t>—</w:t>
      </w:r>
      <w:r>
        <w:t>2013年为“关心下一代工作基层年”的工作部署，</w:t>
      </w:r>
      <w:r>
        <w:rPr>
          <w:rFonts w:hint="eastAsia"/>
        </w:rPr>
        <w:t>市关工委深入到各中小学调研，协助学校进行德育创新。如联系澳门企业家出资购买德育图书《快乐由已》</w:t>
      </w:r>
      <w:r>
        <w:t>1000多本，赠送给黄坑中学师生。让学生在</w:t>
      </w:r>
      <w:r>
        <w:rPr>
          <w:rFonts w:hint="eastAsia"/>
        </w:rPr>
        <w:t>书中吸取人生正能量，树立“以德立身、尚和求进”的精神。</w:t>
      </w:r>
    </w:p>
    <w:p w14:paraId="438B9697">
      <w:pPr>
        <w:pStyle w:val="4"/>
        <w:bidi w:val="0"/>
        <w:rPr>
          <w:rFonts w:hint="eastAsia"/>
        </w:rPr>
      </w:pPr>
      <w:r>
        <w:rPr>
          <w:rFonts w:hint="eastAsia"/>
          <w:lang w:eastAsia="zh-CN"/>
        </w:rPr>
        <w:t>【</w:t>
      </w:r>
      <w:r>
        <w:rPr>
          <w:rFonts w:hint="eastAsia"/>
        </w:rPr>
        <w:t>宣传工作】</w:t>
      </w:r>
    </w:p>
    <w:p w14:paraId="64A3839F">
      <w:pPr>
        <w:rPr>
          <w:rFonts w:hint="eastAsia"/>
          <w:lang w:val="en-US" w:eastAsia="zh-CN"/>
        </w:rPr>
      </w:pPr>
      <w:r>
        <w:rPr>
          <w:rFonts w:hint="eastAsia"/>
        </w:rPr>
        <w:t>坚持以宣传栏和办刊物的形式向社会</w:t>
      </w:r>
      <w:r>
        <w:rPr>
          <w:rFonts w:hint="eastAsia"/>
          <w:lang w:eastAsia="zh-CN"/>
        </w:rPr>
        <w:t>宣</w:t>
      </w:r>
      <w:r>
        <w:rPr>
          <w:rFonts w:hint="eastAsia"/>
        </w:rPr>
        <w:t>传党对关心下一代工作的指示精神及各级关工委的活动和做法。</w:t>
      </w:r>
      <w:r>
        <w:t>2013年，分别在迎宾馆、青云桥</w:t>
      </w:r>
      <w:r>
        <w:rPr>
          <w:rFonts w:hint="eastAsia"/>
        </w:rPr>
        <w:t>头等处出版</w:t>
      </w:r>
      <w:r>
        <w:t>3期板报。出版4期《骄阳》，反映关</w:t>
      </w:r>
      <w:r>
        <w:rPr>
          <w:rFonts w:hint="eastAsia"/>
          <w:lang w:val="en-US" w:eastAsia="zh-CN"/>
        </w:rPr>
        <w:t>工</w:t>
      </w:r>
      <w:r>
        <w:rPr>
          <w:rFonts w:hint="eastAsia"/>
        </w:rPr>
        <w:t>工作动态，介绍基层关工做法，推广先进经验。其中佳文有《书包零食：小心“中毒”》、《梁高山的“高山景行”》、《从“浪子”到模范：一个山区创业青年的华丽转身》</w:t>
      </w:r>
      <w:r>
        <w:rPr>
          <w:rFonts w:hint="eastAsia"/>
          <w:lang w:val="en-US" w:eastAsia="zh-CN"/>
        </w:rPr>
        <w:t>等。</w:t>
      </w:r>
    </w:p>
    <w:p w14:paraId="205A4F44">
      <w:pPr>
        <w:pStyle w:val="4"/>
        <w:bidi w:val="0"/>
        <w:rPr>
          <w:rFonts w:hint="eastAsia"/>
        </w:rPr>
      </w:pPr>
      <w:r>
        <w:rPr>
          <w:rFonts w:hint="eastAsia"/>
        </w:rPr>
        <w:t>【扶贫助学】</w:t>
      </w:r>
    </w:p>
    <w:p w14:paraId="4D92906C">
      <w:pPr>
        <w:rPr>
          <w:rFonts w:hint="eastAsia"/>
        </w:rPr>
      </w:pPr>
      <w:r>
        <w:t>2013年，市关工委利用南雄珠玑巷</w:t>
      </w:r>
      <w:r>
        <w:rPr>
          <w:rFonts w:hint="eastAsia"/>
        </w:rPr>
        <w:t>人文历史优势，发动珠玑巷后裔，参与“帮扶关爱工程”，捐资捐物，扶贫助学。如联系市内知名企业，采取一对一方式资助贫困学生</w:t>
      </w:r>
      <w:r>
        <w:t>2万元，珠玑联</w:t>
      </w:r>
      <w:r>
        <w:rPr>
          <w:rFonts w:hint="eastAsia"/>
        </w:rPr>
        <w:t>谊会支持资金</w:t>
      </w:r>
      <w:r>
        <w:t>10万元，帮助南雄中学购置学校教</w:t>
      </w:r>
      <w:r>
        <w:rPr>
          <w:rFonts w:hint="eastAsia"/>
        </w:rPr>
        <w:t>学楼电风扇。</w:t>
      </w:r>
    </w:p>
    <w:p w14:paraId="71DCA6A4">
      <w:pPr>
        <w:pStyle w:val="4"/>
        <w:bidi w:val="0"/>
        <w:rPr>
          <w:rFonts w:hint="eastAsia"/>
        </w:rPr>
      </w:pPr>
      <w:r>
        <w:rPr>
          <w:rFonts w:hint="eastAsia"/>
          <w:lang w:eastAsia="zh-CN"/>
        </w:rPr>
        <w:t>【</w:t>
      </w:r>
      <w:r>
        <w:rPr>
          <w:rFonts w:hint="eastAsia"/>
        </w:rPr>
        <w:t>创业培训】</w:t>
      </w:r>
    </w:p>
    <w:p w14:paraId="7F1F5E41">
      <w:pPr>
        <w:rPr>
          <w:rFonts w:hint="eastAsia"/>
        </w:rPr>
      </w:pPr>
      <w:r>
        <w:rPr>
          <w:rFonts w:hint="eastAsia"/>
        </w:rPr>
        <w:t>根据省、市关工委要求，举办</w:t>
      </w:r>
      <w:r>
        <w:t>1期</w:t>
      </w:r>
      <w:r>
        <w:rPr>
          <w:rFonts w:hint="eastAsia"/>
        </w:rPr>
        <w:t>“山区农村青少年创业培训班”，进行技术、经营管理方面的培训，引导青年扎根农村创业致富。结合南雄实际，培训内容除禽畜饲养技术外，新开课程有农产品认证及专业合作社知识，组织学员观看山东潍坊农业产业化经验介绍的影像资料，开阔学员视野，增强他们走共同致富意识。做好跟踪调研工作，深入到珠玑、邓坊、乌迳等地，及时帮助解决创业者困难。</w:t>
      </w:r>
    </w:p>
    <w:p w14:paraId="581540A6">
      <w:pPr>
        <w:jc w:val="right"/>
        <w:rPr>
          <w:rFonts w:hint="eastAsia"/>
          <w:b/>
          <w:bCs/>
        </w:rPr>
      </w:pPr>
      <w:r>
        <w:rPr>
          <w:rFonts w:hint="eastAsia"/>
          <w:b/>
          <w:bCs/>
        </w:rPr>
        <w:t>（董诗咏）</w:t>
      </w:r>
    </w:p>
    <w:p w14:paraId="1DDAEC34">
      <w:pPr>
        <w:pStyle w:val="10"/>
        <w:bidi w:val="0"/>
        <w:rPr>
          <w:b/>
          <w:bCs/>
        </w:rPr>
      </w:pPr>
      <w:r>
        <w:rPr>
          <w:rFonts w:hint="eastAsia"/>
          <w:b/>
          <w:bCs/>
        </w:rPr>
        <w:t>附：</w:t>
      </w:r>
      <w:r>
        <w:rPr>
          <w:b/>
          <w:bCs/>
        </w:rPr>
        <w:t>2013年市关工委领导班子成员名单</w:t>
      </w:r>
    </w:p>
    <w:p w14:paraId="252BE6FE">
      <w:pPr>
        <w:pStyle w:val="10"/>
        <w:bidi w:val="0"/>
        <w:rPr>
          <w:rFonts w:hint="eastAsia"/>
          <w:lang w:eastAsia="zh-CN"/>
        </w:rPr>
      </w:pPr>
      <w:r>
        <w:rPr>
          <w:rFonts w:hint="eastAsia"/>
          <w:b/>
          <w:bCs/>
        </w:rPr>
        <w:t>主</w:t>
      </w:r>
      <w:r>
        <w:rPr>
          <w:rFonts w:hint="eastAsia"/>
          <w:b/>
          <w:bCs/>
          <w:lang w:val="en-US" w:eastAsia="zh-CN"/>
        </w:rPr>
        <w:t xml:space="preserve">    </w:t>
      </w:r>
      <w:r>
        <w:rPr>
          <w:rFonts w:hint="eastAsia"/>
          <w:b/>
          <w:bCs/>
        </w:rPr>
        <w:t>任：</w:t>
      </w:r>
      <w:r>
        <w:rPr>
          <w:rFonts w:hint="eastAsia"/>
        </w:rPr>
        <w:t>丘德周（兼</w:t>
      </w:r>
      <w:r>
        <w:rPr>
          <w:rFonts w:hint="eastAsia"/>
          <w:lang w:eastAsia="zh-CN"/>
        </w:rPr>
        <w:t>）</w:t>
      </w:r>
    </w:p>
    <w:p w14:paraId="5C1E5DB7">
      <w:pPr>
        <w:pStyle w:val="10"/>
        <w:bidi w:val="0"/>
        <w:rPr>
          <w:rFonts w:hint="eastAsia"/>
        </w:rPr>
      </w:pPr>
      <w:r>
        <w:rPr>
          <w:rFonts w:hint="eastAsia"/>
          <w:b/>
          <w:bCs/>
        </w:rPr>
        <w:t>第二主任：</w:t>
      </w:r>
      <w:r>
        <w:rPr>
          <w:rFonts w:hint="eastAsia"/>
        </w:rPr>
        <w:t>叶济熊（兼）</w:t>
      </w:r>
    </w:p>
    <w:p w14:paraId="647398F0">
      <w:pPr>
        <w:pStyle w:val="10"/>
        <w:bidi w:val="0"/>
        <w:rPr>
          <w:rFonts w:hint="eastAsia"/>
        </w:rPr>
      </w:pPr>
      <w:r>
        <w:rPr>
          <w:rFonts w:hint="eastAsia"/>
          <w:b/>
          <w:bCs/>
        </w:rPr>
        <w:t>执行主任：</w:t>
      </w:r>
      <w:r>
        <w:rPr>
          <w:rFonts w:hint="eastAsia"/>
        </w:rPr>
        <w:t>衷玉华</w:t>
      </w:r>
    </w:p>
    <w:p w14:paraId="0A356BAF">
      <w:pPr>
        <w:pStyle w:val="10"/>
        <w:bidi w:val="0"/>
        <w:rPr>
          <w:rFonts w:hint="eastAsia"/>
        </w:rPr>
      </w:pPr>
      <w:r>
        <w:rPr>
          <w:rFonts w:hint="eastAsia"/>
          <w:b/>
          <w:bCs/>
        </w:rPr>
        <w:t>常务副主任：</w:t>
      </w:r>
      <w:r>
        <w:rPr>
          <w:rFonts w:hint="eastAsia"/>
        </w:rPr>
        <w:t>陈章分</w:t>
      </w:r>
    </w:p>
    <w:p w14:paraId="0063B94E">
      <w:pPr>
        <w:pStyle w:val="10"/>
        <w:bidi w:val="0"/>
        <w:rPr>
          <w:rFonts w:hint="eastAsia"/>
        </w:rPr>
      </w:pPr>
      <w:r>
        <w:rPr>
          <w:rFonts w:hint="eastAsia"/>
          <w:b/>
          <w:bCs/>
        </w:rPr>
        <w:t>副</w:t>
      </w:r>
      <w:r>
        <w:rPr>
          <w:rFonts w:hint="eastAsia"/>
          <w:b/>
          <w:bCs/>
          <w:lang w:val="en-US" w:eastAsia="zh-CN"/>
        </w:rPr>
        <w:t xml:space="preserve">  </w:t>
      </w:r>
      <w:r>
        <w:rPr>
          <w:rFonts w:hint="eastAsia"/>
          <w:b/>
          <w:bCs/>
        </w:rPr>
        <w:t>主</w:t>
      </w:r>
      <w:r>
        <w:rPr>
          <w:rFonts w:hint="eastAsia"/>
          <w:b/>
          <w:bCs/>
          <w:lang w:val="en-US" w:eastAsia="zh-CN"/>
        </w:rPr>
        <w:t xml:space="preserve">  </w:t>
      </w:r>
      <w:r>
        <w:rPr>
          <w:rFonts w:hint="eastAsia"/>
          <w:b/>
          <w:bCs/>
        </w:rPr>
        <w:t>任：</w:t>
      </w:r>
      <w:r>
        <w:rPr>
          <w:rFonts w:hint="eastAsia"/>
        </w:rPr>
        <w:t>李光洋</w:t>
      </w:r>
    </w:p>
    <w:p w14:paraId="4E975F0D">
      <w:pPr>
        <w:pStyle w:val="3"/>
        <w:bidi w:val="0"/>
        <w:rPr>
          <w:rFonts w:hint="default"/>
          <w:lang w:val="en-US" w:eastAsia="zh-CN"/>
        </w:rPr>
      </w:pPr>
      <w:r>
        <w:rPr>
          <w:rFonts w:hint="eastAsia"/>
          <w:lang w:val="en-US" w:eastAsia="zh-CN"/>
        </w:rPr>
        <w:t>老区建设促进会</w:t>
      </w:r>
    </w:p>
    <w:p w14:paraId="7455BFC4">
      <w:pPr>
        <w:pStyle w:val="4"/>
        <w:bidi w:val="0"/>
        <w:rPr>
          <w:rFonts w:hint="eastAsia"/>
        </w:rPr>
      </w:pPr>
      <w:r>
        <w:rPr>
          <w:rFonts w:hint="eastAsia"/>
        </w:rPr>
        <w:t>【概况】</w:t>
      </w:r>
    </w:p>
    <w:p w14:paraId="7F7BD4FD">
      <w:pPr>
        <w:rPr>
          <w:rFonts w:hint="eastAsia"/>
        </w:rPr>
      </w:pPr>
      <w:r>
        <w:rPr>
          <w:rFonts w:hint="eastAsia"/>
        </w:rPr>
        <w:t>为促进革命老区的建设和发展，经时任中共中央总书记江泽民同志亲自批示，于</w:t>
      </w:r>
      <w:r>
        <w:t>1990年7</w:t>
      </w:r>
      <w:r>
        <w:rPr>
          <w:rFonts w:hint="eastAsia"/>
        </w:rPr>
        <w:t>月建立中国老区建设促进会（简称中国老促会），在国家民政部正式注册登记的全国性社会团体，主要成员是从党政军领导机关退下来的老干部、老将军、老专家。相继各省市县成立机构。</w:t>
      </w:r>
    </w:p>
    <w:p w14:paraId="3C7050E6">
      <w:pPr>
        <w:rPr>
          <w:rFonts w:hint="eastAsia"/>
        </w:rPr>
      </w:pPr>
      <w:r>
        <w:rPr>
          <w:rFonts w:hint="eastAsia"/>
        </w:rPr>
        <w:t>现南雄市老区建设促进会为第五届理事会，于</w:t>
      </w:r>
      <w:r>
        <w:t>2011年11月18日换届，朱雄同志任会长，林树雄</w:t>
      </w:r>
      <w:r>
        <w:rPr>
          <w:rFonts w:hint="eastAsia"/>
        </w:rPr>
        <w:t>同志任常务副会长，陈仁麟同志任副会长，蓝师发同志任秘书长，与南雄市革命老区建设工作领导小组办公室合署办公。有名誉会长、顾问，理事</w:t>
      </w:r>
      <w:r>
        <w:t>51</w:t>
      </w:r>
      <w:r>
        <w:rPr>
          <w:rFonts w:hint="eastAsia"/>
        </w:rPr>
        <w:t>名。老促会的宗旨是全心全意为革命老区人民服务，协助党和政府促进革命老区的建设和发展。从</w:t>
      </w:r>
      <w:r>
        <w:t>2003年至2013年连续9年获全国老区建设宣传工</w:t>
      </w:r>
      <w:r>
        <w:rPr>
          <w:rFonts w:hint="eastAsia"/>
        </w:rPr>
        <w:t>作三等奖。</w:t>
      </w:r>
    </w:p>
    <w:p w14:paraId="5AC93A2A">
      <w:pPr>
        <w:pStyle w:val="4"/>
        <w:bidi w:val="0"/>
        <w:rPr>
          <w:rFonts w:hint="eastAsia"/>
        </w:rPr>
      </w:pPr>
      <w:r>
        <w:rPr>
          <w:rFonts w:hint="eastAsia"/>
          <w:lang w:eastAsia="zh-CN"/>
        </w:rPr>
        <w:t>【</w:t>
      </w:r>
      <w:r>
        <w:rPr>
          <w:rFonts w:hint="eastAsia"/>
        </w:rPr>
        <w:t>老区宣传】</w:t>
      </w:r>
    </w:p>
    <w:p w14:paraId="76A1FEFE">
      <w:pPr>
        <w:rPr>
          <w:rFonts w:hint="eastAsia"/>
        </w:rPr>
      </w:pPr>
      <w:r>
        <w:rPr>
          <w:rFonts w:hint="eastAsia"/>
        </w:rPr>
        <w:t>《源流》杂志是由广东省老促会主办的向全国发行、综合类期刊，其办刊宗旨是传承革命精神，建设崭新老区，是各级党政领导、老区工作者和社会各界了解老区的重要窗口和交流平台。</w:t>
      </w:r>
      <w:r>
        <w:t>2013年在《源流》杂志刊登文章20多篇，比</w:t>
      </w:r>
      <w:r>
        <w:rPr>
          <w:rFonts w:hint="eastAsia"/>
        </w:rPr>
        <w:t>较全面、详实的报道南雄广东重点革命老区，富有光荣的革命传统，充分展现南雄老区现代风采。在其创刊</w:t>
      </w:r>
      <w:r>
        <w:t>20周年大会上南雄老促会在会上作经验</w:t>
      </w:r>
      <w:r>
        <w:rPr>
          <w:rFonts w:hint="eastAsia"/>
        </w:rPr>
        <w:t>介绍。</w:t>
      </w:r>
    </w:p>
    <w:p w14:paraId="2C325AD4">
      <w:pPr>
        <w:pStyle w:val="4"/>
        <w:bidi w:val="0"/>
        <w:rPr>
          <w:rFonts w:hint="eastAsia"/>
        </w:rPr>
      </w:pPr>
      <w:r>
        <w:rPr>
          <w:rFonts w:hint="eastAsia"/>
        </w:rPr>
        <w:t>【革命烈士后裔助学金发放】</w:t>
      </w:r>
    </w:p>
    <w:p w14:paraId="29D0ACE8">
      <w:pPr>
        <w:rPr>
          <w:rFonts w:hint="eastAsia"/>
        </w:rPr>
      </w:pPr>
      <w:r>
        <w:rPr>
          <w:rFonts w:hint="eastAsia"/>
        </w:rPr>
        <w:t>按照韶关市老促会通知的要求，南雄市对革命烈士后裔在校大、中专生的情况进行了认真细致的核</w:t>
      </w:r>
      <w:r>
        <w:rPr>
          <w:rFonts w:hint="eastAsia"/>
          <w:lang w:eastAsia="zh-CN"/>
        </w:rPr>
        <w:t>查</w:t>
      </w:r>
      <w:r>
        <w:rPr>
          <w:rFonts w:hint="eastAsia"/>
        </w:rPr>
        <w:t>、统计工作，对家庭贫困的烈士后裔在校大、中专生申报至省市老促会，经审核批准的</w:t>
      </w:r>
      <w:r>
        <w:t>45名，受助者大专以上每位1900元、中专每位1300元发到学生家长，把党的</w:t>
      </w:r>
      <w:r>
        <w:rPr>
          <w:rFonts w:hint="eastAsia"/>
        </w:rPr>
        <w:t>温暖及时送到老区革命烈士后裔的心坎上。于</w:t>
      </w:r>
      <w:r>
        <w:t>10</w:t>
      </w:r>
      <w:r>
        <w:rPr>
          <w:rFonts w:hint="eastAsia"/>
        </w:rPr>
        <w:t>月</w:t>
      </w:r>
      <w:r>
        <w:t>29日在湖口镇、鸟迳镇、邓坊镇和珠玑镇等4</w:t>
      </w:r>
      <w:r>
        <w:rPr>
          <w:rFonts w:hint="eastAsia"/>
        </w:rPr>
        <w:t>个镇采用分片集中座谈形式进行发放。同时建立扶助档案。</w:t>
      </w:r>
    </w:p>
    <w:p w14:paraId="11C1EC94">
      <w:pPr>
        <w:pStyle w:val="4"/>
        <w:bidi w:val="0"/>
        <w:rPr>
          <w:rFonts w:hint="eastAsia"/>
        </w:rPr>
      </w:pPr>
      <w:r>
        <w:rPr>
          <w:rFonts w:hint="eastAsia"/>
        </w:rPr>
        <w:t>【会同韶</w:t>
      </w:r>
      <w:r>
        <w:rPr>
          <w:rFonts w:hint="eastAsia"/>
          <w:lang w:eastAsia="zh-CN"/>
        </w:rPr>
        <w:t>关</w:t>
      </w:r>
      <w:r>
        <w:rPr>
          <w:rFonts w:hint="eastAsia"/>
        </w:rPr>
        <w:t>市老促会联合调研老区工作】</w:t>
      </w:r>
    </w:p>
    <w:p w14:paraId="09017BD2">
      <w:pPr>
        <w:rPr>
          <w:rFonts w:hint="eastAsia"/>
        </w:rPr>
      </w:pPr>
      <w:r>
        <w:t>9月23</w:t>
      </w:r>
      <w:r>
        <w:rPr>
          <w:rFonts w:hint="eastAsia"/>
        </w:rPr>
        <w:t>日至</w:t>
      </w:r>
      <w:r>
        <w:t>26日，与韶关市老区工作检</w:t>
      </w:r>
      <w:r>
        <w:rPr>
          <w:rFonts w:hint="eastAsia"/>
          <w:lang w:eastAsia="zh-CN"/>
        </w:rPr>
        <w:t>查</w:t>
      </w:r>
      <w:r>
        <w:t>调研组一道，</w:t>
      </w:r>
      <w:r>
        <w:rPr>
          <w:rFonts w:hint="eastAsia"/>
        </w:rPr>
        <w:t>在交通运输局、水务局、教育局、发改局、卫生局、农业局、林业局、民政局、财政局、人社局、国土局、油山镇及上朔村、水口镇篛过村、湖口镇湖口村，采取座谈会、走村入户、现场考察等形式，对贯彻执行中共韶关市委、市人民政府〔</w:t>
      </w:r>
      <w:r>
        <w:t>2009〕1号文《关于进一步加强革命老区建设工</w:t>
      </w:r>
      <w:r>
        <w:rPr>
          <w:rFonts w:hint="eastAsia"/>
        </w:rPr>
        <w:t>作的实施意见》所做工作的做法、经验、成效及存在问题作出评估，并对今后工作做出具体部署、提出意见建议，写出联合专题报告报市委市政府及上级有关部门。</w:t>
      </w:r>
    </w:p>
    <w:p w14:paraId="301B4BD4">
      <w:pPr>
        <w:pStyle w:val="4"/>
        <w:bidi w:val="0"/>
        <w:rPr>
          <w:rFonts w:hint="eastAsia"/>
        </w:rPr>
      </w:pPr>
      <w:r>
        <w:rPr>
          <w:rFonts w:hint="eastAsia"/>
        </w:rPr>
        <w:t>【陈开枝会长关心原中央苏区政策享受工作】</w:t>
      </w:r>
    </w:p>
    <w:p w14:paraId="085E6032">
      <w:pPr>
        <w:rPr>
          <w:rFonts w:hint="eastAsia"/>
        </w:rPr>
      </w:pPr>
      <w:r>
        <w:t>10</w:t>
      </w:r>
      <w:r>
        <w:rPr>
          <w:rFonts w:hint="eastAsia"/>
        </w:rPr>
        <w:t>月间，认真准备省老促会陈开枝会长一行来雄调研，工作做细、到位，调研质量较高。主动配合做好争取中央对广东“中央苏区县”的优惠政策尽快落实。</w:t>
      </w:r>
    </w:p>
    <w:p w14:paraId="5A08EBBD">
      <w:pPr>
        <w:pStyle w:val="4"/>
        <w:bidi w:val="0"/>
        <w:rPr>
          <w:rFonts w:hint="eastAsia"/>
        </w:rPr>
      </w:pPr>
      <w:r>
        <w:rPr>
          <w:rFonts w:hint="eastAsia"/>
        </w:rPr>
        <w:t>【爱国主义教育基地】</w:t>
      </w:r>
    </w:p>
    <w:p w14:paraId="4BF83DE3">
      <w:pPr>
        <w:rPr>
          <w:rFonts w:hint="eastAsia"/>
        </w:rPr>
      </w:pPr>
      <w:r>
        <w:rPr>
          <w:rFonts w:hint="eastAsia"/>
        </w:rPr>
        <w:t>完成油山廖地“油山会师”</w:t>
      </w:r>
      <w:r>
        <w:rPr>
          <w:rFonts w:hint="eastAsia"/>
          <w:lang w:val="en-US" w:eastAsia="zh-CN"/>
        </w:rPr>
        <w:t>旧</w:t>
      </w:r>
      <w:r>
        <w:rPr>
          <w:rFonts w:hint="eastAsia"/>
        </w:rPr>
        <w:t>址和湖口古坑“中共南雄（中心）县委”旧址两处爱国主义教育基地建设，并举行挂牌仪式。</w:t>
      </w:r>
    </w:p>
    <w:p w14:paraId="5F3FCB2C">
      <w:pPr>
        <w:pStyle w:val="4"/>
        <w:bidi w:val="0"/>
        <w:rPr>
          <w:rFonts w:hint="eastAsia"/>
        </w:rPr>
      </w:pPr>
      <w:r>
        <w:rPr>
          <w:rFonts w:hint="eastAsia"/>
          <w:lang w:eastAsia="zh-CN"/>
        </w:rPr>
        <w:t>【</w:t>
      </w:r>
      <w:r>
        <w:rPr>
          <w:rFonts w:hint="eastAsia"/>
        </w:rPr>
        <w:t>重点老区镇村核</w:t>
      </w:r>
      <w:r>
        <w:rPr>
          <w:rFonts w:hint="eastAsia"/>
          <w:lang w:eastAsia="zh-CN"/>
        </w:rPr>
        <w:t>查</w:t>
      </w:r>
      <w:r>
        <w:rPr>
          <w:rFonts w:hint="eastAsia"/>
        </w:rPr>
        <w:t>申报】</w:t>
      </w:r>
    </w:p>
    <w:p w14:paraId="6F1CF435">
      <w:pPr>
        <w:rPr>
          <w:rFonts w:hint="eastAsia"/>
        </w:rPr>
      </w:pPr>
      <w:r>
        <w:rPr>
          <w:rFonts w:hint="eastAsia"/>
        </w:rPr>
        <w:t>根据韶关市老促会部署，制定《确认重点老区镇、村工作方案》，以</w:t>
      </w:r>
      <w:r>
        <w:t>1997年9月广东省民政厅编印的《广东省革命老区</w:t>
      </w:r>
      <w:r>
        <w:rPr>
          <w:rFonts w:hint="eastAsia"/>
        </w:rPr>
        <w:t>村庄名册》和</w:t>
      </w:r>
      <w:r>
        <w:t>2009年10月韶关市老区建设领导小</w:t>
      </w:r>
      <w:r>
        <w:rPr>
          <w:rFonts w:hint="eastAsia"/>
        </w:rPr>
        <w:t>组办公室和韶关市老区建设促进会联合编印的《</w:t>
      </w:r>
      <w:r>
        <w:rPr>
          <w:rFonts w:hint="eastAsia"/>
          <w:lang w:val="en-US" w:eastAsia="zh-CN"/>
        </w:rPr>
        <w:t>广</w:t>
      </w:r>
      <w:r>
        <w:rPr>
          <w:rFonts w:hint="eastAsia"/>
        </w:rPr>
        <w:t>东省韶关市革命老区镇村名录》的历史资料为基础，结合佐证历史史料（验原件后收复印件）为操作依据，以“实事求是”为原则尊重史实、保护历史资源，翔实核实资料，分类型、分时期、系统</w:t>
      </w:r>
      <w:r>
        <w:rPr>
          <w:rFonts w:hint="eastAsia"/>
          <w:lang w:eastAsia="zh-CN"/>
        </w:rPr>
        <w:t>、</w:t>
      </w:r>
      <w:r>
        <w:rPr>
          <w:rFonts w:hint="eastAsia"/>
        </w:rPr>
        <w:t>全面、清晰反映真实情况，全面汇总，逐级上报我市重点老区市情况，为今后向中央有关部委和省委、省政府争取享受政策扶持的主要依据。</w:t>
      </w:r>
    </w:p>
    <w:p w14:paraId="42F2BD0C">
      <w:pPr>
        <w:pStyle w:val="4"/>
        <w:bidi w:val="0"/>
        <w:rPr>
          <w:rFonts w:hint="eastAsia"/>
        </w:rPr>
      </w:pPr>
      <w:r>
        <w:rPr>
          <w:rFonts w:hint="eastAsia"/>
        </w:rPr>
        <w:t>【落实中央彩票公益金扶持老区试点工作】</w:t>
      </w:r>
    </w:p>
    <w:p w14:paraId="6FE7E943">
      <w:pPr>
        <w:rPr>
          <w:rFonts w:hint="eastAsia"/>
        </w:rPr>
      </w:pPr>
      <w:r>
        <w:t>2013</w:t>
      </w:r>
      <w:r>
        <w:rPr>
          <w:rFonts w:hint="eastAsia"/>
        </w:rPr>
        <w:t>年，国家彩票公益金扶持老区试点工作全面启动</w:t>
      </w:r>
      <w:r>
        <w:rPr>
          <w:rFonts w:hint="eastAsia"/>
          <w:lang w:eastAsia="zh-CN"/>
        </w:rPr>
        <w:t>，</w:t>
      </w:r>
      <w:r>
        <w:rPr>
          <w:rFonts w:hint="eastAsia"/>
        </w:rPr>
        <w:t>跟进工程和相关资料。</w:t>
      </w:r>
    </w:p>
    <w:p w14:paraId="20811BAA">
      <w:pPr>
        <w:pStyle w:val="4"/>
        <w:bidi w:val="0"/>
        <w:rPr>
          <w:rFonts w:hint="eastAsia"/>
        </w:rPr>
      </w:pPr>
      <w:r>
        <w:rPr>
          <w:rFonts w:hint="eastAsia"/>
        </w:rPr>
        <w:t>【老区发展专项资金项目监管】</w:t>
      </w:r>
    </w:p>
    <w:p w14:paraId="7CFA38E1">
      <w:pPr>
        <w:rPr>
          <w:rFonts w:hint="eastAsia"/>
        </w:rPr>
      </w:pPr>
      <w:r>
        <w:rPr>
          <w:rFonts w:hint="eastAsia"/>
        </w:rPr>
        <w:t>老促会积极主动、千方百计向各方面筹措资金，帮助老区人民解决生</w:t>
      </w:r>
      <w:r>
        <w:rPr>
          <w:rFonts w:hint="eastAsia"/>
          <w:lang w:eastAsia="zh-CN"/>
        </w:rPr>
        <w:t>产、</w:t>
      </w:r>
      <w:r>
        <w:rPr>
          <w:rFonts w:hint="eastAsia"/>
        </w:rPr>
        <w:t>生活中的实际困难。</w:t>
      </w:r>
      <w:r>
        <w:t>2013年，争取省老区扶贫</w:t>
      </w:r>
      <w:r>
        <w:rPr>
          <w:rFonts w:hint="eastAsia"/>
        </w:rPr>
        <w:t>公路补助款</w:t>
      </w:r>
      <w:r>
        <w:t>10万元，韶关市老区建设专项资金38</w:t>
      </w:r>
      <w:r>
        <w:rPr>
          <w:rFonts w:hint="eastAsia"/>
        </w:rPr>
        <w:t>万元，烈士后裔助学金</w:t>
      </w:r>
      <w:r>
        <w:t>6.3万元，南雄财政专项资</w:t>
      </w:r>
      <w:r>
        <w:rPr>
          <w:rFonts w:hint="eastAsia"/>
        </w:rPr>
        <w:t>金</w:t>
      </w:r>
      <w:r>
        <w:t>50万元，用于扶持老区村道、桥梁建设24宗，</w:t>
      </w:r>
      <w:r>
        <w:rPr>
          <w:rFonts w:hint="eastAsia"/>
        </w:rPr>
        <w:t>爱国主义教育基地建设</w:t>
      </w:r>
      <w:r>
        <w:t>2宗。对争取到的资金，做</w:t>
      </w:r>
      <w:r>
        <w:rPr>
          <w:rFonts w:hint="eastAsia"/>
        </w:rPr>
        <w:t>到“点点到”及时检</w:t>
      </w:r>
      <w:r>
        <w:rPr>
          <w:rFonts w:hint="eastAsia"/>
          <w:lang w:eastAsia="zh-CN"/>
        </w:rPr>
        <w:t>查</w:t>
      </w:r>
      <w:r>
        <w:rPr>
          <w:rFonts w:hint="eastAsia"/>
        </w:rPr>
        <w:t>和核实，加强资金监管，将专项资金落实到位到项目，发挥扶持资金的绩效，改善老区生产生活条件和发展环境。</w:t>
      </w:r>
    </w:p>
    <w:p w14:paraId="6B74C5B7">
      <w:pPr>
        <w:pStyle w:val="4"/>
        <w:bidi w:val="0"/>
        <w:rPr>
          <w:rFonts w:hint="eastAsia"/>
        </w:rPr>
      </w:pPr>
      <w:r>
        <w:rPr>
          <w:rFonts w:hint="eastAsia"/>
        </w:rPr>
        <w:t>【老区档案】</w:t>
      </w:r>
    </w:p>
    <w:p w14:paraId="4054B9C2">
      <w:pPr>
        <w:rPr>
          <w:rFonts w:hint="eastAsia"/>
        </w:rPr>
      </w:pPr>
      <w:r>
        <w:rPr>
          <w:rFonts w:hint="eastAsia"/>
        </w:rPr>
        <w:t>整理、归类各种资料，建立档案，保护历史资源。</w:t>
      </w:r>
    </w:p>
    <w:p w14:paraId="5C6C3CCD">
      <w:pPr>
        <w:pStyle w:val="4"/>
        <w:bidi w:val="0"/>
        <w:rPr>
          <w:rFonts w:hint="eastAsia"/>
        </w:rPr>
      </w:pPr>
      <w:r>
        <w:rPr>
          <w:rFonts w:hint="eastAsia"/>
        </w:rPr>
        <w:t>【市人大代表建议答复工作】</w:t>
      </w:r>
    </w:p>
    <w:p w14:paraId="56E2175A">
      <w:pPr>
        <w:rPr>
          <w:rFonts w:hint="eastAsia"/>
        </w:rPr>
      </w:pPr>
      <w:r>
        <w:rPr>
          <w:rFonts w:hint="eastAsia"/>
        </w:rPr>
        <w:t>答复对人大代表《关于对南雄革命历史遗址进行修复的建议》一件。</w:t>
      </w:r>
    </w:p>
    <w:p w14:paraId="03541012">
      <w:pPr>
        <w:jc w:val="right"/>
        <w:rPr>
          <w:rFonts w:hint="eastAsia"/>
          <w:b/>
          <w:bCs/>
          <w:lang w:eastAsia="zh-CN"/>
        </w:rPr>
      </w:pPr>
      <w:r>
        <w:rPr>
          <w:rFonts w:hint="eastAsia"/>
          <w:b/>
          <w:bCs/>
        </w:rPr>
        <w:t>（蓝师发</w:t>
      </w:r>
      <w:r>
        <w:rPr>
          <w:rFonts w:hint="eastAsia"/>
          <w:b/>
          <w:bCs/>
          <w:lang w:eastAsia="zh-CN"/>
        </w:rPr>
        <w:t>）</w:t>
      </w:r>
    </w:p>
    <w:p w14:paraId="160553FF">
      <w:pPr>
        <w:pStyle w:val="10"/>
        <w:bidi w:val="0"/>
        <w:rPr>
          <w:b/>
          <w:bCs/>
        </w:rPr>
      </w:pPr>
      <w:r>
        <w:rPr>
          <w:rFonts w:hint="eastAsia"/>
          <w:b/>
          <w:bCs/>
        </w:rPr>
        <w:t>附：</w:t>
      </w:r>
      <w:r>
        <w:rPr>
          <w:b/>
          <w:bCs/>
        </w:rPr>
        <w:t>2012年市老区建设促进会班子成员名单</w:t>
      </w:r>
    </w:p>
    <w:p w14:paraId="66AC51A9">
      <w:pPr>
        <w:pStyle w:val="10"/>
        <w:bidi w:val="0"/>
        <w:rPr>
          <w:rFonts w:hint="eastAsia"/>
        </w:rPr>
      </w:pPr>
      <w:r>
        <w:rPr>
          <w:rFonts w:hint="eastAsia"/>
          <w:b/>
          <w:bCs/>
        </w:rPr>
        <w:t>会</w:t>
      </w:r>
      <w:r>
        <w:rPr>
          <w:rFonts w:hint="eastAsia"/>
          <w:b/>
          <w:bCs/>
          <w:lang w:val="en-US" w:eastAsia="zh-CN"/>
        </w:rPr>
        <w:t xml:space="preserve">  </w:t>
      </w:r>
      <w:r>
        <w:rPr>
          <w:rFonts w:hint="eastAsia"/>
          <w:b/>
          <w:bCs/>
        </w:rPr>
        <w:t>长：</w:t>
      </w:r>
      <w:r>
        <w:rPr>
          <w:rFonts w:hint="eastAsia"/>
        </w:rPr>
        <w:t>朱</w:t>
      </w:r>
      <w:r>
        <w:rPr>
          <w:rFonts w:hint="eastAsia"/>
          <w:lang w:val="en-US" w:eastAsia="zh-CN"/>
        </w:rPr>
        <w:t xml:space="preserve">  </w:t>
      </w:r>
      <w:r>
        <w:rPr>
          <w:rFonts w:hint="eastAsia"/>
        </w:rPr>
        <w:t>雄</w:t>
      </w:r>
    </w:p>
    <w:p w14:paraId="3D024C5E">
      <w:pPr>
        <w:pStyle w:val="10"/>
        <w:bidi w:val="0"/>
        <w:rPr>
          <w:rFonts w:hint="eastAsia"/>
        </w:rPr>
      </w:pPr>
      <w:r>
        <w:rPr>
          <w:rFonts w:hint="eastAsia"/>
          <w:b/>
          <w:bCs/>
        </w:rPr>
        <w:t>常务副会长：</w:t>
      </w:r>
      <w:r>
        <w:rPr>
          <w:rFonts w:hint="eastAsia"/>
        </w:rPr>
        <w:t>林树雄</w:t>
      </w:r>
    </w:p>
    <w:p w14:paraId="02A2C736">
      <w:pPr>
        <w:pStyle w:val="10"/>
        <w:bidi w:val="0"/>
        <w:rPr>
          <w:rFonts w:hint="eastAsia"/>
        </w:rPr>
      </w:pPr>
      <w:r>
        <w:rPr>
          <w:rFonts w:hint="eastAsia"/>
          <w:b/>
          <w:bCs/>
        </w:rPr>
        <w:t>副会长：</w:t>
      </w:r>
      <w:r>
        <w:rPr>
          <w:rFonts w:hint="eastAsia"/>
        </w:rPr>
        <w:t>陈仁麟</w:t>
      </w:r>
    </w:p>
    <w:p w14:paraId="7F9CFF2A">
      <w:pPr>
        <w:pStyle w:val="10"/>
        <w:bidi w:val="0"/>
        <w:rPr>
          <w:rFonts w:hint="eastAsia"/>
        </w:rPr>
      </w:pPr>
      <w:r>
        <w:rPr>
          <w:rFonts w:hint="eastAsia"/>
          <w:b/>
          <w:bCs/>
        </w:rPr>
        <w:t>秘书长：</w:t>
      </w:r>
      <w:r>
        <w:rPr>
          <w:rFonts w:hint="eastAsia"/>
        </w:rPr>
        <w:t>蓝师发</w:t>
      </w:r>
    </w:p>
    <w:p w14:paraId="5DB5B5F9">
      <w:pPr>
        <w:pStyle w:val="2"/>
        <w:bidi w:val="0"/>
        <w:rPr>
          <w:rFonts w:hint="eastAsia"/>
          <w:lang w:eastAsia="zh-CN"/>
        </w:rPr>
      </w:pPr>
      <w:r>
        <w:rPr>
          <w:rFonts w:hint="eastAsia"/>
        </w:rPr>
        <w:t>镇（街道</w:t>
      </w:r>
      <w:r>
        <w:rPr>
          <w:rFonts w:hint="eastAsia"/>
          <w:lang w:eastAsia="zh-CN"/>
        </w:rPr>
        <w:t>）</w:t>
      </w:r>
    </w:p>
    <w:p w14:paraId="3478D1F3">
      <w:pPr>
        <w:pStyle w:val="3"/>
        <w:bidi w:val="0"/>
        <w:rPr>
          <w:rFonts w:hint="default" w:eastAsia="宋体"/>
          <w:lang w:val="en-US" w:eastAsia="zh-CN"/>
        </w:rPr>
      </w:pPr>
      <w:r>
        <w:rPr>
          <w:rFonts w:hint="eastAsia"/>
          <w:lang w:val="en-US" w:eastAsia="zh-CN"/>
        </w:rPr>
        <w:t>雄州街道</w:t>
      </w:r>
    </w:p>
    <w:p w14:paraId="18E88FC2">
      <w:pPr>
        <w:pStyle w:val="4"/>
        <w:bidi w:val="0"/>
        <w:rPr>
          <w:rFonts w:hint="eastAsia"/>
        </w:rPr>
      </w:pPr>
      <w:r>
        <w:rPr>
          <w:rFonts w:hint="eastAsia"/>
        </w:rPr>
        <w:t>【概况】</w:t>
      </w:r>
    </w:p>
    <w:p w14:paraId="68F38758">
      <w:pPr>
        <w:rPr>
          <w:rFonts w:hint="eastAsia"/>
        </w:rPr>
      </w:pPr>
      <w:r>
        <w:rPr>
          <w:rFonts w:hint="eastAsia"/>
        </w:rPr>
        <w:t>雄州街道位于浈江河与凌江河交叉汇合处。是南雄市政治、经济、文化、金融中心，也是</w:t>
      </w:r>
      <w:r>
        <w:rPr>
          <w:rFonts w:hint="eastAsia"/>
          <w:lang w:eastAsia="zh-CN"/>
        </w:rPr>
        <w:t>粤</w:t>
      </w:r>
      <w:r>
        <w:rPr>
          <w:rFonts w:hint="eastAsia"/>
        </w:rPr>
        <w:t>赣边区商业重镇。东与江头镇为邻，东北与珠玑、湖口两镇接壤，西北靠全安，西南与古市镇相连，南与主田镇为界。是南雄市人民政府的派出机构，下辖</w:t>
      </w:r>
      <w:r>
        <w:t>13个村委会和7个社区居委会，193个村</w:t>
      </w:r>
      <w:r>
        <w:rPr>
          <w:rFonts w:hint="eastAsia"/>
        </w:rPr>
        <w:t>民小组和</w:t>
      </w:r>
      <w:r>
        <w:t>84个居民小组。全街道共31529户，户</w:t>
      </w:r>
      <w:r>
        <w:rPr>
          <w:rFonts w:hint="eastAsia"/>
        </w:rPr>
        <w:t>籍人口</w:t>
      </w:r>
      <w:r>
        <w:t>84450人，常住人口102398人。区域内以红</w:t>
      </w:r>
      <w:r>
        <w:rPr>
          <w:rFonts w:hint="eastAsia"/>
        </w:rPr>
        <w:t>壤、黄壤、潮沙泥土的土壤为主，气候属于亚热带季风湿润气候区。总面积</w:t>
      </w:r>
      <w:r>
        <w:t>96.88平方公里，其中耕</w:t>
      </w:r>
      <w:r>
        <w:rPr>
          <w:rFonts w:hint="eastAsia"/>
        </w:rPr>
        <w:t>地</w:t>
      </w:r>
      <w:r>
        <w:t>2115.73公顷，林地2797.2公顷。农业生产主要</w:t>
      </w:r>
      <w:r>
        <w:rPr>
          <w:rFonts w:hint="eastAsia"/>
        </w:rPr>
        <w:t>以种植黄烟、水稻、蔬菜、花生、瓜果，养殖鱼、猪等为主。交通便利，国道</w:t>
      </w:r>
      <w:r>
        <w:t>323线、省道342线、</w:t>
      </w:r>
      <w:r>
        <w:rPr>
          <w:rFonts w:hint="eastAsia"/>
        </w:rPr>
        <w:t>韶赣高速公路和在建的韶赣铁路穿境而过，基础设施良好，区位优势明显，宜商宜居。</w:t>
      </w:r>
    </w:p>
    <w:p w14:paraId="73B8B978">
      <w:pPr>
        <w:pStyle w:val="4"/>
        <w:bidi w:val="0"/>
        <w:rPr>
          <w:rFonts w:hint="eastAsia"/>
        </w:rPr>
      </w:pPr>
      <w:r>
        <w:rPr>
          <w:rFonts w:hint="eastAsia"/>
          <w:lang w:eastAsia="zh-CN"/>
        </w:rPr>
        <w:t>【</w:t>
      </w:r>
      <w:r>
        <w:rPr>
          <w:rFonts w:hint="eastAsia"/>
        </w:rPr>
        <w:t>经济社会发展】</w:t>
      </w:r>
    </w:p>
    <w:p w14:paraId="1BE0ECC6">
      <w:r>
        <w:t>2013年，雄州街道实现工农业</w:t>
      </w:r>
      <w:r>
        <w:rPr>
          <w:rFonts w:hint="eastAsia"/>
        </w:rPr>
        <w:t>总产值</w:t>
      </w:r>
      <w:r>
        <w:t>85201万元，比上年增长6%，其中工业总</w:t>
      </w:r>
      <w:r>
        <w:rPr>
          <w:rFonts w:hint="eastAsia"/>
        </w:rPr>
        <w:t>产值</w:t>
      </w:r>
      <w:r>
        <w:t>28468万元，比上年增长6%；农民人均纯收</w:t>
      </w:r>
      <w:r>
        <w:rPr>
          <w:rFonts w:hint="eastAsia"/>
        </w:rPr>
        <w:t>入</w:t>
      </w:r>
      <w:r>
        <w:t>7784元，比上年增长10%。种植烟叶749公顷，</w:t>
      </w:r>
      <w:r>
        <w:rPr>
          <w:rFonts w:hint="eastAsia"/>
        </w:rPr>
        <w:t>收购</w:t>
      </w:r>
      <w:r>
        <w:t>23966担，实现销售收入2995万元。粮食作物</w:t>
      </w:r>
      <w:r>
        <w:rPr>
          <w:rFonts w:hint="eastAsia"/>
        </w:rPr>
        <w:t>播种面积</w:t>
      </w:r>
      <w:r>
        <w:t>2427公顷，粮食总产量14156吨。蔬菜种</w:t>
      </w:r>
      <w:r>
        <w:rPr>
          <w:rFonts w:hint="eastAsia"/>
        </w:rPr>
        <w:t>植面积</w:t>
      </w:r>
      <w:r>
        <w:t>931公顷，总产量22821吨。肉类总产量2598吨，水产品产量1599吨。</w:t>
      </w:r>
    </w:p>
    <w:p w14:paraId="6275724C">
      <w:pPr>
        <w:pStyle w:val="4"/>
        <w:bidi w:val="0"/>
        <w:rPr>
          <w:rFonts w:hint="eastAsia"/>
        </w:rPr>
      </w:pPr>
      <w:r>
        <w:rPr>
          <w:rFonts w:hint="eastAsia"/>
        </w:rPr>
        <w:t>【社会事业发展】</w:t>
      </w:r>
    </w:p>
    <w:p w14:paraId="428F81D3">
      <w:pPr>
        <w:rPr>
          <w:rFonts w:hint="eastAsia"/>
          <w:lang w:eastAsia="zh-CN"/>
        </w:rPr>
      </w:pPr>
      <w:r>
        <w:rPr>
          <w:rFonts w:hint="eastAsia"/>
        </w:rPr>
        <w:t>雄州街道新农保参保人数</w:t>
      </w:r>
      <w:r>
        <w:t>12512人，参加城镇居民基本医疗保险25750人。2013年底止，全街道有城乡低保对象587户，1332</w:t>
      </w:r>
      <w:r>
        <w:rPr>
          <w:rFonts w:hint="eastAsia"/>
        </w:rPr>
        <w:t>人，散居五保</w:t>
      </w:r>
      <w:r>
        <w:t>120人，城乡最低保障金能及时足额</w:t>
      </w:r>
      <w:r>
        <w:rPr>
          <w:rFonts w:hint="eastAsia"/>
        </w:rPr>
        <w:t>发放到户。</w:t>
      </w:r>
      <w:r>
        <w:t>2013年全街道农村特困户医疗救助对象110人次，发放大病医疗救助款78万元。2013年</w:t>
      </w:r>
      <w:r>
        <w:rPr>
          <w:rFonts w:hint="eastAsia"/>
        </w:rPr>
        <w:t>城镇新增就业人数</w:t>
      </w:r>
      <w:r>
        <w:t>3509人，城镇失业人员再就业2711人，农村劳动力转移1130人</w:t>
      </w:r>
      <w:r>
        <w:rPr>
          <w:rFonts w:hint="eastAsia"/>
          <w:lang w:eastAsia="zh-CN"/>
        </w:rPr>
        <w:t>。</w:t>
      </w:r>
    </w:p>
    <w:p w14:paraId="719F82CB">
      <w:pPr>
        <w:pStyle w:val="4"/>
        <w:bidi w:val="0"/>
        <w:rPr>
          <w:rFonts w:hint="eastAsia"/>
        </w:rPr>
      </w:pPr>
      <w:r>
        <w:rPr>
          <w:rFonts w:hint="eastAsia"/>
        </w:rPr>
        <w:t>【信访维稳】</w:t>
      </w:r>
    </w:p>
    <w:p w14:paraId="3D1CBE28">
      <w:r>
        <w:rPr>
          <w:rFonts w:hint="eastAsia"/>
        </w:rPr>
        <w:t>抓好综治信访维稳工作，维护社会和谐稳定，全年排</w:t>
      </w:r>
      <w:r>
        <w:rPr>
          <w:rFonts w:hint="eastAsia"/>
          <w:lang w:eastAsia="zh-CN"/>
        </w:rPr>
        <w:t>查</w:t>
      </w:r>
      <w:r>
        <w:rPr>
          <w:rFonts w:hint="eastAsia"/>
        </w:rPr>
        <w:t>不安定因素</w:t>
      </w:r>
      <w:r>
        <w:t>93宗，调解率100%，成功率98.7%。接待群众法律咨询89宗100人次。</w:t>
      </w:r>
    </w:p>
    <w:p w14:paraId="31B6F7EC">
      <w:pPr>
        <w:pStyle w:val="4"/>
        <w:bidi w:val="0"/>
        <w:rPr>
          <w:rFonts w:hint="eastAsia"/>
        </w:rPr>
      </w:pPr>
      <w:r>
        <w:rPr>
          <w:rFonts w:hint="eastAsia"/>
        </w:rPr>
        <w:t>【计划生育】</w:t>
      </w:r>
    </w:p>
    <w:p w14:paraId="4C6D441B">
      <w:pPr>
        <w:rPr>
          <w:rFonts w:hint="eastAsia"/>
        </w:rPr>
      </w:pPr>
      <w:r>
        <w:rPr>
          <w:rFonts w:hint="eastAsia"/>
        </w:rPr>
        <w:t>以稳定低生育水平为目标，以加大宣传、加强学习培训、扩大便民服务范围、实行定岗定责为措施，提升人口计生工作水平。</w:t>
      </w:r>
      <w:r>
        <w:t>2013年街</w:t>
      </w:r>
      <w:r>
        <w:rPr>
          <w:rFonts w:hint="eastAsia"/>
        </w:rPr>
        <w:t>道计生和人口工作的各项检</w:t>
      </w:r>
      <w:r>
        <w:rPr>
          <w:rFonts w:hint="eastAsia"/>
          <w:lang w:eastAsia="zh-CN"/>
        </w:rPr>
        <w:t>查</w:t>
      </w:r>
      <w:r>
        <w:rPr>
          <w:rFonts w:hint="eastAsia"/>
        </w:rPr>
        <w:t>考核得到韶关市的高度评价。</w:t>
      </w:r>
    </w:p>
    <w:p w14:paraId="6A33290D">
      <w:pPr>
        <w:pStyle w:val="4"/>
        <w:bidi w:val="0"/>
        <w:rPr>
          <w:rFonts w:hint="eastAsia"/>
        </w:rPr>
      </w:pPr>
      <w:r>
        <w:rPr>
          <w:rFonts w:hint="eastAsia"/>
        </w:rPr>
        <w:t>【教育】</w:t>
      </w:r>
    </w:p>
    <w:p w14:paraId="5664E718">
      <w:pPr>
        <w:rPr>
          <w:rFonts w:hint="eastAsia"/>
        </w:rPr>
      </w:pPr>
      <w:r>
        <w:rPr>
          <w:rFonts w:hint="eastAsia"/>
        </w:rPr>
        <w:t>抓住创建教育强镇契机，加大学校布局调整的力度，实现集中优势资源办学的目标。现有小学</w:t>
      </w:r>
      <w:r>
        <w:t>13所，教职员工344人，在校学生6063人，</w:t>
      </w:r>
      <w:r>
        <w:rPr>
          <w:rFonts w:hint="eastAsia"/>
        </w:rPr>
        <w:t>学龄儿童人学率达</w:t>
      </w:r>
      <w:r>
        <w:t>100%。发挥教育资源的最大优</w:t>
      </w:r>
      <w:r>
        <w:rPr>
          <w:rFonts w:hint="eastAsia"/>
        </w:rPr>
        <w:t>势，教学质量名列全市前茅。</w:t>
      </w:r>
    </w:p>
    <w:p w14:paraId="2B01FFBC">
      <w:pPr>
        <w:pStyle w:val="4"/>
        <w:bidi w:val="0"/>
        <w:rPr>
          <w:rFonts w:hint="eastAsia"/>
        </w:rPr>
      </w:pPr>
      <w:r>
        <w:rPr>
          <w:rFonts w:hint="eastAsia"/>
        </w:rPr>
        <w:t>【扶贫双到工作】</w:t>
      </w:r>
    </w:p>
    <w:p w14:paraId="2D7EC4F0">
      <w:r>
        <w:rPr>
          <w:rFonts w:hint="eastAsia"/>
        </w:rPr>
        <w:t>一是抓好村委会的硬件与软件建设；二是完成农房改造任务，完成</w:t>
      </w:r>
      <w:r>
        <w:t>13户贫困户</w:t>
      </w:r>
      <w:r>
        <w:rPr>
          <w:rFonts w:hint="eastAsia"/>
        </w:rPr>
        <w:t>的住房改造并发放补助款</w:t>
      </w:r>
      <w:r>
        <w:t>19.5万元；三是各村农</w:t>
      </w:r>
      <w:r>
        <w:rPr>
          <w:rFonts w:hint="eastAsia"/>
        </w:rPr>
        <w:t>田水利设施已基本完善，</w:t>
      </w:r>
      <w:r>
        <w:t>300人以上的大自然村均</w:t>
      </w:r>
      <w:r>
        <w:rPr>
          <w:rFonts w:hint="eastAsia"/>
        </w:rPr>
        <w:t>已实现道路硬底化建设，并实现通电、通邮、通讯、通电视广播、卫生医疗站、垃圾收集设施、文化室、公厕、室外公共文体场所等设施基本完善。实现贫困户适龄子女普及义务教育入学率达</w:t>
      </w:r>
      <w:r>
        <w:t>100%</w:t>
      </w:r>
      <w:r>
        <w:rPr>
          <w:rFonts w:hint="eastAsia"/>
          <w:lang w:eastAsia="zh-CN"/>
        </w:rPr>
        <w:t>。</w:t>
      </w:r>
      <w:r>
        <w:rPr>
          <w:rFonts w:hint="eastAsia"/>
        </w:rPr>
        <w:t>同时，提高村集体经济收入及贫困户的经济收入，达到有劳动能力的贫困户</w:t>
      </w:r>
      <w:r>
        <w:t>100%脱贫。</w:t>
      </w:r>
    </w:p>
    <w:p w14:paraId="24949412">
      <w:pPr>
        <w:pStyle w:val="4"/>
        <w:bidi w:val="0"/>
        <w:rPr>
          <w:rFonts w:hint="eastAsia"/>
        </w:rPr>
      </w:pPr>
      <w:r>
        <w:rPr>
          <w:rFonts w:hint="eastAsia"/>
          <w:lang w:eastAsia="zh-CN"/>
        </w:rPr>
        <w:t>【</w:t>
      </w:r>
      <w:r>
        <w:rPr>
          <w:rFonts w:hint="eastAsia"/>
        </w:rPr>
        <w:t>党建工作】</w:t>
      </w:r>
    </w:p>
    <w:p w14:paraId="1CD35431">
      <w:pPr>
        <w:rPr>
          <w:rFonts w:hint="eastAsia"/>
        </w:rPr>
      </w:pPr>
      <w:r>
        <w:rPr>
          <w:rFonts w:hint="eastAsia"/>
        </w:rPr>
        <w:t>至</w:t>
      </w:r>
      <w:r>
        <w:t>2013年底，雄州街道党工委有党</w:t>
      </w:r>
      <w:r>
        <w:rPr>
          <w:rFonts w:hint="eastAsia"/>
        </w:rPr>
        <w:t>的基层组织</w:t>
      </w:r>
      <w:r>
        <w:t>35个，其中党总支1个，党支部34个，</w:t>
      </w:r>
      <w:r>
        <w:rPr>
          <w:rFonts w:hint="eastAsia"/>
        </w:rPr>
        <w:t>党员总数</w:t>
      </w:r>
      <w:r>
        <w:t>1921人，其中女党员532人，占27.9%。</w:t>
      </w:r>
      <w:r>
        <w:rPr>
          <w:rFonts w:hint="eastAsia"/>
        </w:rPr>
        <w:t>少数民族党员</w:t>
      </w:r>
      <w:r>
        <w:t>14名，占党员总数的0.7%。大专以</w:t>
      </w:r>
      <w:r>
        <w:rPr>
          <w:rFonts w:hint="eastAsia"/>
        </w:rPr>
        <w:t>上学历的党员</w:t>
      </w:r>
      <w:r>
        <w:t>395人，占20.7%。35岁以下党员339人，占17.8%。2013年新发展党员17人。党</w:t>
      </w:r>
      <w:r>
        <w:rPr>
          <w:rFonts w:hint="eastAsia"/>
        </w:rPr>
        <w:t>员的文化年龄结构进一步优化。开展党员双向承诺活动，充分发挥了党组织和广大党员服务群众、促进和谐稳定的先锋模范作用。</w:t>
      </w:r>
    </w:p>
    <w:p w14:paraId="04003DF1">
      <w:pPr>
        <w:pStyle w:val="4"/>
        <w:bidi w:val="0"/>
        <w:rPr>
          <w:rFonts w:hint="eastAsia"/>
        </w:rPr>
      </w:pPr>
      <w:r>
        <w:rPr>
          <w:rFonts w:hint="eastAsia"/>
        </w:rPr>
        <w:t>【社区管理】</w:t>
      </w:r>
    </w:p>
    <w:p w14:paraId="015472BC">
      <w:pPr>
        <w:rPr>
          <w:rFonts w:hint="eastAsia"/>
          <w:lang w:eastAsia="zh-CN"/>
        </w:rPr>
      </w:pPr>
      <w:r>
        <w:rPr>
          <w:rFonts w:hint="eastAsia"/>
        </w:rPr>
        <w:t>在八一社区被省科协评为科普示范社区，八一、民主、新城西和新城东社区被省民政局评为“六好”社区的基础上，继续抓好建国和胜利社区的创建工作。全年组织卫生突击行动</w:t>
      </w:r>
      <w:r>
        <w:t>12次，</w:t>
      </w:r>
      <w:r>
        <w:rPr>
          <w:rFonts w:hint="eastAsia"/>
        </w:rPr>
        <w:t>确保了城区内良好的卫生环境，给城市居民创造了</w:t>
      </w:r>
      <w:r>
        <w:rPr>
          <w:rFonts w:hint="eastAsia"/>
          <w:lang w:val="en-US" w:eastAsia="zh-CN"/>
        </w:rPr>
        <w:t>一</w:t>
      </w:r>
      <w:r>
        <w:rPr>
          <w:rFonts w:hint="eastAsia"/>
        </w:rPr>
        <w:t>个整洁、卫生、和谐、平安的居住环境</w:t>
      </w:r>
      <w:r>
        <w:rPr>
          <w:rFonts w:hint="eastAsia"/>
          <w:lang w:eastAsia="zh-CN"/>
        </w:rPr>
        <w:t>。</w:t>
      </w:r>
    </w:p>
    <w:p w14:paraId="6D8F46B9">
      <w:pPr>
        <w:pStyle w:val="4"/>
        <w:bidi w:val="0"/>
        <w:rPr>
          <w:rFonts w:hint="eastAsia"/>
        </w:rPr>
      </w:pPr>
      <w:r>
        <w:rPr>
          <w:rFonts w:hint="eastAsia"/>
        </w:rPr>
        <w:t>【名胜古迹】</w:t>
      </w:r>
    </w:p>
    <w:p w14:paraId="07155C1E">
      <w:pPr>
        <w:rPr>
          <w:rFonts w:hint="eastAsia"/>
        </w:rPr>
      </w:pPr>
      <w:r>
        <w:t>1、三影古塔。位于市区中心、浈江</w:t>
      </w:r>
      <w:r>
        <w:rPr>
          <w:rFonts w:hint="eastAsia"/>
        </w:rPr>
        <w:t>河畔，建于北宋大中祥符二年（公元</w:t>
      </w:r>
      <w:r>
        <w:t>1009年），是</w:t>
      </w:r>
      <w:r>
        <w:rPr>
          <w:rFonts w:hint="eastAsia"/>
        </w:rPr>
        <w:t>广东省唯一有绝对年代记载的宋塔，全国重点文物保护单位。登塔一临览，南雄古城风貌尽收眼底</w:t>
      </w:r>
      <w:r>
        <w:rPr>
          <w:rFonts w:hint="eastAsia"/>
          <w:lang w:eastAsia="zh-CN"/>
        </w:rPr>
        <w:t>；</w:t>
      </w:r>
      <w:r>
        <w:t>2、莲开净寺。坐落在南雄城南郊1公里浈江河南</w:t>
      </w:r>
      <w:r>
        <w:rPr>
          <w:rFonts w:hint="eastAsia"/>
        </w:rPr>
        <w:t>岸。殿堂庄明精雅，环境优美清静，为岭南尼众学佛修身的最大寺院，也是游人到此悟禅养性、领略佛教文化的好地方；</w:t>
      </w:r>
      <w:r>
        <w:t>3、广州会馆。位于辖区内浈</w:t>
      </w:r>
      <w:r>
        <w:rPr>
          <w:rFonts w:hint="eastAsia"/>
        </w:rPr>
        <w:t>江河畔的埠前街。该馆集中原与岭南地区民间建筑装饰艺术精华，建筑面积</w:t>
      </w:r>
      <w:r>
        <w:t>2086.6平方米，雕梁画</w:t>
      </w:r>
      <w:r>
        <w:rPr>
          <w:rFonts w:hint="eastAsia"/>
        </w:rPr>
        <w:t>栋、古雅精致，是一座酷似广州陈家祠式的古建筑。该馆始建于明代中叶，清乾隆二十一年（</w:t>
      </w:r>
      <w:r>
        <w:t>1756</w:t>
      </w:r>
      <w:r>
        <w:rPr>
          <w:rFonts w:hint="eastAsia"/>
        </w:rPr>
        <w:t>年）重建，清光绪七年（</w:t>
      </w:r>
      <w:r>
        <w:t>1881年）重修。是广东</w:t>
      </w:r>
      <w:r>
        <w:rPr>
          <w:rFonts w:hint="eastAsia"/>
        </w:rPr>
        <w:t>省级重点文物保护单位；</w:t>
      </w:r>
      <w:r>
        <w:t>4、省委机关办公旧址</w:t>
      </w:r>
      <w:r>
        <w:rPr>
          <w:rFonts w:hint="eastAsia"/>
        </w:rPr>
        <w:t>（瑶坑村）。位于雄州街道荆岗村委会。建于民国初，为当地农村民居建筑风格，泥砖和青砖混砌。瑶坑广东省机关旧址是中共广东省委卓越地领导全省地下党和广大群众进行抗日救亡斗争的光辉见证。是保存下来的新中国成立之前最早的广东省委旧址。</w:t>
      </w:r>
    </w:p>
    <w:p w14:paraId="78240FCF">
      <w:pPr>
        <w:pStyle w:val="4"/>
        <w:bidi w:val="0"/>
        <w:rPr>
          <w:rFonts w:hint="eastAsia"/>
        </w:rPr>
      </w:pPr>
      <w:r>
        <w:rPr>
          <w:rFonts w:hint="eastAsia"/>
        </w:rPr>
        <w:t>【各村委会（社区）基本情况】</w:t>
      </w:r>
    </w:p>
    <w:p w14:paraId="06A0D21C">
      <w:pPr>
        <w:pStyle w:val="10"/>
        <w:bidi w:val="0"/>
        <w:jc w:val="center"/>
        <w:rPr>
          <w:rFonts w:hint="eastAsia"/>
          <w:b/>
          <w:bCs/>
        </w:rPr>
      </w:pPr>
      <w:r>
        <w:rPr>
          <w:rFonts w:hint="eastAsia"/>
          <w:b/>
          <w:bCs/>
        </w:rPr>
        <w:t>2013年雄州街道各村委会（社区）基本情况表</w:t>
      </w:r>
    </w:p>
    <w:p w14:paraId="05289D5B">
      <w:pPr>
        <w:rPr>
          <w:rFonts w:hint="eastAsia"/>
          <w:lang w:val="en-US" w:eastAsia="zh-CN"/>
        </w:rPr>
      </w:pPr>
      <w:r>
        <w:rPr>
          <w:rFonts w:hint="eastAsia"/>
          <w:lang w:val="en-US" w:eastAsia="zh-CN"/>
        </w:rPr>
        <w:t>表34</w:t>
      </w:r>
    </w:p>
    <w:tbl>
      <w:tblPr>
        <w:tblStyle w:val="7"/>
        <w:tblW w:w="4978"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108" w:type="dxa"/>
          <w:bottom w:w="0" w:type="dxa"/>
          <w:right w:w="108" w:type="dxa"/>
        </w:tblCellMar>
      </w:tblPr>
      <w:tblGrid>
        <w:gridCol w:w="1284"/>
        <w:gridCol w:w="1326"/>
        <w:gridCol w:w="750"/>
        <w:gridCol w:w="953"/>
        <w:gridCol w:w="947"/>
        <w:gridCol w:w="997"/>
        <w:gridCol w:w="1054"/>
        <w:gridCol w:w="1288"/>
        <w:gridCol w:w="1319"/>
      </w:tblGrid>
      <w:tr w14:paraId="3DD2D31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1140" w:hRule="atLeast"/>
        </w:trPr>
        <w:tc>
          <w:tcPr>
            <w:tcW w:w="647" w:type="pct"/>
            <w:tcBorders>
              <w:top w:val="single" w:color="000000" w:sz="8" w:space="0"/>
              <w:bottom w:val="single" w:color="000000" w:sz="8" w:space="0"/>
              <w:right w:val="single" w:color="000000" w:sz="8" w:space="0"/>
            </w:tcBorders>
            <w:shd w:val="clear" w:color="auto" w:fill="FFFFFF"/>
            <w:noWrap w:val="0"/>
            <w:vAlign w:val="center"/>
          </w:tcPr>
          <w:p w14:paraId="782B9DA0">
            <w:pPr>
              <w:pStyle w:val="10"/>
              <w:bidi w:val="0"/>
              <w:jc w:val="center"/>
              <w:rPr>
                <w:b/>
                <w:bCs/>
                <w:color w:val="000000"/>
              </w:rPr>
            </w:pPr>
            <w:r>
              <w:rPr>
                <w:rFonts w:hint="eastAsia"/>
                <w:b/>
                <w:bCs/>
                <w:color w:val="000000"/>
              </w:rPr>
              <w:t>村(社区)名</w:t>
            </w:r>
          </w:p>
        </w:tc>
        <w:tc>
          <w:tcPr>
            <w:tcW w:w="6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4968E38">
            <w:pPr>
              <w:pStyle w:val="10"/>
              <w:bidi w:val="0"/>
              <w:jc w:val="center"/>
              <w:rPr>
                <w:b/>
                <w:bCs/>
                <w:color w:val="000000"/>
              </w:rPr>
            </w:pPr>
            <w:r>
              <w:rPr>
                <w:rFonts w:hint="eastAsia"/>
                <w:b/>
                <w:bCs/>
                <w:color w:val="000000"/>
              </w:rPr>
              <w:t>区域面积(平方公里)</w:t>
            </w:r>
          </w:p>
        </w:tc>
        <w:tc>
          <w:tcPr>
            <w:tcW w:w="3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319DA1A">
            <w:pPr>
              <w:pStyle w:val="10"/>
              <w:bidi w:val="0"/>
              <w:jc w:val="center"/>
              <w:rPr>
                <w:b/>
                <w:bCs/>
                <w:color w:val="000000"/>
              </w:rPr>
            </w:pPr>
            <w:r>
              <w:rPr>
                <w:rFonts w:hint="eastAsia"/>
                <w:b/>
                <w:bCs/>
                <w:color w:val="000000"/>
              </w:rPr>
              <w:t>户数(户)</w:t>
            </w:r>
          </w:p>
        </w:tc>
        <w:tc>
          <w:tcPr>
            <w:tcW w:w="4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15453BB">
            <w:pPr>
              <w:pStyle w:val="10"/>
              <w:bidi w:val="0"/>
              <w:jc w:val="center"/>
              <w:rPr>
                <w:b/>
                <w:bCs/>
                <w:color w:val="000000"/>
              </w:rPr>
            </w:pPr>
            <w:r>
              <w:rPr>
                <w:rFonts w:hint="eastAsia"/>
                <w:b/>
                <w:bCs/>
                <w:color w:val="000000"/>
              </w:rPr>
              <w:t>人口(人)</w:t>
            </w:r>
          </w:p>
        </w:tc>
        <w:tc>
          <w:tcPr>
            <w:tcW w:w="47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D86330D">
            <w:pPr>
              <w:pStyle w:val="10"/>
              <w:bidi w:val="0"/>
              <w:jc w:val="center"/>
              <w:rPr>
                <w:b/>
                <w:bCs/>
                <w:color w:val="000000"/>
              </w:rPr>
            </w:pPr>
            <w:r>
              <w:rPr>
                <w:rFonts w:hint="eastAsia"/>
                <w:b/>
                <w:bCs/>
                <w:color w:val="000000"/>
              </w:rPr>
              <w:t>耕地面积(亩)</w:t>
            </w:r>
          </w:p>
        </w:tc>
        <w:tc>
          <w:tcPr>
            <w:tcW w:w="50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8812992">
            <w:pPr>
              <w:pStyle w:val="10"/>
              <w:bidi w:val="0"/>
              <w:jc w:val="center"/>
              <w:rPr>
                <w:b/>
                <w:bCs/>
                <w:color w:val="000000"/>
              </w:rPr>
            </w:pPr>
            <w:r>
              <w:rPr>
                <w:rFonts w:hint="eastAsia"/>
                <w:b/>
                <w:bCs/>
                <w:color w:val="000000"/>
              </w:rPr>
              <w:t>其中水田(亩)</w:t>
            </w:r>
          </w:p>
        </w:tc>
        <w:tc>
          <w:tcPr>
            <w:tcW w:w="5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62B80EF">
            <w:pPr>
              <w:pStyle w:val="10"/>
              <w:bidi w:val="0"/>
              <w:jc w:val="center"/>
              <w:rPr>
                <w:b/>
                <w:bCs/>
                <w:color w:val="000000"/>
              </w:rPr>
            </w:pPr>
            <w:r>
              <w:rPr>
                <w:rFonts w:hint="eastAsia"/>
                <w:b/>
                <w:bCs/>
                <w:color w:val="000000"/>
              </w:rPr>
              <w:t>村小组数(个)</w:t>
            </w:r>
          </w:p>
        </w:tc>
        <w:tc>
          <w:tcPr>
            <w:tcW w:w="64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187E383">
            <w:pPr>
              <w:pStyle w:val="10"/>
              <w:bidi w:val="0"/>
              <w:jc w:val="center"/>
              <w:rPr>
                <w:b/>
                <w:bCs/>
                <w:color w:val="000000"/>
              </w:rPr>
            </w:pPr>
            <w:r>
              <w:rPr>
                <w:rFonts w:hint="eastAsia"/>
                <w:b/>
                <w:bCs/>
                <w:color w:val="000000"/>
              </w:rPr>
              <w:t>经济总收入(万元)</w:t>
            </w:r>
          </w:p>
        </w:tc>
        <w:tc>
          <w:tcPr>
            <w:tcW w:w="664" w:type="pct"/>
            <w:tcBorders>
              <w:top w:val="single" w:color="000000" w:sz="8" w:space="0"/>
              <w:left w:val="single" w:color="000000" w:sz="8" w:space="0"/>
              <w:bottom w:val="single" w:color="000000" w:sz="8" w:space="0"/>
            </w:tcBorders>
            <w:shd w:val="clear" w:color="auto" w:fill="FFFFFF"/>
            <w:noWrap w:val="0"/>
            <w:vAlign w:val="center"/>
          </w:tcPr>
          <w:p w14:paraId="6F953136">
            <w:pPr>
              <w:pStyle w:val="10"/>
              <w:bidi w:val="0"/>
              <w:jc w:val="center"/>
              <w:rPr>
                <w:b/>
                <w:bCs/>
                <w:color w:val="000000"/>
              </w:rPr>
            </w:pPr>
            <w:r>
              <w:rPr>
                <w:rFonts w:hint="eastAsia"/>
                <w:b/>
                <w:bCs/>
                <w:color w:val="000000"/>
              </w:rPr>
              <w:t>农民人均纯收入(元)</w:t>
            </w:r>
          </w:p>
        </w:tc>
      </w:tr>
      <w:tr w14:paraId="663FA82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495" w:hRule="atLeast"/>
        </w:trPr>
        <w:tc>
          <w:tcPr>
            <w:tcW w:w="647" w:type="pct"/>
            <w:tcBorders>
              <w:top w:val="single" w:color="000000" w:sz="8" w:space="0"/>
              <w:bottom w:val="single" w:color="000000" w:sz="8" w:space="0"/>
              <w:right w:val="single" w:color="000000" w:sz="8" w:space="0"/>
            </w:tcBorders>
            <w:shd w:val="clear" w:color="auto" w:fill="FFFFFF"/>
            <w:noWrap w:val="0"/>
            <w:vAlign w:val="center"/>
          </w:tcPr>
          <w:p w14:paraId="4A11217D">
            <w:pPr>
              <w:pStyle w:val="10"/>
              <w:bidi w:val="0"/>
              <w:jc w:val="center"/>
              <w:rPr>
                <w:color w:val="000000"/>
              </w:rPr>
            </w:pPr>
            <w:r>
              <w:rPr>
                <w:rFonts w:hint="eastAsia"/>
                <w:color w:val="000000"/>
              </w:rPr>
              <w:t>黎口村</w:t>
            </w:r>
          </w:p>
        </w:tc>
        <w:tc>
          <w:tcPr>
            <w:tcW w:w="6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43B3223">
            <w:pPr>
              <w:pStyle w:val="10"/>
              <w:bidi w:val="0"/>
              <w:jc w:val="center"/>
              <w:rPr>
                <w:rFonts w:hint="eastAsia"/>
                <w:color w:val="000000"/>
                <w:lang w:eastAsia="zh-CN"/>
              </w:rPr>
            </w:pPr>
            <w:r>
              <w:rPr>
                <w:rFonts w:hint="eastAsia"/>
                <w:color w:val="000000"/>
              </w:rPr>
              <w:t>5.75</w:t>
            </w:r>
          </w:p>
        </w:tc>
        <w:tc>
          <w:tcPr>
            <w:tcW w:w="3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04A681E">
            <w:pPr>
              <w:pStyle w:val="10"/>
              <w:bidi w:val="0"/>
              <w:jc w:val="center"/>
              <w:rPr>
                <w:rFonts w:hint="eastAsia"/>
                <w:color w:val="000000"/>
                <w:lang w:eastAsia="zh-CN"/>
              </w:rPr>
            </w:pPr>
            <w:r>
              <w:rPr>
                <w:rFonts w:hint="eastAsia"/>
                <w:color w:val="000000"/>
              </w:rPr>
              <w:t>997</w:t>
            </w:r>
          </w:p>
        </w:tc>
        <w:tc>
          <w:tcPr>
            <w:tcW w:w="4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613EF7B">
            <w:pPr>
              <w:pStyle w:val="10"/>
              <w:bidi w:val="0"/>
              <w:jc w:val="center"/>
              <w:rPr>
                <w:rFonts w:hint="eastAsia"/>
                <w:color w:val="000000"/>
                <w:lang w:eastAsia="zh-CN"/>
              </w:rPr>
            </w:pPr>
            <w:r>
              <w:rPr>
                <w:rFonts w:hint="eastAsia"/>
                <w:color w:val="000000"/>
              </w:rPr>
              <w:t>3247</w:t>
            </w:r>
          </w:p>
        </w:tc>
        <w:tc>
          <w:tcPr>
            <w:tcW w:w="47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841DCCF">
            <w:pPr>
              <w:pStyle w:val="10"/>
              <w:bidi w:val="0"/>
              <w:jc w:val="center"/>
              <w:rPr>
                <w:color w:val="000000"/>
              </w:rPr>
            </w:pPr>
            <w:r>
              <w:rPr>
                <w:rFonts w:hint="eastAsia"/>
                <w:color w:val="000000"/>
              </w:rPr>
              <w:t>1789</w:t>
            </w:r>
          </w:p>
        </w:tc>
        <w:tc>
          <w:tcPr>
            <w:tcW w:w="50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873DFEC">
            <w:pPr>
              <w:pStyle w:val="10"/>
              <w:bidi w:val="0"/>
              <w:jc w:val="center"/>
              <w:rPr>
                <w:color w:val="000000"/>
              </w:rPr>
            </w:pPr>
            <w:r>
              <w:rPr>
                <w:rFonts w:hint="eastAsia"/>
                <w:color w:val="000000"/>
              </w:rPr>
              <w:t>1425</w:t>
            </w:r>
          </w:p>
        </w:tc>
        <w:tc>
          <w:tcPr>
            <w:tcW w:w="5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3607B62">
            <w:pPr>
              <w:pStyle w:val="10"/>
              <w:bidi w:val="0"/>
              <w:jc w:val="center"/>
              <w:rPr>
                <w:rFonts w:hint="eastAsia"/>
                <w:color w:val="000000"/>
                <w:lang w:eastAsia="zh-CN"/>
              </w:rPr>
            </w:pPr>
            <w:r>
              <w:rPr>
                <w:rFonts w:hint="eastAsia"/>
                <w:color w:val="000000"/>
              </w:rPr>
              <w:t>12</w:t>
            </w:r>
          </w:p>
        </w:tc>
        <w:tc>
          <w:tcPr>
            <w:tcW w:w="64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FEB9166">
            <w:pPr>
              <w:pStyle w:val="10"/>
              <w:bidi w:val="0"/>
              <w:jc w:val="center"/>
              <w:rPr>
                <w:color w:val="000000"/>
              </w:rPr>
            </w:pPr>
            <w:r>
              <w:rPr>
                <w:rFonts w:hint="eastAsia"/>
                <w:color w:val="000000"/>
              </w:rPr>
              <w:t>3406</w:t>
            </w:r>
          </w:p>
        </w:tc>
        <w:tc>
          <w:tcPr>
            <w:tcW w:w="664" w:type="pct"/>
            <w:tcBorders>
              <w:top w:val="single" w:color="000000" w:sz="8" w:space="0"/>
              <w:left w:val="single" w:color="000000" w:sz="8" w:space="0"/>
              <w:bottom w:val="single" w:color="000000" w:sz="8" w:space="0"/>
            </w:tcBorders>
            <w:shd w:val="clear" w:color="auto" w:fill="FFFFFF"/>
            <w:noWrap w:val="0"/>
            <w:vAlign w:val="center"/>
          </w:tcPr>
          <w:p w14:paraId="2E5BD46B">
            <w:pPr>
              <w:pStyle w:val="10"/>
              <w:bidi w:val="0"/>
              <w:jc w:val="center"/>
              <w:rPr>
                <w:rFonts w:hint="eastAsia"/>
                <w:color w:val="000000"/>
                <w:lang w:eastAsia="zh-CN"/>
              </w:rPr>
            </w:pPr>
            <w:r>
              <w:rPr>
                <w:rFonts w:hint="eastAsia"/>
                <w:color w:val="000000"/>
              </w:rPr>
              <w:t>7594</w:t>
            </w:r>
          </w:p>
        </w:tc>
      </w:tr>
      <w:tr w14:paraId="2D07E85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495" w:hRule="atLeast"/>
        </w:trPr>
        <w:tc>
          <w:tcPr>
            <w:tcW w:w="647" w:type="pct"/>
            <w:tcBorders>
              <w:top w:val="single" w:color="000000" w:sz="8" w:space="0"/>
              <w:bottom w:val="single" w:color="000000" w:sz="8" w:space="0"/>
              <w:right w:val="single" w:color="000000" w:sz="8" w:space="0"/>
            </w:tcBorders>
            <w:shd w:val="clear" w:color="auto" w:fill="FFFFFF"/>
            <w:noWrap w:val="0"/>
            <w:vAlign w:val="center"/>
          </w:tcPr>
          <w:p w14:paraId="2FD6755E">
            <w:pPr>
              <w:pStyle w:val="10"/>
              <w:bidi w:val="0"/>
              <w:jc w:val="center"/>
              <w:rPr>
                <w:color w:val="000000"/>
              </w:rPr>
            </w:pPr>
            <w:r>
              <w:rPr>
                <w:rFonts w:hint="eastAsia"/>
                <w:color w:val="000000"/>
              </w:rPr>
              <w:t>观新村</w:t>
            </w:r>
          </w:p>
        </w:tc>
        <w:tc>
          <w:tcPr>
            <w:tcW w:w="6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7C5A956">
            <w:pPr>
              <w:pStyle w:val="10"/>
              <w:bidi w:val="0"/>
              <w:jc w:val="center"/>
              <w:rPr>
                <w:rFonts w:hint="eastAsia"/>
                <w:color w:val="000000"/>
                <w:lang w:eastAsia="zh-CN"/>
              </w:rPr>
            </w:pPr>
            <w:r>
              <w:rPr>
                <w:rFonts w:hint="eastAsia"/>
                <w:color w:val="000000"/>
              </w:rPr>
              <w:t>5.08</w:t>
            </w:r>
          </w:p>
        </w:tc>
        <w:tc>
          <w:tcPr>
            <w:tcW w:w="3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550F18A">
            <w:pPr>
              <w:pStyle w:val="10"/>
              <w:bidi w:val="0"/>
              <w:jc w:val="center"/>
              <w:rPr>
                <w:rFonts w:hint="eastAsia"/>
                <w:color w:val="000000"/>
                <w:lang w:eastAsia="zh-CN"/>
              </w:rPr>
            </w:pPr>
            <w:r>
              <w:rPr>
                <w:rFonts w:hint="eastAsia"/>
                <w:color w:val="000000"/>
              </w:rPr>
              <w:t>283</w:t>
            </w:r>
          </w:p>
        </w:tc>
        <w:tc>
          <w:tcPr>
            <w:tcW w:w="4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79BD632">
            <w:pPr>
              <w:pStyle w:val="10"/>
              <w:bidi w:val="0"/>
              <w:jc w:val="center"/>
              <w:rPr>
                <w:rFonts w:hint="eastAsia"/>
                <w:color w:val="000000"/>
                <w:lang w:eastAsia="zh-CN"/>
              </w:rPr>
            </w:pPr>
            <w:r>
              <w:rPr>
                <w:rFonts w:hint="eastAsia"/>
                <w:color w:val="000000"/>
              </w:rPr>
              <w:t>1059</w:t>
            </w:r>
          </w:p>
        </w:tc>
        <w:tc>
          <w:tcPr>
            <w:tcW w:w="47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7D1B5C8">
            <w:pPr>
              <w:pStyle w:val="10"/>
              <w:bidi w:val="0"/>
              <w:jc w:val="center"/>
              <w:rPr>
                <w:rFonts w:hint="eastAsia"/>
                <w:color w:val="000000"/>
                <w:lang w:eastAsia="zh-CN"/>
              </w:rPr>
            </w:pPr>
            <w:r>
              <w:rPr>
                <w:rFonts w:hint="eastAsia"/>
                <w:color w:val="000000"/>
              </w:rPr>
              <w:t>1358</w:t>
            </w:r>
          </w:p>
        </w:tc>
        <w:tc>
          <w:tcPr>
            <w:tcW w:w="50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B38FA65">
            <w:pPr>
              <w:pStyle w:val="10"/>
              <w:bidi w:val="0"/>
              <w:jc w:val="center"/>
              <w:rPr>
                <w:rFonts w:hint="eastAsia"/>
                <w:color w:val="000000"/>
                <w:lang w:eastAsia="zh-CN"/>
              </w:rPr>
            </w:pPr>
            <w:r>
              <w:rPr>
                <w:rFonts w:hint="eastAsia"/>
                <w:color w:val="000000"/>
              </w:rPr>
              <w:t>937</w:t>
            </w:r>
          </w:p>
        </w:tc>
        <w:tc>
          <w:tcPr>
            <w:tcW w:w="5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E88CE30">
            <w:pPr>
              <w:pStyle w:val="10"/>
              <w:bidi w:val="0"/>
              <w:jc w:val="center"/>
              <w:rPr>
                <w:rFonts w:hint="eastAsia"/>
                <w:color w:val="000000"/>
                <w:lang w:eastAsia="zh-CN"/>
              </w:rPr>
            </w:pPr>
            <w:r>
              <w:rPr>
                <w:rFonts w:hint="eastAsia"/>
                <w:color w:val="000000"/>
              </w:rPr>
              <w:t>10</w:t>
            </w:r>
          </w:p>
        </w:tc>
        <w:tc>
          <w:tcPr>
            <w:tcW w:w="64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1036471">
            <w:pPr>
              <w:pStyle w:val="10"/>
              <w:bidi w:val="0"/>
              <w:jc w:val="center"/>
              <w:rPr>
                <w:rFonts w:hint="eastAsia"/>
                <w:color w:val="000000"/>
                <w:lang w:eastAsia="zh-CN"/>
              </w:rPr>
            </w:pPr>
            <w:r>
              <w:rPr>
                <w:rFonts w:hint="eastAsia"/>
                <w:color w:val="000000"/>
              </w:rPr>
              <w:t>2113</w:t>
            </w:r>
          </w:p>
        </w:tc>
        <w:tc>
          <w:tcPr>
            <w:tcW w:w="664" w:type="pct"/>
            <w:tcBorders>
              <w:top w:val="single" w:color="000000" w:sz="8" w:space="0"/>
              <w:left w:val="single" w:color="000000" w:sz="8" w:space="0"/>
              <w:bottom w:val="single" w:color="000000" w:sz="8" w:space="0"/>
            </w:tcBorders>
            <w:shd w:val="clear" w:color="auto" w:fill="FFFFFF"/>
            <w:noWrap w:val="0"/>
            <w:vAlign w:val="center"/>
          </w:tcPr>
          <w:p w14:paraId="6ECC5536">
            <w:pPr>
              <w:pStyle w:val="10"/>
              <w:bidi w:val="0"/>
              <w:jc w:val="center"/>
              <w:rPr>
                <w:rFonts w:hint="eastAsia"/>
                <w:color w:val="000000"/>
                <w:lang w:eastAsia="zh-CN"/>
              </w:rPr>
            </w:pPr>
            <w:r>
              <w:rPr>
                <w:rFonts w:hint="eastAsia"/>
                <w:color w:val="000000"/>
              </w:rPr>
              <w:t>7817</w:t>
            </w:r>
          </w:p>
        </w:tc>
      </w:tr>
      <w:tr w14:paraId="1CED790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495" w:hRule="atLeast"/>
        </w:trPr>
        <w:tc>
          <w:tcPr>
            <w:tcW w:w="647" w:type="pct"/>
            <w:tcBorders>
              <w:top w:val="single" w:color="000000" w:sz="8" w:space="0"/>
              <w:bottom w:val="single" w:color="000000" w:sz="8" w:space="0"/>
              <w:right w:val="single" w:color="000000" w:sz="8" w:space="0"/>
            </w:tcBorders>
            <w:shd w:val="clear" w:color="auto" w:fill="FFFFFF"/>
            <w:noWrap w:val="0"/>
            <w:vAlign w:val="center"/>
          </w:tcPr>
          <w:p w14:paraId="7E9B394A">
            <w:pPr>
              <w:pStyle w:val="10"/>
              <w:bidi w:val="0"/>
              <w:jc w:val="center"/>
              <w:rPr>
                <w:color w:val="000000"/>
              </w:rPr>
            </w:pPr>
            <w:r>
              <w:rPr>
                <w:rFonts w:hint="eastAsia"/>
                <w:color w:val="000000"/>
              </w:rPr>
              <w:t>荆岗村</w:t>
            </w:r>
          </w:p>
        </w:tc>
        <w:tc>
          <w:tcPr>
            <w:tcW w:w="6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98915F7">
            <w:pPr>
              <w:pStyle w:val="10"/>
              <w:bidi w:val="0"/>
              <w:jc w:val="center"/>
              <w:rPr>
                <w:rFonts w:hint="eastAsia"/>
                <w:color w:val="000000"/>
                <w:lang w:eastAsia="zh-CN"/>
              </w:rPr>
            </w:pPr>
            <w:r>
              <w:rPr>
                <w:rFonts w:hint="eastAsia"/>
                <w:color w:val="000000"/>
              </w:rPr>
              <w:t>7.47</w:t>
            </w:r>
          </w:p>
        </w:tc>
        <w:tc>
          <w:tcPr>
            <w:tcW w:w="3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6BC88AA">
            <w:pPr>
              <w:pStyle w:val="10"/>
              <w:bidi w:val="0"/>
              <w:jc w:val="center"/>
              <w:rPr>
                <w:rFonts w:hint="eastAsia"/>
                <w:color w:val="000000"/>
                <w:lang w:eastAsia="zh-CN"/>
              </w:rPr>
            </w:pPr>
            <w:r>
              <w:rPr>
                <w:rFonts w:hint="eastAsia"/>
                <w:color w:val="000000"/>
              </w:rPr>
              <w:t>618</w:t>
            </w:r>
          </w:p>
        </w:tc>
        <w:tc>
          <w:tcPr>
            <w:tcW w:w="4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97DFE3D">
            <w:pPr>
              <w:pStyle w:val="10"/>
              <w:bidi w:val="0"/>
              <w:jc w:val="center"/>
              <w:rPr>
                <w:rFonts w:hint="eastAsia"/>
                <w:color w:val="000000"/>
                <w:lang w:eastAsia="zh-CN"/>
              </w:rPr>
            </w:pPr>
            <w:r>
              <w:rPr>
                <w:rFonts w:hint="eastAsia"/>
                <w:color w:val="000000"/>
              </w:rPr>
              <w:t>2775</w:t>
            </w:r>
          </w:p>
        </w:tc>
        <w:tc>
          <w:tcPr>
            <w:tcW w:w="47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11ECCF5">
            <w:pPr>
              <w:pStyle w:val="10"/>
              <w:bidi w:val="0"/>
              <w:jc w:val="center"/>
              <w:rPr>
                <w:rFonts w:hint="eastAsia"/>
                <w:color w:val="000000"/>
                <w:lang w:eastAsia="zh-CN"/>
              </w:rPr>
            </w:pPr>
            <w:r>
              <w:rPr>
                <w:rFonts w:hint="eastAsia"/>
                <w:color w:val="000000"/>
              </w:rPr>
              <w:t>3899</w:t>
            </w:r>
          </w:p>
        </w:tc>
        <w:tc>
          <w:tcPr>
            <w:tcW w:w="50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5F611FC">
            <w:pPr>
              <w:pStyle w:val="10"/>
              <w:bidi w:val="0"/>
              <w:jc w:val="center"/>
              <w:rPr>
                <w:rFonts w:hint="eastAsia"/>
                <w:color w:val="000000"/>
                <w:lang w:eastAsia="zh-CN"/>
              </w:rPr>
            </w:pPr>
            <w:r>
              <w:rPr>
                <w:rFonts w:hint="eastAsia"/>
                <w:color w:val="000000"/>
              </w:rPr>
              <w:t>1676</w:t>
            </w:r>
          </w:p>
        </w:tc>
        <w:tc>
          <w:tcPr>
            <w:tcW w:w="5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541E475">
            <w:pPr>
              <w:pStyle w:val="10"/>
              <w:bidi w:val="0"/>
              <w:jc w:val="center"/>
              <w:rPr>
                <w:rFonts w:hint="eastAsia"/>
                <w:color w:val="000000"/>
                <w:lang w:eastAsia="zh-CN"/>
              </w:rPr>
            </w:pPr>
            <w:r>
              <w:rPr>
                <w:rFonts w:hint="eastAsia"/>
                <w:color w:val="000000"/>
              </w:rPr>
              <w:t>19</w:t>
            </w:r>
          </w:p>
        </w:tc>
        <w:tc>
          <w:tcPr>
            <w:tcW w:w="64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87AED77">
            <w:pPr>
              <w:pStyle w:val="10"/>
              <w:bidi w:val="0"/>
              <w:jc w:val="center"/>
              <w:rPr>
                <w:rFonts w:hint="eastAsia"/>
                <w:color w:val="000000"/>
                <w:lang w:eastAsia="zh-CN"/>
              </w:rPr>
            </w:pPr>
            <w:r>
              <w:rPr>
                <w:rFonts w:hint="eastAsia"/>
                <w:color w:val="000000"/>
              </w:rPr>
              <w:t>3961</w:t>
            </w:r>
          </w:p>
        </w:tc>
        <w:tc>
          <w:tcPr>
            <w:tcW w:w="664" w:type="pct"/>
            <w:tcBorders>
              <w:top w:val="single" w:color="000000" w:sz="8" w:space="0"/>
              <w:left w:val="single" w:color="000000" w:sz="8" w:space="0"/>
              <w:bottom w:val="single" w:color="000000" w:sz="8" w:space="0"/>
            </w:tcBorders>
            <w:shd w:val="clear" w:color="auto" w:fill="FFFFFF"/>
            <w:noWrap w:val="0"/>
            <w:vAlign w:val="center"/>
          </w:tcPr>
          <w:p w14:paraId="768738B0">
            <w:pPr>
              <w:pStyle w:val="10"/>
              <w:bidi w:val="0"/>
              <w:jc w:val="center"/>
              <w:rPr>
                <w:rFonts w:hint="eastAsia"/>
                <w:color w:val="000000"/>
                <w:lang w:eastAsia="zh-CN"/>
              </w:rPr>
            </w:pPr>
            <w:r>
              <w:rPr>
                <w:rFonts w:hint="eastAsia"/>
                <w:color w:val="000000"/>
              </w:rPr>
              <w:t>7367</w:t>
            </w:r>
          </w:p>
        </w:tc>
      </w:tr>
      <w:tr w14:paraId="5AB7FCB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495" w:hRule="atLeast"/>
        </w:trPr>
        <w:tc>
          <w:tcPr>
            <w:tcW w:w="647" w:type="pct"/>
            <w:tcBorders>
              <w:top w:val="single" w:color="000000" w:sz="8" w:space="0"/>
              <w:bottom w:val="single" w:color="000000" w:sz="8" w:space="0"/>
              <w:right w:val="single" w:color="000000" w:sz="8" w:space="0"/>
            </w:tcBorders>
            <w:shd w:val="clear" w:color="auto" w:fill="FFFFFF"/>
            <w:noWrap w:val="0"/>
            <w:vAlign w:val="center"/>
          </w:tcPr>
          <w:p w14:paraId="748A56B5">
            <w:pPr>
              <w:pStyle w:val="10"/>
              <w:bidi w:val="0"/>
              <w:jc w:val="center"/>
              <w:rPr>
                <w:color w:val="000000"/>
              </w:rPr>
            </w:pPr>
            <w:r>
              <w:rPr>
                <w:rFonts w:hint="eastAsia"/>
                <w:color w:val="000000"/>
              </w:rPr>
              <w:t>勋口村</w:t>
            </w:r>
          </w:p>
        </w:tc>
        <w:tc>
          <w:tcPr>
            <w:tcW w:w="6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872B404">
            <w:pPr>
              <w:pStyle w:val="10"/>
              <w:bidi w:val="0"/>
              <w:jc w:val="center"/>
              <w:rPr>
                <w:rFonts w:hint="eastAsia"/>
                <w:color w:val="000000"/>
                <w:lang w:eastAsia="zh-CN"/>
              </w:rPr>
            </w:pPr>
            <w:r>
              <w:rPr>
                <w:rFonts w:hint="eastAsia"/>
                <w:color w:val="000000"/>
              </w:rPr>
              <w:t>7.40</w:t>
            </w:r>
          </w:p>
        </w:tc>
        <w:tc>
          <w:tcPr>
            <w:tcW w:w="3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E20BE64">
            <w:pPr>
              <w:pStyle w:val="10"/>
              <w:bidi w:val="0"/>
              <w:jc w:val="center"/>
              <w:rPr>
                <w:rFonts w:hint="eastAsia"/>
                <w:color w:val="000000"/>
                <w:lang w:eastAsia="zh-CN"/>
              </w:rPr>
            </w:pPr>
            <w:r>
              <w:rPr>
                <w:rFonts w:hint="eastAsia"/>
                <w:color w:val="000000"/>
              </w:rPr>
              <w:t>820</w:t>
            </w:r>
          </w:p>
        </w:tc>
        <w:tc>
          <w:tcPr>
            <w:tcW w:w="4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55F6EC0">
            <w:pPr>
              <w:pStyle w:val="10"/>
              <w:bidi w:val="0"/>
              <w:jc w:val="center"/>
              <w:rPr>
                <w:rFonts w:hint="eastAsia"/>
                <w:color w:val="000000"/>
                <w:lang w:eastAsia="zh-CN"/>
              </w:rPr>
            </w:pPr>
            <w:r>
              <w:rPr>
                <w:rFonts w:hint="eastAsia"/>
                <w:color w:val="000000"/>
              </w:rPr>
              <w:t>3452</w:t>
            </w:r>
          </w:p>
        </w:tc>
        <w:tc>
          <w:tcPr>
            <w:tcW w:w="47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B0DB991">
            <w:pPr>
              <w:pStyle w:val="10"/>
              <w:bidi w:val="0"/>
              <w:jc w:val="center"/>
              <w:rPr>
                <w:rFonts w:hint="eastAsia"/>
                <w:color w:val="000000"/>
                <w:lang w:eastAsia="zh-CN"/>
              </w:rPr>
            </w:pPr>
            <w:r>
              <w:rPr>
                <w:rFonts w:hint="eastAsia"/>
                <w:color w:val="000000"/>
              </w:rPr>
              <w:t>3560</w:t>
            </w:r>
          </w:p>
        </w:tc>
        <w:tc>
          <w:tcPr>
            <w:tcW w:w="50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AE0A40E">
            <w:pPr>
              <w:pStyle w:val="10"/>
              <w:bidi w:val="0"/>
              <w:jc w:val="center"/>
              <w:rPr>
                <w:rFonts w:hint="eastAsia"/>
                <w:color w:val="000000"/>
                <w:lang w:eastAsia="zh-CN"/>
              </w:rPr>
            </w:pPr>
            <w:r>
              <w:rPr>
                <w:rFonts w:hint="eastAsia"/>
                <w:color w:val="000000"/>
              </w:rPr>
              <w:t>2120</w:t>
            </w:r>
          </w:p>
        </w:tc>
        <w:tc>
          <w:tcPr>
            <w:tcW w:w="5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C58575C">
            <w:pPr>
              <w:pStyle w:val="10"/>
              <w:bidi w:val="0"/>
              <w:jc w:val="center"/>
              <w:rPr>
                <w:rFonts w:hint="eastAsia"/>
                <w:color w:val="000000"/>
                <w:lang w:eastAsia="zh-CN"/>
              </w:rPr>
            </w:pPr>
            <w:r>
              <w:rPr>
                <w:rFonts w:hint="eastAsia"/>
                <w:color w:val="000000"/>
              </w:rPr>
              <w:t>21</w:t>
            </w:r>
          </w:p>
        </w:tc>
        <w:tc>
          <w:tcPr>
            <w:tcW w:w="64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B00764E">
            <w:pPr>
              <w:pStyle w:val="10"/>
              <w:bidi w:val="0"/>
              <w:jc w:val="center"/>
              <w:rPr>
                <w:rFonts w:hint="eastAsia"/>
                <w:color w:val="000000"/>
                <w:lang w:eastAsia="zh-CN"/>
              </w:rPr>
            </w:pPr>
            <w:r>
              <w:rPr>
                <w:rFonts w:hint="eastAsia"/>
                <w:color w:val="000000"/>
              </w:rPr>
              <w:t>4207</w:t>
            </w:r>
          </w:p>
        </w:tc>
        <w:tc>
          <w:tcPr>
            <w:tcW w:w="664" w:type="pct"/>
            <w:tcBorders>
              <w:top w:val="single" w:color="000000" w:sz="8" w:space="0"/>
              <w:left w:val="single" w:color="000000" w:sz="8" w:space="0"/>
              <w:bottom w:val="single" w:color="000000" w:sz="8" w:space="0"/>
            </w:tcBorders>
            <w:shd w:val="clear" w:color="auto" w:fill="FFFFFF"/>
            <w:noWrap w:val="0"/>
            <w:vAlign w:val="center"/>
          </w:tcPr>
          <w:p w14:paraId="3BCABC7D">
            <w:pPr>
              <w:pStyle w:val="10"/>
              <w:bidi w:val="0"/>
              <w:jc w:val="center"/>
              <w:rPr>
                <w:rFonts w:hint="eastAsia"/>
                <w:color w:val="000000"/>
                <w:lang w:eastAsia="zh-CN"/>
              </w:rPr>
            </w:pPr>
            <w:r>
              <w:rPr>
                <w:rFonts w:hint="eastAsia"/>
                <w:color w:val="000000"/>
              </w:rPr>
              <w:t>7265</w:t>
            </w:r>
          </w:p>
        </w:tc>
      </w:tr>
      <w:tr w14:paraId="7524FA8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495" w:hRule="atLeast"/>
        </w:trPr>
        <w:tc>
          <w:tcPr>
            <w:tcW w:w="647" w:type="pct"/>
            <w:tcBorders>
              <w:top w:val="single" w:color="000000" w:sz="8" w:space="0"/>
              <w:bottom w:val="single" w:color="000000" w:sz="8" w:space="0"/>
              <w:right w:val="single" w:color="000000" w:sz="8" w:space="0"/>
            </w:tcBorders>
            <w:shd w:val="clear" w:color="auto" w:fill="FFFFFF"/>
            <w:noWrap w:val="0"/>
            <w:vAlign w:val="center"/>
          </w:tcPr>
          <w:p w14:paraId="69A6C126">
            <w:pPr>
              <w:pStyle w:val="10"/>
              <w:bidi w:val="0"/>
              <w:jc w:val="center"/>
              <w:rPr>
                <w:color w:val="000000"/>
              </w:rPr>
            </w:pPr>
            <w:r>
              <w:rPr>
                <w:rFonts w:hint="eastAsia"/>
                <w:color w:val="000000"/>
              </w:rPr>
              <w:t>上坪村</w:t>
            </w:r>
          </w:p>
        </w:tc>
        <w:tc>
          <w:tcPr>
            <w:tcW w:w="6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166A3D6">
            <w:pPr>
              <w:pStyle w:val="10"/>
              <w:bidi w:val="0"/>
              <w:jc w:val="center"/>
              <w:rPr>
                <w:rFonts w:hint="eastAsia"/>
                <w:color w:val="000000"/>
                <w:lang w:eastAsia="zh-CN"/>
              </w:rPr>
            </w:pPr>
            <w:r>
              <w:rPr>
                <w:rFonts w:hint="eastAsia"/>
                <w:color w:val="000000"/>
              </w:rPr>
              <w:t>8.67</w:t>
            </w:r>
          </w:p>
        </w:tc>
        <w:tc>
          <w:tcPr>
            <w:tcW w:w="3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9896508">
            <w:pPr>
              <w:pStyle w:val="10"/>
              <w:bidi w:val="0"/>
              <w:jc w:val="center"/>
              <w:rPr>
                <w:rFonts w:hint="eastAsia"/>
                <w:color w:val="000000"/>
                <w:lang w:eastAsia="zh-CN"/>
              </w:rPr>
            </w:pPr>
            <w:r>
              <w:rPr>
                <w:rFonts w:hint="eastAsia"/>
                <w:color w:val="000000"/>
              </w:rPr>
              <w:t>385</w:t>
            </w:r>
          </w:p>
        </w:tc>
        <w:tc>
          <w:tcPr>
            <w:tcW w:w="4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91DEDC3">
            <w:pPr>
              <w:pStyle w:val="10"/>
              <w:bidi w:val="0"/>
              <w:jc w:val="center"/>
              <w:rPr>
                <w:rFonts w:hint="eastAsia"/>
                <w:color w:val="000000"/>
                <w:lang w:eastAsia="zh-CN"/>
              </w:rPr>
            </w:pPr>
            <w:r>
              <w:rPr>
                <w:rFonts w:hint="eastAsia"/>
                <w:color w:val="000000"/>
              </w:rPr>
              <w:t>1498</w:t>
            </w:r>
          </w:p>
        </w:tc>
        <w:tc>
          <w:tcPr>
            <w:tcW w:w="47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A273D99">
            <w:pPr>
              <w:pStyle w:val="10"/>
              <w:bidi w:val="0"/>
              <w:jc w:val="center"/>
              <w:rPr>
                <w:rFonts w:hint="eastAsia"/>
                <w:color w:val="000000"/>
                <w:lang w:eastAsia="zh-CN"/>
              </w:rPr>
            </w:pPr>
            <w:r>
              <w:rPr>
                <w:rFonts w:hint="eastAsia"/>
                <w:color w:val="000000"/>
              </w:rPr>
              <w:t>1771</w:t>
            </w:r>
          </w:p>
        </w:tc>
        <w:tc>
          <w:tcPr>
            <w:tcW w:w="50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4775F33">
            <w:pPr>
              <w:pStyle w:val="10"/>
              <w:bidi w:val="0"/>
              <w:jc w:val="center"/>
              <w:rPr>
                <w:rFonts w:hint="eastAsia"/>
                <w:color w:val="000000"/>
                <w:lang w:eastAsia="zh-CN"/>
              </w:rPr>
            </w:pPr>
            <w:r>
              <w:rPr>
                <w:rFonts w:hint="eastAsia"/>
                <w:color w:val="000000"/>
              </w:rPr>
              <w:t>1436</w:t>
            </w:r>
          </w:p>
        </w:tc>
        <w:tc>
          <w:tcPr>
            <w:tcW w:w="5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636BCB7">
            <w:pPr>
              <w:pStyle w:val="10"/>
              <w:bidi w:val="0"/>
              <w:jc w:val="center"/>
              <w:rPr>
                <w:rFonts w:hint="eastAsia"/>
                <w:color w:val="000000"/>
                <w:lang w:eastAsia="zh-CN"/>
              </w:rPr>
            </w:pPr>
            <w:r>
              <w:rPr>
                <w:rFonts w:hint="eastAsia"/>
                <w:color w:val="000000"/>
              </w:rPr>
              <w:t>15</w:t>
            </w:r>
          </w:p>
        </w:tc>
        <w:tc>
          <w:tcPr>
            <w:tcW w:w="64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568C202">
            <w:pPr>
              <w:pStyle w:val="10"/>
              <w:bidi w:val="0"/>
              <w:jc w:val="center"/>
              <w:rPr>
                <w:rFonts w:hint="eastAsia"/>
                <w:color w:val="000000"/>
                <w:lang w:eastAsia="zh-CN"/>
              </w:rPr>
            </w:pPr>
            <w:r>
              <w:rPr>
                <w:rFonts w:hint="eastAsia"/>
                <w:color w:val="000000"/>
              </w:rPr>
              <w:t>2066</w:t>
            </w:r>
          </w:p>
        </w:tc>
        <w:tc>
          <w:tcPr>
            <w:tcW w:w="664" w:type="pct"/>
            <w:tcBorders>
              <w:top w:val="single" w:color="000000" w:sz="8" w:space="0"/>
              <w:left w:val="single" w:color="000000" w:sz="8" w:space="0"/>
              <w:bottom w:val="single" w:color="000000" w:sz="8" w:space="0"/>
            </w:tcBorders>
            <w:shd w:val="clear" w:color="auto" w:fill="FFFFFF"/>
            <w:noWrap w:val="0"/>
            <w:vAlign w:val="center"/>
          </w:tcPr>
          <w:p w14:paraId="5EB0FD4F">
            <w:pPr>
              <w:pStyle w:val="10"/>
              <w:bidi w:val="0"/>
              <w:jc w:val="center"/>
              <w:rPr>
                <w:rFonts w:hint="eastAsia"/>
                <w:color w:val="000000"/>
                <w:lang w:eastAsia="zh-CN"/>
              </w:rPr>
            </w:pPr>
            <w:r>
              <w:rPr>
                <w:rFonts w:hint="eastAsia"/>
                <w:color w:val="000000"/>
              </w:rPr>
              <w:t>7845</w:t>
            </w:r>
          </w:p>
        </w:tc>
      </w:tr>
      <w:tr w14:paraId="1A4895A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495" w:hRule="atLeast"/>
        </w:trPr>
        <w:tc>
          <w:tcPr>
            <w:tcW w:w="647" w:type="pct"/>
            <w:tcBorders>
              <w:top w:val="single" w:color="000000" w:sz="8" w:space="0"/>
              <w:bottom w:val="single" w:color="000000" w:sz="8" w:space="0"/>
              <w:right w:val="single" w:color="000000" w:sz="8" w:space="0"/>
            </w:tcBorders>
            <w:shd w:val="clear" w:color="auto" w:fill="FFFFFF"/>
            <w:noWrap w:val="0"/>
            <w:vAlign w:val="center"/>
          </w:tcPr>
          <w:p w14:paraId="3392C5AF">
            <w:pPr>
              <w:pStyle w:val="10"/>
              <w:bidi w:val="0"/>
              <w:jc w:val="center"/>
              <w:rPr>
                <w:color w:val="000000"/>
              </w:rPr>
            </w:pPr>
            <w:r>
              <w:rPr>
                <w:rFonts w:hint="eastAsia"/>
                <w:color w:val="000000"/>
              </w:rPr>
              <w:t>下坪村</w:t>
            </w:r>
          </w:p>
        </w:tc>
        <w:tc>
          <w:tcPr>
            <w:tcW w:w="6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8FC1701">
            <w:pPr>
              <w:pStyle w:val="10"/>
              <w:bidi w:val="0"/>
              <w:jc w:val="center"/>
              <w:rPr>
                <w:rFonts w:hint="eastAsia"/>
                <w:color w:val="000000"/>
                <w:lang w:eastAsia="zh-CN"/>
              </w:rPr>
            </w:pPr>
            <w:r>
              <w:rPr>
                <w:rFonts w:hint="eastAsia"/>
                <w:color w:val="000000"/>
              </w:rPr>
              <w:t>25.08</w:t>
            </w:r>
          </w:p>
        </w:tc>
        <w:tc>
          <w:tcPr>
            <w:tcW w:w="3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5D41DFA">
            <w:pPr>
              <w:pStyle w:val="10"/>
              <w:bidi w:val="0"/>
              <w:jc w:val="center"/>
              <w:rPr>
                <w:rFonts w:hint="eastAsia"/>
                <w:color w:val="000000"/>
                <w:lang w:eastAsia="zh-CN"/>
              </w:rPr>
            </w:pPr>
            <w:r>
              <w:rPr>
                <w:rFonts w:hint="eastAsia"/>
                <w:color w:val="000000"/>
              </w:rPr>
              <w:t>720</w:t>
            </w:r>
          </w:p>
        </w:tc>
        <w:tc>
          <w:tcPr>
            <w:tcW w:w="4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FBC248E">
            <w:pPr>
              <w:pStyle w:val="10"/>
              <w:bidi w:val="0"/>
              <w:jc w:val="center"/>
              <w:rPr>
                <w:rFonts w:hint="eastAsia"/>
                <w:color w:val="000000"/>
                <w:lang w:eastAsia="zh-CN"/>
              </w:rPr>
            </w:pPr>
            <w:r>
              <w:rPr>
                <w:rFonts w:hint="eastAsia"/>
                <w:color w:val="000000"/>
              </w:rPr>
              <w:t>3060</w:t>
            </w:r>
          </w:p>
        </w:tc>
        <w:tc>
          <w:tcPr>
            <w:tcW w:w="47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571FEC5">
            <w:pPr>
              <w:pStyle w:val="10"/>
              <w:bidi w:val="0"/>
              <w:jc w:val="center"/>
              <w:rPr>
                <w:color w:val="000000"/>
              </w:rPr>
            </w:pPr>
            <w:r>
              <w:rPr>
                <w:rFonts w:hint="eastAsia"/>
                <w:color w:val="000000"/>
              </w:rPr>
              <w:t>4130</w:t>
            </w:r>
          </w:p>
        </w:tc>
        <w:tc>
          <w:tcPr>
            <w:tcW w:w="50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DE45AC2">
            <w:pPr>
              <w:pStyle w:val="10"/>
              <w:bidi w:val="0"/>
              <w:jc w:val="center"/>
              <w:rPr>
                <w:rFonts w:hint="eastAsia"/>
                <w:color w:val="000000"/>
                <w:lang w:eastAsia="zh-CN"/>
              </w:rPr>
            </w:pPr>
            <w:r>
              <w:rPr>
                <w:rFonts w:hint="eastAsia"/>
                <w:color w:val="000000"/>
              </w:rPr>
              <w:t>2856</w:t>
            </w:r>
          </w:p>
        </w:tc>
        <w:tc>
          <w:tcPr>
            <w:tcW w:w="5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E70F99B">
            <w:pPr>
              <w:pStyle w:val="10"/>
              <w:bidi w:val="0"/>
              <w:jc w:val="center"/>
              <w:rPr>
                <w:rFonts w:hint="eastAsia"/>
                <w:color w:val="000000"/>
                <w:lang w:eastAsia="zh-CN"/>
              </w:rPr>
            </w:pPr>
            <w:r>
              <w:rPr>
                <w:rFonts w:hint="eastAsia"/>
                <w:color w:val="000000"/>
              </w:rPr>
              <w:t>23</w:t>
            </w:r>
          </w:p>
        </w:tc>
        <w:tc>
          <w:tcPr>
            <w:tcW w:w="64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3752AE0">
            <w:pPr>
              <w:pStyle w:val="10"/>
              <w:bidi w:val="0"/>
              <w:jc w:val="center"/>
              <w:rPr>
                <w:rFonts w:hint="eastAsia"/>
                <w:color w:val="000000"/>
                <w:lang w:eastAsia="zh-CN"/>
              </w:rPr>
            </w:pPr>
            <w:r>
              <w:rPr>
                <w:rFonts w:hint="eastAsia"/>
                <w:color w:val="000000"/>
              </w:rPr>
              <w:t>3444</w:t>
            </w:r>
          </w:p>
        </w:tc>
        <w:tc>
          <w:tcPr>
            <w:tcW w:w="664" w:type="pct"/>
            <w:tcBorders>
              <w:top w:val="single" w:color="000000" w:sz="8" w:space="0"/>
              <w:left w:val="single" w:color="000000" w:sz="8" w:space="0"/>
              <w:bottom w:val="single" w:color="000000" w:sz="8" w:space="0"/>
            </w:tcBorders>
            <w:shd w:val="clear" w:color="auto" w:fill="FFFFFF"/>
            <w:noWrap w:val="0"/>
            <w:vAlign w:val="center"/>
          </w:tcPr>
          <w:p w14:paraId="1A798069">
            <w:pPr>
              <w:pStyle w:val="10"/>
              <w:bidi w:val="0"/>
              <w:jc w:val="center"/>
              <w:rPr>
                <w:rFonts w:hint="eastAsia"/>
                <w:color w:val="000000"/>
                <w:lang w:eastAsia="zh-CN"/>
              </w:rPr>
            </w:pPr>
            <w:r>
              <w:rPr>
                <w:rFonts w:hint="eastAsia"/>
                <w:color w:val="000000"/>
              </w:rPr>
              <w:t>7814</w:t>
            </w:r>
          </w:p>
        </w:tc>
      </w:tr>
      <w:tr w14:paraId="08E3B61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495" w:hRule="atLeast"/>
        </w:trPr>
        <w:tc>
          <w:tcPr>
            <w:tcW w:w="647" w:type="pct"/>
            <w:tcBorders>
              <w:top w:val="single" w:color="000000" w:sz="8" w:space="0"/>
              <w:bottom w:val="single" w:color="000000" w:sz="8" w:space="0"/>
              <w:right w:val="single" w:color="000000" w:sz="8" w:space="0"/>
            </w:tcBorders>
            <w:shd w:val="clear" w:color="auto" w:fill="FFFFFF"/>
            <w:noWrap w:val="0"/>
            <w:vAlign w:val="center"/>
          </w:tcPr>
          <w:p w14:paraId="38135677">
            <w:pPr>
              <w:pStyle w:val="10"/>
              <w:bidi w:val="0"/>
              <w:jc w:val="center"/>
              <w:rPr>
                <w:color w:val="000000"/>
              </w:rPr>
            </w:pPr>
            <w:r>
              <w:rPr>
                <w:rFonts w:hint="eastAsia"/>
                <w:color w:val="000000"/>
              </w:rPr>
              <w:t>五洲村</w:t>
            </w:r>
          </w:p>
        </w:tc>
        <w:tc>
          <w:tcPr>
            <w:tcW w:w="6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72F3A81">
            <w:pPr>
              <w:pStyle w:val="10"/>
              <w:bidi w:val="0"/>
              <w:jc w:val="center"/>
              <w:rPr>
                <w:rFonts w:hint="eastAsia"/>
                <w:color w:val="000000"/>
                <w:lang w:eastAsia="zh-CN"/>
              </w:rPr>
            </w:pPr>
            <w:r>
              <w:rPr>
                <w:rFonts w:hint="eastAsia"/>
                <w:color w:val="000000"/>
              </w:rPr>
              <w:t>8.91</w:t>
            </w:r>
          </w:p>
        </w:tc>
        <w:tc>
          <w:tcPr>
            <w:tcW w:w="3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77E51CB">
            <w:pPr>
              <w:pStyle w:val="10"/>
              <w:bidi w:val="0"/>
              <w:jc w:val="center"/>
              <w:rPr>
                <w:rFonts w:hint="eastAsia"/>
                <w:color w:val="000000"/>
                <w:lang w:eastAsia="zh-CN"/>
              </w:rPr>
            </w:pPr>
            <w:r>
              <w:rPr>
                <w:rFonts w:hint="eastAsia"/>
                <w:color w:val="000000"/>
              </w:rPr>
              <w:t>900</w:t>
            </w:r>
          </w:p>
        </w:tc>
        <w:tc>
          <w:tcPr>
            <w:tcW w:w="4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1B8CA85">
            <w:pPr>
              <w:pStyle w:val="10"/>
              <w:bidi w:val="0"/>
              <w:jc w:val="center"/>
              <w:rPr>
                <w:rFonts w:hint="eastAsia"/>
                <w:color w:val="000000"/>
                <w:lang w:eastAsia="zh-CN"/>
              </w:rPr>
            </w:pPr>
            <w:r>
              <w:rPr>
                <w:rFonts w:hint="eastAsia"/>
                <w:color w:val="000000"/>
              </w:rPr>
              <w:t>3690</w:t>
            </w:r>
          </w:p>
        </w:tc>
        <w:tc>
          <w:tcPr>
            <w:tcW w:w="47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C1A42A4">
            <w:pPr>
              <w:pStyle w:val="10"/>
              <w:bidi w:val="0"/>
              <w:jc w:val="center"/>
              <w:rPr>
                <w:rFonts w:hint="eastAsia"/>
                <w:color w:val="000000"/>
                <w:lang w:eastAsia="zh-CN"/>
              </w:rPr>
            </w:pPr>
            <w:r>
              <w:rPr>
                <w:rFonts w:hint="eastAsia"/>
                <w:color w:val="000000"/>
              </w:rPr>
              <w:t>4817</w:t>
            </w:r>
          </w:p>
        </w:tc>
        <w:tc>
          <w:tcPr>
            <w:tcW w:w="50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CF8D700">
            <w:pPr>
              <w:pStyle w:val="10"/>
              <w:bidi w:val="0"/>
              <w:jc w:val="center"/>
              <w:rPr>
                <w:rFonts w:hint="eastAsia"/>
                <w:color w:val="000000"/>
                <w:lang w:eastAsia="zh-CN"/>
              </w:rPr>
            </w:pPr>
            <w:r>
              <w:rPr>
                <w:rFonts w:hint="eastAsia"/>
                <w:color w:val="000000"/>
              </w:rPr>
              <w:t>2429</w:t>
            </w:r>
          </w:p>
        </w:tc>
        <w:tc>
          <w:tcPr>
            <w:tcW w:w="5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7BD2F15">
            <w:pPr>
              <w:pStyle w:val="10"/>
              <w:bidi w:val="0"/>
              <w:jc w:val="center"/>
              <w:rPr>
                <w:rFonts w:hint="eastAsia"/>
                <w:color w:val="000000"/>
                <w:lang w:eastAsia="zh-CN"/>
              </w:rPr>
            </w:pPr>
            <w:r>
              <w:rPr>
                <w:rFonts w:hint="eastAsia"/>
                <w:color w:val="000000"/>
              </w:rPr>
              <w:t>23</w:t>
            </w:r>
          </w:p>
        </w:tc>
        <w:tc>
          <w:tcPr>
            <w:tcW w:w="64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1F7708A">
            <w:pPr>
              <w:pStyle w:val="10"/>
              <w:bidi w:val="0"/>
              <w:jc w:val="center"/>
              <w:rPr>
                <w:rFonts w:hint="eastAsia"/>
                <w:color w:val="000000"/>
                <w:lang w:eastAsia="zh-CN"/>
              </w:rPr>
            </w:pPr>
            <w:r>
              <w:rPr>
                <w:rFonts w:hint="eastAsia"/>
                <w:color w:val="000000"/>
              </w:rPr>
              <w:t>4631</w:t>
            </w:r>
          </w:p>
        </w:tc>
        <w:tc>
          <w:tcPr>
            <w:tcW w:w="664" w:type="pct"/>
            <w:tcBorders>
              <w:top w:val="single" w:color="000000" w:sz="8" w:space="0"/>
              <w:left w:val="single" w:color="000000" w:sz="8" w:space="0"/>
              <w:bottom w:val="single" w:color="000000" w:sz="8" w:space="0"/>
            </w:tcBorders>
            <w:shd w:val="clear" w:color="auto" w:fill="FFFFFF"/>
            <w:noWrap w:val="0"/>
            <w:vAlign w:val="center"/>
          </w:tcPr>
          <w:p w14:paraId="29CCAFAF">
            <w:pPr>
              <w:pStyle w:val="10"/>
              <w:bidi w:val="0"/>
              <w:jc w:val="center"/>
              <w:rPr>
                <w:rFonts w:hint="eastAsia"/>
                <w:color w:val="000000"/>
                <w:lang w:eastAsia="zh-CN"/>
              </w:rPr>
            </w:pPr>
            <w:r>
              <w:rPr>
                <w:rFonts w:hint="eastAsia"/>
                <w:color w:val="000000"/>
              </w:rPr>
              <w:t>7695</w:t>
            </w:r>
          </w:p>
        </w:tc>
      </w:tr>
      <w:tr w14:paraId="49F4DC7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495" w:hRule="atLeast"/>
        </w:trPr>
        <w:tc>
          <w:tcPr>
            <w:tcW w:w="647" w:type="pct"/>
            <w:tcBorders>
              <w:top w:val="single" w:color="000000" w:sz="8" w:space="0"/>
              <w:bottom w:val="single" w:color="000000" w:sz="8" w:space="0"/>
              <w:right w:val="single" w:color="000000" w:sz="8" w:space="0"/>
            </w:tcBorders>
            <w:shd w:val="clear" w:color="auto" w:fill="FFFFFF"/>
            <w:noWrap w:val="0"/>
            <w:vAlign w:val="center"/>
          </w:tcPr>
          <w:p w14:paraId="0FC2B5C0">
            <w:pPr>
              <w:pStyle w:val="10"/>
              <w:bidi w:val="0"/>
              <w:jc w:val="center"/>
              <w:rPr>
                <w:color w:val="000000"/>
              </w:rPr>
            </w:pPr>
            <w:r>
              <w:rPr>
                <w:rFonts w:hint="eastAsia"/>
                <w:color w:val="000000"/>
              </w:rPr>
              <w:t>迳口村</w:t>
            </w:r>
          </w:p>
        </w:tc>
        <w:tc>
          <w:tcPr>
            <w:tcW w:w="6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6B0E74E">
            <w:pPr>
              <w:pStyle w:val="10"/>
              <w:bidi w:val="0"/>
              <w:jc w:val="center"/>
              <w:rPr>
                <w:rFonts w:hint="eastAsia"/>
                <w:color w:val="000000"/>
                <w:lang w:eastAsia="zh-CN"/>
              </w:rPr>
            </w:pPr>
            <w:r>
              <w:rPr>
                <w:rFonts w:hint="eastAsia"/>
                <w:color w:val="000000"/>
              </w:rPr>
              <w:t>6.31</w:t>
            </w:r>
          </w:p>
        </w:tc>
        <w:tc>
          <w:tcPr>
            <w:tcW w:w="3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5CFF1F4">
            <w:pPr>
              <w:pStyle w:val="10"/>
              <w:bidi w:val="0"/>
              <w:jc w:val="center"/>
              <w:rPr>
                <w:color w:val="000000"/>
              </w:rPr>
            </w:pPr>
            <w:r>
              <w:rPr>
                <w:rFonts w:hint="eastAsia"/>
                <w:color w:val="000000"/>
              </w:rPr>
              <w:t>543</w:t>
            </w:r>
          </w:p>
        </w:tc>
        <w:tc>
          <w:tcPr>
            <w:tcW w:w="4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198FC80">
            <w:pPr>
              <w:pStyle w:val="10"/>
              <w:bidi w:val="0"/>
              <w:jc w:val="center"/>
              <w:rPr>
                <w:rFonts w:hint="eastAsia"/>
                <w:color w:val="000000"/>
                <w:lang w:eastAsia="zh-CN"/>
              </w:rPr>
            </w:pPr>
            <w:r>
              <w:rPr>
                <w:rFonts w:hint="eastAsia"/>
                <w:color w:val="000000"/>
              </w:rPr>
              <w:t>2198</w:t>
            </w:r>
          </w:p>
        </w:tc>
        <w:tc>
          <w:tcPr>
            <w:tcW w:w="47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F678898">
            <w:pPr>
              <w:pStyle w:val="10"/>
              <w:bidi w:val="0"/>
              <w:jc w:val="center"/>
              <w:rPr>
                <w:rFonts w:hint="eastAsia"/>
                <w:color w:val="000000"/>
                <w:lang w:eastAsia="zh-CN"/>
              </w:rPr>
            </w:pPr>
            <w:r>
              <w:rPr>
                <w:rFonts w:hint="eastAsia"/>
                <w:color w:val="000000"/>
              </w:rPr>
              <w:t>3454</w:t>
            </w:r>
          </w:p>
        </w:tc>
        <w:tc>
          <w:tcPr>
            <w:tcW w:w="50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9B63ED2">
            <w:pPr>
              <w:pStyle w:val="10"/>
              <w:bidi w:val="0"/>
              <w:jc w:val="center"/>
              <w:rPr>
                <w:rFonts w:hint="eastAsia"/>
                <w:color w:val="000000"/>
                <w:lang w:eastAsia="zh-CN"/>
              </w:rPr>
            </w:pPr>
            <w:r>
              <w:rPr>
                <w:rFonts w:hint="eastAsia"/>
                <w:color w:val="000000"/>
              </w:rPr>
              <w:t>2199</w:t>
            </w:r>
          </w:p>
        </w:tc>
        <w:tc>
          <w:tcPr>
            <w:tcW w:w="5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704A75F">
            <w:pPr>
              <w:pStyle w:val="10"/>
              <w:bidi w:val="0"/>
              <w:jc w:val="center"/>
              <w:rPr>
                <w:rFonts w:hint="eastAsia"/>
                <w:color w:val="000000"/>
                <w:lang w:eastAsia="zh-CN"/>
              </w:rPr>
            </w:pPr>
            <w:r>
              <w:rPr>
                <w:rFonts w:hint="eastAsia"/>
                <w:color w:val="000000"/>
              </w:rPr>
              <w:t>15</w:t>
            </w:r>
          </w:p>
        </w:tc>
        <w:tc>
          <w:tcPr>
            <w:tcW w:w="64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152E1AD">
            <w:pPr>
              <w:pStyle w:val="10"/>
              <w:bidi w:val="0"/>
              <w:jc w:val="center"/>
              <w:rPr>
                <w:rFonts w:hint="eastAsia"/>
                <w:color w:val="000000"/>
                <w:lang w:eastAsia="zh-CN"/>
              </w:rPr>
            </w:pPr>
            <w:r>
              <w:rPr>
                <w:rFonts w:hint="eastAsia"/>
                <w:color w:val="000000"/>
              </w:rPr>
              <w:t>3458</w:t>
            </w:r>
          </w:p>
        </w:tc>
        <w:tc>
          <w:tcPr>
            <w:tcW w:w="664" w:type="pct"/>
            <w:tcBorders>
              <w:top w:val="single" w:color="000000" w:sz="8" w:space="0"/>
              <w:left w:val="single" w:color="000000" w:sz="8" w:space="0"/>
              <w:bottom w:val="single" w:color="000000" w:sz="8" w:space="0"/>
            </w:tcBorders>
            <w:shd w:val="clear" w:color="auto" w:fill="FFFFFF"/>
            <w:noWrap w:val="0"/>
            <w:vAlign w:val="center"/>
          </w:tcPr>
          <w:p w14:paraId="148301EC">
            <w:pPr>
              <w:pStyle w:val="10"/>
              <w:bidi w:val="0"/>
              <w:jc w:val="center"/>
              <w:rPr>
                <w:rFonts w:hint="eastAsia"/>
                <w:color w:val="000000"/>
                <w:lang w:eastAsia="zh-CN"/>
              </w:rPr>
            </w:pPr>
            <w:r>
              <w:rPr>
                <w:rFonts w:hint="eastAsia"/>
                <w:color w:val="000000"/>
              </w:rPr>
              <w:t>7868</w:t>
            </w:r>
          </w:p>
        </w:tc>
      </w:tr>
      <w:tr w14:paraId="14627DA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495" w:hRule="atLeast"/>
        </w:trPr>
        <w:tc>
          <w:tcPr>
            <w:tcW w:w="647" w:type="pct"/>
            <w:tcBorders>
              <w:top w:val="single" w:color="000000" w:sz="8" w:space="0"/>
              <w:bottom w:val="single" w:color="000000" w:sz="8" w:space="0"/>
              <w:right w:val="single" w:color="000000" w:sz="8" w:space="0"/>
            </w:tcBorders>
            <w:shd w:val="clear" w:color="auto" w:fill="FFFFFF"/>
            <w:noWrap w:val="0"/>
            <w:vAlign w:val="center"/>
          </w:tcPr>
          <w:p w14:paraId="4DA4176C">
            <w:pPr>
              <w:pStyle w:val="10"/>
              <w:bidi w:val="0"/>
              <w:jc w:val="center"/>
              <w:rPr>
                <w:color w:val="000000"/>
              </w:rPr>
            </w:pPr>
            <w:r>
              <w:rPr>
                <w:rFonts w:hint="eastAsia"/>
                <w:color w:val="000000"/>
              </w:rPr>
              <w:t>铺背村</w:t>
            </w:r>
          </w:p>
        </w:tc>
        <w:tc>
          <w:tcPr>
            <w:tcW w:w="6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411E0D0">
            <w:pPr>
              <w:pStyle w:val="10"/>
              <w:bidi w:val="0"/>
              <w:jc w:val="center"/>
              <w:rPr>
                <w:rFonts w:hint="eastAsia"/>
                <w:color w:val="000000"/>
                <w:lang w:eastAsia="zh-CN"/>
              </w:rPr>
            </w:pPr>
            <w:r>
              <w:rPr>
                <w:rFonts w:hint="eastAsia"/>
                <w:color w:val="000000"/>
              </w:rPr>
              <w:t>3.22</w:t>
            </w:r>
          </w:p>
        </w:tc>
        <w:tc>
          <w:tcPr>
            <w:tcW w:w="3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B2955EA">
            <w:pPr>
              <w:pStyle w:val="10"/>
              <w:bidi w:val="0"/>
              <w:jc w:val="center"/>
              <w:rPr>
                <w:rFonts w:hint="eastAsia"/>
                <w:color w:val="000000"/>
                <w:lang w:eastAsia="zh-CN"/>
              </w:rPr>
            </w:pPr>
            <w:r>
              <w:rPr>
                <w:rFonts w:hint="eastAsia"/>
                <w:color w:val="000000"/>
              </w:rPr>
              <w:t>647</w:t>
            </w:r>
          </w:p>
        </w:tc>
        <w:tc>
          <w:tcPr>
            <w:tcW w:w="4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823A87C">
            <w:pPr>
              <w:pStyle w:val="10"/>
              <w:bidi w:val="0"/>
              <w:jc w:val="center"/>
              <w:rPr>
                <w:rFonts w:hint="eastAsia"/>
                <w:color w:val="000000"/>
                <w:lang w:eastAsia="zh-CN"/>
              </w:rPr>
            </w:pPr>
            <w:r>
              <w:rPr>
                <w:rFonts w:hint="eastAsia"/>
                <w:color w:val="000000"/>
              </w:rPr>
              <w:t>2238</w:t>
            </w:r>
          </w:p>
        </w:tc>
        <w:tc>
          <w:tcPr>
            <w:tcW w:w="47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B50B582">
            <w:pPr>
              <w:pStyle w:val="10"/>
              <w:bidi w:val="0"/>
              <w:jc w:val="center"/>
              <w:rPr>
                <w:rFonts w:hint="eastAsia"/>
                <w:color w:val="000000"/>
                <w:lang w:eastAsia="zh-CN"/>
              </w:rPr>
            </w:pPr>
            <w:r>
              <w:rPr>
                <w:rFonts w:hint="eastAsia"/>
                <w:color w:val="000000"/>
              </w:rPr>
              <w:t>1814</w:t>
            </w:r>
          </w:p>
        </w:tc>
        <w:tc>
          <w:tcPr>
            <w:tcW w:w="50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4369E70">
            <w:pPr>
              <w:pStyle w:val="10"/>
              <w:bidi w:val="0"/>
              <w:jc w:val="center"/>
              <w:rPr>
                <w:color w:val="000000"/>
              </w:rPr>
            </w:pPr>
            <w:r>
              <w:rPr>
                <w:rFonts w:hint="eastAsia"/>
                <w:color w:val="000000"/>
              </w:rPr>
              <w:t>1257</w:t>
            </w:r>
          </w:p>
        </w:tc>
        <w:tc>
          <w:tcPr>
            <w:tcW w:w="5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090E2D3">
            <w:pPr>
              <w:pStyle w:val="10"/>
              <w:bidi w:val="0"/>
              <w:jc w:val="center"/>
              <w:rPr>
                <w:rFonts w:hint="eastAsia"/>
                <w:color w:val="000000"/>
                <w:lang w:eastAsia="zh-CN"/>
              </w:rPr>
            </w:pPr>
            <w:r>
              <w:rPr>
                <w:rFonts w:hint="eastAsia"/>
                <w:color w:val="000000"/>
              </w:rPr>
              <w:t>8</w:t>
            </w:r>
          </w:p>
        </w:tc>
        <w:tc>
          <w:tcPr>
            <w:tcW w:w="64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08735F7">
            <w:pPr>
              <w:pStyle w:val="10"/>
              <w:bidi w:val="0"/>
              <w:jc w:val="center"/>
              <w:rPr>
                <w:rFonts w:hint="eastAsia"/>
                <w:color w:val="000000"/>
                <w:lang w:eastAsia="zh-CN"/>
              </w:rPr>
            </w:pPr>
            <w:r>
              <w:rPr>
                <w:rFonts w:hint="eastAsia"/>
                <w:color w:val="000000"/>
              </w:rPr>
              <w:t>3225</w:t>
            </w:r>
          </w:p>
        </w:tc>
        <w:tc>
          <w:tcPr>
            <w:tcW w:w="664" w:type="pct"/>
            <w:tcBorders>
              <w:top w:val="single" w:color="000000" w:sz="8" w:space="0"/>
              <w:left w:val="single" w:color="000000" w:sz="8" w:space="0"/>
              <w:bottom w:val="single" w:color="000000" w:sz="8" w:space="0"/>
            </w:tcBorders>
            <w:shd w:val="clear" w:color="auto" w:fill="FFFFFF"/>
            <w:noWrap w:val="0"/>
            <w:vAlign w:val="center"/>
          </w:tcPr>
          <w:p w14:paraId="7BC13061">
            <w:pPr>
              <w:pStyle w:val="10"/>
              <w:bidi w:val="0"/>
              <w:jc w:val="center"/>
              <w:rPr>
                <w:rFonts w:hint="eastAsia"/>
                <w:color w:val="000000"/>
                <w:lang w:eastAsia="zh-CN"/>
              </w:rPr>
            </w:pPr>
            <w:r>
              <w:rPr>
                <w:rFonts w:hint="eastAsia"/>
                <w:color w:val="000000"/>
              </w:rPr>
              <w:t>8419</w:t>
            </w:r>
          </w:p>
        </w:tc>
      </w:tr>
      <w:tr w14:paraId="37DDF66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495" w:hRule="atLeast"/>
        </w:trPr>
        <w:tc>
          <w:tcPr>
            <w:tcW w:w="647" w:type="pct"/>
            <w:tcBorders>
              <w:top w:val="single" w:color="000000" w:sz="8" w:space="0"/>
              <w:bottom w:val="single" w:color="000000" w:sz="8" w:space="0"/>
              <w:right w:val="single" w:color="000000" w:sz="8" w:space="0"/>
            </w:tcBorders>
            <w:shd w:val="clear" w:color="auto" w:fill="FFFFFF"/>
            <w:noWrap w:val="0"/>
            <w:vAlign w:val="center"/>
          </w:tcPr>
          <w:p w14:paraId="6403D49C">
            <w:pPr>
              <w:pStyle w:val="10"/>
              <w:bidi w:val="0"/>
              <w:jc w:val="center"/>
              <w:rPr>
                <w:color w:val="000000"/>
              </w:rPr>
            </w:pPr>
            <w:r>
              <w:rPr>
                <w:rFonts w:hint="eastAsia"/>
                <w:color w:val="000000"/>
              </w:rPr>
              <w:t>莲塘村</w:t>
            </w:r>
          </w:p>
        </w:tc>
        <w:tc>
          <w:tcPr>
            <w:tcW w:w="6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61156E2">
            <w:pPr>
              <w:pStyle w:val="10"/>
              <w:bidi w:val="0"/>
              <w:jc w:val="center"/>
              <w:rPr>
                <w:rFonts w:hint="eastAsia"/>
                <w:color w:val="000000"/>
                <w:lang w:eastAsia="zh-CN"/>
              </w:rPr>
            </w:pPr>
            <w:r>
              <w:rPr>
                <w:rFonts w:hint="eastAsia"/>
                <w:color w:val="000000"/>
              </w:rPr>
              <w:t>3.25</w:t>
            </w:r>
          </w:p>
        </w:tc>
        <w:tc>
          <w:tcPr>
            <w:tcW w:w="3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1871140">
            <w:pPr>
              <w:pStyle w:val="10"/>
              <w:bidi w:val="0"/>
              <w:jc w:val="center"/>
              <w:rPr>
                <w:rFonts w:hint="eastAsia"/>
                <w:color w:val="000000"/>
                <w:lang w:eastAsia="zh-CN"/>
              </w:rPr>
            </w:pPr>
            <w:r>
              <w:rPr>
                <w:rFonts w:hint="eastAsia"/>
                <w:color w:val="000000"/>
              </w:rPr>
              <w:t>813</w:t>
            </w:r>
          </w:p>
        </w:tc>
        <w:tc>
          <w:tcPr>
            <w:tcW w:w="4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D96FD98">
            <w:pPr>
              <w:pStyle w:val="10"/>
              <w:bidi w:val="0"/>
              <w:jc w:val="center"/>
              <w:rPr>
                <w:rFonts w:hint="eastAsia"/>
                <w:color w:val="000000"/>
                <w:lang w:eastAsia="zh-CN"/>
              </w:rPr>
            </w:pPr>
            <w:r>
              <w:rPr>
                <w:rFonts w:hint="eastAsia"/>
                <w:color w:val="000000"/>
              </w:rPr>
              <w:t>3192</w:t>
            </w:r>
          </w:p>
        </w:tc>
        <w:tc>
          <w:tcPr>
            <w:tcW w:w="47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5339CF9">
            <w:pPr>
              <w:pStyle w:val="10"/>
              <w:bidi w:val="0"/>
              <w:jc w:val="center"/>
              <w:rPr>
                <w:rFonts w:hint="eastAsia"/>
                <w:color w:val="000000"/>
                <w:lang w:eastAsia="zh-CN"/>
              </w:rPr>
            </w:pPr>
            <w:r>
              <w:rPr>
                <w:rFonts w:hint="eastAsia"/>
                <w:color w:val="000000"/>
              </w:rPr>
              <w:t>1952</w:t>
            </w:r>
          </w:p>
        </w:tc>
        <w:tc>
          <w:tcPr>
            <w:tcW w:w="50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C4B0BB3">
            <w:pPr>
              <w:pStyle w:val="10"/>
              <w:bidi w:val="0"/>
              <w:jc w:val="center"/>
              <w:rPr>
                <w:rFonts w:hint="eastAsia"/>
                <w:color w:val="000000"/>
                <w:lang w:eastAsia="zh-CN"/>
              </w:rPr>
            </w:pPr>
            <w:r>
              <w:rPr>
                <w:rFonts w:hint="eastAsia"/>
                <w:color w:val="000000"/>
              </w:rPr>
              <w:t>1817</w:t>
            </w:r>
          </w:p>
        </w:tc>
        <w:tc>
          <w:tcPr>
            <w:tcW w:w="5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BFEB437">
            <w:pPr>
              <w:pStyle w:val="10"/>
              <w:bidi w:val="0"/>
              <w:jc w:val="center"/>
              <w:rPr>
                <w:rFonts w:hint="eastAsia"/>
                <w:color w:val="000000"/>
                <w:lang w:eastAsia="zh-CN"/>
              </w:rPr>
            </w:pPr>
            <w:r>
              <w:rPr>
                <w:rFonts w:hint="eastAsia"/>
                <w:color w:val="000000"/>
              </w:rPr>
              <w:t>16</w:t>
            </w:r>
          </w:p>
        </w:tc>
        <w:tc>
          <w:tcPr>
            <w:tcW w:w="64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2408DD6">
            <w:pPr>
              <w:pStyle w:val="10"/>
              <w:bidi w:val="0"/>
              <w:jc w:val="center"/>
              <w:rPr>
                <w:rFonts w:hint="eastAsia"/>
                <w:color w:val="000000"/>
                <w:lang w:eastAsia="zh-CN"/>
              </w:rPr>
            </w:pPr>
            <w:r>
              <w:rPr>
                <w:rFonts w:hint="eastAsia"/>
                <w:color w:val="000000"/>
              </w:rPr>
              <w:t>7747</w:t>
            </w:r>
          </w:p>
        </w:tc>
        <w:tc>
          <w:tcPr>
            <w:tcW w:w="664" w:type="pct"/>
            <w:tcBorders>
              <w:top w:val="single" w:color="000000" w:sz="8" w:space="0"/>
              <w:left w:val="single" w:color="000000" w:sz="8" w:space="0"/>
              <w:bottom w:val="single" w:color="000000" w:sz="8" w:space="0"/>
            </w:tcBorders>
            <w:shd w:val="clear" w:color="auto" w:fill="FFFFFF"/>
            <w:noWrap w:val="0"/>
            <w:vAlign w:val="center"/>
          </w:tcPr>
          <w:p w14:paraId="256AA5A0">
            <w:pPr>
              <w:pStyle w:val="10"/>
              <w:bidi w:val="0"/>
              <w:jc w:val="center"/>
              <w:rPr>
                <w:rFonts w:hint="eastAsia"/>
                <w:color w:val="000000"/>
                <w:lang w:eastAsia="zh-CN"/>
              </w:rPr>
            </w:pPr>
            <w:r>
              <w:rPr>
                <w:rFonts w:hint="eastAsia"/>
                <w:color w:val="000000"/>
              </w:rPr>
              <w:t>8050</w:t>
            </w:r>
          </w:p>
        </w:tc>
      </w:tr>
      <w:tr w14:paraId="7317C9B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495" w:hRule="atLeast"/>
        </w:trPr>
        <w:tc>
          <w:tcPr>
            <w:tcW w:w="647" w:type="pct"/>
            <w:tcBorders>
              <w:top w:val="single" w:color="000000" w:sz="8" w:space="0"/>
              <w:bottom w:val="single" w:color="000000" w:sz="8" w:space="0"/>
              <w:right w:val="single" w:color="000000" w:sz="8" w:space="0"/>
            </w:tcBorders>
            <w:shd w:val="clear" w:color="auto" w:fill="FFFFFF"/>
            <w:noWrap w:val="0"/>
            <w:vAlign w:val="center"/>
          </w:tcPr>
          <w:p w14:paraId="1BB44496">
            <w:pPr>
              <w:pStyle w:val="10"/>
              <w:bidi w:val="0"/>
              <w:jc w:val="center"/>
              <w:rPr>
                <w:color w:val="000000"/>
              </w:rPr>
            </w:pPr>
            <w:r>
              <w:rPr>
                <w:rFonts w:hint="eastAsia"/>
                <w:color w:val="000000"/>
              </w:rPr>
              <w:t>郊区村</w:t>
            </w:r>
          </w:p>
        </w:tc>
        <w:tc>
          <w:tcPr>
            <w:tcW w:w="6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E24E183">
            <w:pPr>
              <w:pStyle w:val="10"/>
              <w:bidi w:val="0"/>
              <w:jc w:val="center"/>
              <w:rPr>
                <w:rFonts w:hint="eastAsia"/>
                <w:color w:val="000000"/>
                <w:lang w:eastAsia="zh-CN"/>
              </w:rPr>
            </w:pPr>
            <w:r>
              <w:rPr>
                <w:rFonts w:hint="eastAsia"/>
                <w:color w:val="000000"/>
              </w:rPr>
              <w:t>2.21</w:t>
            </w:r>
          </w:p>
        </w:tc>
        <w:tc>
          <w:tcPr>
            <w:tcW w:w="3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3E59748">
            <w:pPr>
              <w:pStyle w:val="10"/>
              <w:bidi w:val="0"/>
              <w:jc w:val="center"/>
              <w:rPr>
                <w:rFonts w:hint="eastAsia"/>
                <w:color w:val="000000"/>
                <w:lang w:eastAsia="zh-CN"/>
              </w:rPr>
            </w:pPr>
            <w:r>
              <w:rPr>
                <w:rFonts w:hint="eastAsia"/>
                <w:color w:val="000000"/>
              </w:rPr>
              <w:t>1566</w:t>
            </w:r>
          </w:p>
        </w:tc>
        <w:tc>
          <w:tcPr>
            <w:tcW w:w="4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59E4149">
            <w:pPr>
              <w:pStyle w:val="10"/>
              <w:bidi w:val="0"/>
              <w:jc w:val="center"/>
              <w:rPr>
                <w:color w:val="000000"/>
              </w:rPr>
            </w:pPr>
            <w:r>
              <w:rPr>
                <w:rFonts w:hint="eastAsia"/>
                <w:color w:val="000000"/>
              </w:rPr>
              <w:t>5765</w:t>
            </w:r>
          </w:p>
        </w:tc>
        <w:tc>
          <w:tcPr>
            <w:tcW w:w="47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BDC757D">
            <w:pPr>
              <w:pStyle w:val="10"/>
              <w:bidi w:val="0"/>
              <w:jc w:val="center"/>
              <w:rPr>
                <w:rFonts w:hint="eastAsia"/>
                <w:color w:val="000000"/>
                <w:lang w:eastAsia="zh-CN"/>
              </w:rPr>
            </w:pPr>
            <w:r>
              <w:rPr>
                <w:rFonts w:hint="eastAsia"/>
                <w:color w:val="000000"/>
              </w:rPr>
              <w:t>1002</w:t>
            </w:r>
          </w:p>
        </w:tc>
        <w:tc>
          <w:tcPr>
            <w:tcW w:w="50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7975B37">
            <w:pPr>
              <w:pStyle w:val="10"/>
              <w:bidi w:val="0"/>
              <w:jc w:val="center"/>
              <w:rPr>
                <w:color w:val="000000"/>
              </w:rPr>
            </w:pPr>
            <w:r>
              <w:rPr>
                <w:rFonts w:hint="eastAsia"/>
                <w:color w:val="000000"/>
              </w:rPr>
              <w:t>983</w:t>
            </w:r>
          </w:p>
        </w:tc>
        <w:tc>
          <w:tcPr>
            <w:tcW w:w="5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2B94AB9">
            <w:pPr>
              <w:pStyle w:val="10"/>
              <w:bidi w:val="0"/>
              <w:jc w:val="center"/>
              <w:rPr>
                <w:rFonts w:hint="eastAsia"/>
                <w:color w:val="000000"/>
                <w:lang w:eastAsia="zh-CN"/>
              </w:rPr>
            </w:pPr>
            <w:r>
              <w:rPr>
                <w:rFonts w:hint="eastAsia"/>
                <w:color w:val="000000"/>
              </w:rPr>
              <w:t>14</w:t>
            </w:r>
          </w:p>
        </w:tc>
        <w:tc>
          <w:tcPr>
            <w:tcW w:w="64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34BB6DD">
            <w:pPr>
              <w:pStyle w:val="10"/>
              <w:bidi w:val="0"/>
              <w:jc w:val="center"/>
              <w:rPr>
                <w:rFonts w:hint="eastAsia"/>
                <w:color w:val="000000"/>
                <w:lang w:eastAsia="zh-CN"/>
              </w:rPr>
            </w:pPr>
            <w:r>
              <w:rPr>
                <w:rFonts w:hint="eastAsia"/>
                <w:color w:val="000000"/>
              </w:rPr>
              <w:t>7662</w:t>
            </w:r>
          </w:p>
        </w:tc>
        <w:tc>
          <w:tcPr>
            <w:tcW w:w="664" w:type="pct"/>
            <w:tcBorders>
              <w:top w:val="single" w:color="000000" w:sz="8" w:space="0"/>
              <w:left w:val="single" w:color="000000" w:sz="8" w:space="0"/>
              <w:bottom w:val="single" w:color="000000" w:sz="8" w:space="0"/>
            </w:tcBorders>
            <w:shd w:val="clear" w:color="auto" w:fill="FFFFFF"/>
            <w:noWrap w:val="0"/>
            <w:vAlign w:val="center"/>
          </w:tcPr>
          <w:p w14:paraId="34BEF6D8">
            <w:pPr>
              <w:pStyle w:val="10"/>
              <w:bidi w:val="0"/>
              <w:jc w:val="center"/>
              <w:rPr>
                <w:rFonts w:hint="eastAsia"/>
                <w:color w:val="000000"/>
                <w:lang w:eastAsia="zh-CN"/>
              </w:rPr>
            </w:pPr>
            <w:r>
              <w:rPr>
                <w:rFonts w:hint="eastAsia"/>
                <w:color w:val="000000"/>
              </w:rPr>
              <w:t>7738</w:t>
            </w:r>
          </w:p>
        </w:tc>
      </w:tr>
      <w:tr w14:paraId="082027F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495" w:hRule="atLeast"/>
        </w:trPr>
        <w:tc>
          <w:tcPr>
            <w:tcW w:w="647" w:type="pct"/>
            <w:tcBorders>
              <w:top w:val="single" w:color="000000" w:sz="8" w:space="0"/>
              <w:bottom w:val="single" w:color="000000" w:sz="8" w:space="0"/>
              <w:right w:val="single" w:color="000000" w:sz="8" w:space="0"/>
            </w:tcBorders>
            <w:shd w:val="clear" w:color="auto" w:fill="FFFFFF"/>
            <w:noWrap w:val="0"/>
            <w:vAlign w:val="center"/>
          </w:tcPr>
          <w:p w14:paraId="173FA3A9">
            <w:pPr>
              <w:pStyle w:val="10"/>
              <w:bidi w:val="0"/>
              <w:jc w:val="center"/>
              <w:rPr>
                <w:color w:val="000000"/>
              </w:rPr>
            </w:pPr>
            <w:r>
              <w:rPr>
                <w:rFonts w:hint="eastAsia"/>
                <w:color w:val="000000"/>
              </w:rPr>
              <w:t>河南村</w:t>
            </w:r>
          </w:p>
        </w:tc>
        <w:tc>
          <w:tcPr>
            <w:tcW w:w="6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D3CBD7D">
            <w:pPr>
              <w:pStyle w:val="10"/>
              <w:bidi w:val="0"/>
              <w:jc w:val="center"/>
              <w:rPr>
                <w:rFonts w:hint="eastAsia"/>
                <w:color w:val="000000"/>
                <w:lang w:eastAsia="zh-CN"/>
              </w:rPr>
            </w:pPr>
            <w:r>
              <w:rPr>
                <w:rFonts w:hint="eastAsia"/>
                <w:color w:val="000000"/>
              </w:rPr>
              <w:t>3.61</w:t>
            </w:r>
          </w:p>
        </w:tc>
        <w:tc>
          <w:tcPr>
            <w:tcW w:w="3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0CF89D4">
            <w:pPr>
              <w:pStyle w:val="10"/>
              <w:bidi w:val="0"/>
              <w:jc w:val="center"/>
              <w:rPr>
                <w:rFonts w:hint="eastAsia"/>
                <w:color w:val="000000"/>
                <w:lang w:eastAsia="zh-CN"/>
              </w:rPr>
            </w:pPr>
            <w:r>
              <w:rPr>
                <w:rFonts w:hint="eastAsia"/>
                <w:color w:val="000000"/>
              </w:rPr>
              <w:t>675</w:t>
            </w:r>
          </w:p>
        </w:tc>
        <w:tc>
          <w:tcPr>
            <w:tcW w:w="4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40677CA">
            <w:pPr>
              <w:pStyle w:val="10"/>
              <w:bidi w:val="0"/>
              <w:jc w:val="center"/>
              <w:rPr>
                <w:rFonts w:hint="eastAsia"/>
                <w:color w:val="000000"/>
                <w:lang w:eastAsia="zh-CN"/>
              </w:rPr>
            </w:pPr>
            <w:r>
              <w:rPr>
                <w:rFonts w:hint="eastAsia"/>
                <w:color w:val="000000"/>
              </w:rPr>
              <w:t>2559</w:t>
            </w:r>
          </w:p>
        </w:tc>
        <w:tc>
          <w:tcPr>
            <w:tcW w:w="47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64AFC00">
            <w:pPr>
              <w:pStyle w:val="10"/>
              <w:bidi w:val="0"/>
              <w:jc w:val="center"/>
              <w:rPr>
                <w:rFonts w:hint="eastAsia"/>
                <w:color w:val="000000"/>
                <w:lang w:eastAsia="zh-CN"/>
              </w:rPr>
            </w:pPr>
            <w:r>
              <w:rPr>
                <w:rFonts w:hint="eastAsia"/>
                <w:color w:val="000000"/>
              </w:rPr>
              <w:t>1095</w:t>
            </w:r>
          </w:p>
        </w:tc>
        <w:tc>
          <w:tcPr>
            <w:tcW w:w="50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AD2CB70">
            <w:pPr>
              <w:pStyle w:val="10"/>
              <w:bidi w:val="0"/>
              <w:jc w:val="center"/>
              <w:rPr>
                <w:color w:val="000000"/>
              </w:rPr>
            </w:pPr>
            <w:r>
              <w:rPr>
                <w:rFonts w:hint="eastAsia"/>
                <w:color w:val="000000"/>
              </w:rPr>
              <w:t>765</w:t>
            </w:r>
          </w:p>
        </w:tc>
        <w:tc>
          <w:tcPr>
            <w:tcW w:w="5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DC04A84">
            <w:pPr>
              <w:pStyle w:val="10"/>
              <w:bidi w:val="0"/>
              <w:jc w:val="center"/>
              <w:rPr>
                <w:rFonts w:hint="eastAsia"/>
                <w:color w:val="000000"/>
                <w:lang w:eastAsia="zh-CN"/>
              </w:rPr>
            </w:pPr>
            <w:r>
              <w:rPr>
                <w:rFonts w:hint="eastAsia"/>
                <w:color w:val="000000"/>
              </w:rPr>
              <w:t>11</w:t>
            </w:r>
          </w:p>
        </w:tc>
        <w:tc>
          <w:tcPr>
            <w:tcW w:w="64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E0AF621">
            <w:pPr>
              <w:pStyle w:val="10"/>
              <w:bidi w:val="0"/>
              <w:jc w:val="center"/>
              <w:rPr>
                <w:rFonts w:hint="eastAsia"/>
                <w:color w:val="000000"/>
                <w:lang w:eastAsia="zh-CN"/>
              </w:rPr>
            </w:pPr>
            <w:r>
              <w:rPr>
                <w:rFonts w:hint="eastAsia"/>
                <w:color w:val="000000"/>
              </w:rPr>
              <w:t>5147</w:t>
            </w:r>
          </w:p>
        </w:tc>
        <w:tc>
          <w:tcPr>
            <w:tcW w:w="664" w:type="pct"/>
            <w:tcBorders>
              <w:top w:val="single" w:color="000000" w:sz="8" w:space="0"/>
              <w:left w:val="single" w:color="000000" w:sz="8" w:space="0"/>
              <w:bottom w:val="single" w:color="000000" w:sz="8" w:space="0"/>
            </w:tcBorders>
            <w:shd w:val="clear" w:color="auto" w:fill="FFFFFF"/>
            <w:noWrap w:val="0"/>
            <w:vAlign w:val="center"/>
          </w:tcPr>
          <w:p w14:paraId="22446447">
            <w:pPr>
              <w:pStyle w:val="10"/>
              <w:bidi w:val="0"/>
              <w:jc w:val="center"/>
              <w:rPr>
                <w:rFonts w:hint="eastAsia"/>
                <w:color w:val="000000"/>
                <w:lang w:eastAsia="zh-CN"/>
              </w:rPr>
            </w:pPr>
            <w:r>
              <w:rPr>
                <w:rFonts w:hint="eastAsia"/>
                <w:color w:val="000000"/>
              </w:rPr>
              <w:t>7720</w:t>
            </w:r>
          </w:p>
        </w:tc>
      </w:tr>
      <w:tr w14:paraId="302C784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495" w:hRule="atLeast"/>
        </w:trPr>
        <w:tc>
          <w:tcPr>
            <w:tcW w:w="647" w:type="pct"/>
            <w:tcBorders>
              <w:top w:val="single" w:color="000000" w:sz="8" w:space="0"/>
              <w:bottom w:val="single" w:color="000000" w:sz="8" w:space="0"/>
              <w:right w:val="single" w:color="000000" w:sz="8" w:space="0"/>
            </w:tcBorders>
            <w:shd w:val="clear" w:color="auto" w:fill="FFFFFF"/>
            <w:noWrap w:val="0"/>
            <w:vAlign w:val="center"/>
          </w:tcPr>
          <w:p w14:paraId="757F5219">
            <w:pPr>
              <w:pStyle w:val="10"/>
              <w:bidi w:val="0"/>
              <w:jc w:val="center"/>
              <w:rPr>
                <w:color w:val="000000"/>
              </w:rPr>
            </w:pPr>
            <w:r>
              <w:rPr>
                <w:rFonts w:hint="eastAsia"/>
                <w:color w:val="000000"/>
              </w:rPr>
              <w:t>水南村</w:t>
            </w:r>
          </w:p>
        </w:tc>
        <w:tc>
          <w:tcPr>
            <w:tcW w:w="6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754293A">
            <w:pPr>
              <w:pStyle w:val="10"/>
              <w:bidi w:val="0"/>
              <w:jc w:val="center"/>
              <w:rPr>
                <w:rFonts w:hint="eastAsia"/>
                <w:color w:val="000000"/>
                <w:lang w:eastAsia="zh-CN"/>
              </w:rPr>
            </w:pPr>
            <w:r>
              <w:rPr>
                <w:rFonts w:hint="eastAsia"/>
                <w:color w:val="000000"/>
              </w:rPr>
              <w:t>2.62</w:t>
            </w:r>
          </w:p>
        </w:tc>
        <w:tc>
          <w:tcPr>
            <w:tcW w:w="3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D1762AE">
            <w:pPr>
              <w:pStyle w:val="10"/>
              <w:bidi w:val="0"/>
              <w:jc w:val="center"/>
              <w:rPr>
                <w:rFonts w:hint="eastAsia"/>
                <w:color w:val="000000"/>
                <w:lang w:eastAsia="zh-CN"/>
              </w:rPr>
            </w:pPr>
            <w:r>
              <w:rPr>
                <w:rFonts w:hint="eastAsia"/>
                <w:color w:val="000000"/>
              </w:rPr>
              <w:t>1123</w:t>
            </w:r>
          </w:p>
        </w:tc>
        <w:tc>
          <w:tcPr>
            <w:tcW w:w="4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A5D358D">
            <w:pPr>
              <w:pStyle w:val="10"/>
              <w:bidi w:val="0"/>
              <w:jc w:val="center"/>
              <w:rPr>
                <w:rFonts w:hint="eastAsia"/>
                <w:color w:val="000000"/>
                <w:lang w:eastAsia="zh-CN"/>
              </w:rPr>
            </w:pPr>
            <w:r>
              <w:rPr>
                <w:rFonts w:hint="eastAsia"/>
                <w:color w:val="000000"/>
              </w:rPr>
              <w:t>3481</w:t>
            </w:r>
          </w:p>
        </w:tc>
        <w:tc>
          <w:tcPr>
            <w:tcW w:w="47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C3F6F78">
            <w:pPr>
              <w:pStyle w:val="10"/>
              <w:bidi w:val="0"/>
              <w:jc w:val="center"/>
              <w:rPr>
                <w:color w:val="000000"/>
              </w:rPr>
            </w:pPr>
            <w:r>
              <w:rPr>
                <w:rFonts w:hint="eastAsia"/>
                <w:color w:val="000000"/>
              </w:rPr>
              <w:t>875</w:t>
            </w:r>
          </w:p>
        </w:tc>
        <w:tc>
          <w:tcPr>
            <w:tcW w:w="50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F60BE57">
            <w:pPr>
              <w:pStyle w:val="10"/>
              <w:bidi w:val="0"/>
              <w:jc w:val="center"/>
              <w:rPr>
                <w:color w:val="000000"/>
              </w:rPr>
            </w:pPr>
            <w:r>
              <w:rPr>
                <w:rFonts w:hint="eastAsia"/>
                <w:color w:val="000000"/>
              </w:rPr>
              <w:t>210</w:t>
            </w:r>
          </w:p>
        </w:tc>
        <w:tc>
          <w:tcPr>
            <w:tcW w:w="5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1268E09">
            <w:pPr>
              <w:pStyle w:val="10"/>
              <w:bidi w:val="0"/>
              <w:jc w:val="center"/>
              <w:rPr>
                <w:rFonts w:hint="eastAsia"/>
                <w:color w:val="000000"/>
                <w:lang w:eastAsia="zh-CN"/>
              </w:rPr>
            </w:pPr>
            <w:r>
              <w:rPr>
                <w:rFonts w:hint="eastAsia"/>
                <w:color w:val="000000"/>
              </w:rPr>
              <w:t>6</w:t>
            </w:r>
          </w:p>
        </w:tc>
        <w:tc>
          <w:tcPr>
            <w:tcW w:w="64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59E8D5D">
            <w:pPr>
              <w:pStyle w:val="10"/>
              <w:bidi w:val="0"/>
              <w:jc w:val="center"/>
              <w:rPr>
                <w:rFonts w:hint="eastAsia"/>
                <w:color w:val="000000"/>
                <w:lang w:eastAsia="zh-CN"/>
              </w:rPr>
            </w:pPr>
            <w:r>
              <w:rPr>
                <w:rFonts w:hint="eastAsia"/>
                <w:color w:val="000000"/>
              </w:rPr>
              <w:t>5666</w:t>
            </w:r>
          </w:p>
        </w:tc>
        <w:tc>
          <w:tcPr>
            <w:tcW w:w="664" w:type="pct"/>
            <w:tcBorders>
              <w:top w:val="single" w:color="000000" w:sz="8" w:space="0"/>
              <w:left w:val="single" w:color="000000" w:sz="8" w:space="0"/>
              <w:bottom w:val="single" w:color="000000" w:sz="8" w:space="0"/>
            </w:tcBorders>
            <w:shd w:val="clear" w:color="auto" w:fill="FFFFFF"/>
            <w:noWrap w:val="0"/>
            <w:vAlign w:val="center"/>
          </w:tcPr>
          <w:p w14:paraId="5986F397">
            <w:pPr>
              <w:pStyle w:val="10"/>
              <w:bidi w:val="0"/>
              <w:jc w:val="center"/>
              <w:rPr>
                <w:rFonts w:hint="eastAsia"/>
                <w:color w:val="000000"/>
                <w:lang w:eastAsia="zh-CN"/>
              </w:rPr>
            </w:pPr>
            <w:r>
              <w:rPr>
                <w:rFonts w:hint="eastAsia"/>
                <w:color w:val="000000"/>
              </w:rPr>
              <w:t>7810</w:t>
            </w:r>
          </w:p>
        </w:tc>
      </w:tr>
      <w:tr w14:paraId="7FD0403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495" w:hRule="atLeast"/>
        </w:trPr>
        <w:tc>
          <w:tcPr>
            <w:tcW w:w="647" w:type="pct"/>
            <w:tcBorders>
              <w:top w:val="single" w:color="000000" w:sz="8" w:space="0"/>
              <w:bottom w:val="single" w:color="000000" w:sz="8" w:space="0"/>
              <w:right w:val="single" w:color="000000" w:sz="8" w:space="0"/>
            </w:tcBorders>
            <w:shd w:val="clear" w:color="auto" w:fill="FFFFFF"/>
            <w:noWrap w:val="0"/>
            <w:vAlign w:val="center"/>
          </w:tcPr>
          <w:p w14:paraId="52AA330D">
            <w:pPr>
              <w:pStyle w:val="10"/>
              <w:bidi w:val="0"/>
              <w:jc w:val="center"/>
              <w:rPr>
                <w:color w:val="000000"/>
              </w:rPr>
            </w:pPr>
            <w:r>
              <w:rPr>
                <w:rFonts w:hint="eastAsia"/>
                <w:color w:val="000000"/>
              </w:rPr>
              <w:t>八一社区</w:t>
            </w:r>
          </w:p>
        </w:tc>
        <w:tc>
          <w:tcPr>
            <w:tcW w:w="6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FA25C0B">
            <w:pPr>
              <w:pStyle w:val="10"/>
              <w:bidi w:val="0"/>
              <w:jc w:val="center"/>
              <w:rPr>
                <w:rFonts w:hint="eastAsia"/>
                <w:color w:val="000000"/>
                <w:lang w:eastAsia="zh-CN"/>
              </w:rPr>
            </w:pPr>
            <w:r>
              <w:rPr>
                <w:rFonts w:hint="eastAsia"/>
                <w:color w:val="000000"/>
              </w:rPr>
              <w:t>1.25</w:t>
            </w:r>
          </w:p>
        </w:tc>
        <w:tc>
          <w:tcPr>
            <w:tcW w:w="3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ED4EA5F">
            <w:pPr>
              <w:pStyle w:val="10"/>
              <w:bidi w:val="0"/>
              <w:jc w:val="center"/>
              <w:rPr>
                <w:rFonts w:hint="eastAsia"/>
                <w:color w:val="000000"/>
                <w:lang w:eastAsia="zh-CN"/>
              </w:rPr>
            </w:pPr>
            <w:r>
              <w:rPr>
                <w:rFonts w:hint="eastAsia"/>
                <w:color w:val="000000"/>
              </w:rPr>
              <w:t>3908</w:t>
            </w:r>
          </w:p>
        </w:tc>
        <w:tc>
          <w:tcPr>
            <w:tcW w:w="4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3D2EA6A">
            <w:pPr>
              <w:pStyle w:val="10"/>
              <w:bidi w:val="0"/>
              <w:jc w:val="center"/>
              <w:rPr>
                <w:rFonts w:hint="eastAsia"/>
                <w:color w:val="000000"/>
                <w:lang w:eastAsia="zh-CN"/>
              </w:rPr>
            </w:pPr>
            <w:r>
              <w:rPr>
                <w:rFonts w:hint="eastAsia"/>
                <w:color w:val="000000"/>
              </w:rPr>
              <w:t>9539</w:t>
            </w:r>
          </w:p>
        </w:tc>
        <w:tc>
          <w:tcPr>
            <w:tcW w:w="47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9C4BAC3">
            <w:pPr>
              <w:pStyle w:val="10"/>
              <w:bidi w:val="0"/>
              <w:jc w:val="center"/>
              <w:rPr>
                <w:color w:val="000000"/>
              </w:rPr>
            </w:pPr>
          </w:p>
        </w:tc>
        <w:tc>
          <w:tcPr>
            <w:tcW w:w="50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D001D25">
            <w:pPr>
              <w:pStyle w:val="10"/>
              <w:bidi w:val="0"/>
              <w:jc w:val="center"/>
              <w:rPr>
                <w:color w:val="000000"/>
              </w:rPr>
            </w:pPr>
          </w:p>
        </w:tc>
        <w:tc>
          <w:tcPr>
            <w:tcW w:w="5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FE8B67D">
            <w:pPr>
              <w:pStyle w:val="10"/>
              <w:bidi w:val="0"/>
              <w:jc w:val="center"/>
              <w:rPr>
                <w:rFonts w:hint="eastAsia"/>
                <w:color w:val="000000"/>
                <w:lang w:eastAsia="zh-CN"/>
              </w:rPr>
            </w:pPr>
            <w:r>
              <w:rPr>
                <w:rFonts w:hint="eastAsia"/>
                <w:color w:val="000000"/>
              </w:rPr>
              <w:t>18</w:t>
            </w:r>
          </w:p>
        </w:tc>
        <w:tc>
          <w:tcPr>
            <w:tcW w:w="64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A279D9C">
            <w:pPr>
              <w:pStyle w:val="10"/>
              <w:bidi w:val="0"/>
              <w:jc w:val="center"/>
              <w:rPr>
                <w:color w:val="000000"/>
              </w:rPr>
            </w:pPr>
          </w:p>
        </w:tc>
        <w:tc>
          <w:tcPr>
            <w:tcW w:w="664" w:type="pct"/>
            <w:tcBorders>
              <w:top w:val="single" w:color="000000" w:sz="8" w:space="0"/>
              <w:left w:val="single" w:color="000000" w:sz="8" w:space="0"/>
              <w:bottom w:val="single" w:color="000000" w:sz="8" w:space="0"/>
            </w:tcBorders>
            <w:shd w:val="clear" w:color="auto" w:fill="FFFFFF"/>
            <w:noWrap w:val="0"/>
            <w:vAlign w:val="center"/>
          </w:tcPr>
          <w:p w14:paraId="67ED3288">
            <w:pPr>
              <w:pStyle w:val="10"/>
              <w:bidi w:val="0"/>
              <w:jc w:val="center"/>
              <w:rPr>
                <w:color w:val="000000"/>
              </w:rPr>
            </w:pPr>
          </w:p>
        </w:tc>
      </w:tr>
      <w:tr w14:paraId="3F5C2FD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495" w:hRule="atLeast"/>
        </w:trPr>
        <w:tc>
          <w:tcPr>
            <w:tcW w:w="647" w:type="pct"/>
            <w:tcBorders>
              <w:top w:val="single" w:color="000000" w:sz="8" w:space="0"/>
              <w:bottom w:val="single" w:color="000000" w:sz="8" w:space="0"/>
              <w:right w:val="single" w:color="000000" w:sz="8" w:space="0"/>
            </w:tcBorders>
            <w:shd w:val="clear" w:color="auto" w:fill="FFFFFF"/>
            <w:noWrap w:val="0"/>
            <w:vAlign w:val="center"/>
          </w:tcPr>
          <w:p w14:paraId="4D54B519">
            <w:pPr>
              <w:pStyle w:val="10"/>
              <w:bidi w:val="0"/>
              <w:jc w:val="center"/>
              <w:rPr>
                <w:color w:val="000000"/>
              </w:rPr>
            </w:pPr>
            <w:r>
              <w:rPr>
                <w:rFonts w:hint="eastAsia"/>
                <w:color w:val="000000"/>
              </w:rPr>
              <w:t>胜利社区</w:t>
            </w:r>
          </w:p>
        </w:tc>
        <w:tc>
          <w:tcPr>
            <w:tcW w:w="6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F8D1517">
            <w:pPr>
              <w:pStyle w:val="10"/>
              <w:bidi w:val="0"/>
              <w:jc w:val="center"/>
              <w:rPr>
                <w:rFonts w:hint="eastAsia"/>
                <w:color w:val="000000"/>
                <w:lang w:eastAsia="zh-CN"/>
              </w:rPr>
            </w:pPr>
            <w:r>
              <w:rPr>
                <w:rFonts w:hint="eastAsia"/>
                <w:color w:val="000000"/>
              </w:rPr>
              <w:t>1.07</w:t>
            </w:r>
          </w:p>
        </w:tc>
        <w:tc>
          <w:tcPr>
            <w:tcW w:w="3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18E7FCE">
            <w:pPr>
              <w:pStyle w:val="10"/>
              <w:bidi w:val="0"/>
              <w:jc w:val="center"/>
              <w:rPr>
                <w:rFonts w:hint="eastAsia"/>
                <w:color w:val="000000"/>
                <w:lang w:eastAsia="zh-CN"/>
              </w:rPr>
            </w:pPr>
            <w:r>
              <w:rPr>
                <w:rFonts w:hint="eastAsia"/>
                <w:color w:val="000000"/>
              </w:rPr>
              <w:t>2366</w:t>
            </w:r>
          </w:p>
        </w:tc>
        <w:tc>
          <w:tcPr>
            <w:tcW w:w="4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FB3E5BC">
            <w:pPr>
              <w:pStyle w:val="10"/>
              <w:bidi w:val="0"/>
              <w:jc w:val="center"/>
              <w:rPr>
                <w:rFonts w:hint="eastAsia"/>
                <w:color w:val="000000"/>
                <w:lang w:eastAsia="zh-CN"/>
              </w:rPr>
            </w:pPr>
            <w:r>
              <w:rPr>
                <w:rFonts w:hint="eastAsia"/>
                <w:color w:val="000000"/>
              </w:rPr>
              <w:t>5871</w:t>
            </w:r>
          </w:p>
        </w:tc>
        <w:tc>
          <w:tcPr>
            <w:tcW w:w="47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9851596">
            <w:pPr>
              <w:pStyle w:val="10"/>
              <w:bidi w:val="0"/>
              <w:jc w:val="center"/>
              <w:rPr>
                <w:color w:val="000000"/>
              </w:rPr>
            </w:pPr>
          </w:p>
        </w:tc>
        <w:tc>
          <w:tcPr>
            <w:tcW w:w="50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DDB4231">
            <w:pPr>
              <w:pStyle w:val="10"/>
              <w:bidi w:val="0"/>
              <w:jc w:val="center"/>
              <w:rPr>
                <w:color w:val="000000"/>
              </w:rPr>
            </w:pPr>
          </w:p>
        </w:tc>
        <w:tc>
          <w:tcPr>
            <w:tcW w:w="5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8EC05EE">
            <w:pPr>
              <w:pStyle w:val="10"/>
              <w:bidi w:val="0"/>
              <w:jc w:val="center"/>
              <w:rPr>
                <w:rFonts w:hint="eastAsia"/>
                <w:color w:val="000000"/>
                <w:lang w:eastAsia="zh-CN"/>
              </w:rPr>
            </w:pPr>
            <w:r>
              <w:rPr>
                <w:rFonts w:hint="eastAsia"/>
                <w:color w:val="000000"/>
              </w:rPr>
              <w:t>12</w:t>
            </w:r>
          </w:p>
        </w:tc>
        <w:tc>
          <w:tcPr>
            <w:tcW w:w="64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0978191">
            <w:pPr>
              <w:pStyle w:val="10"/>
              <w:bidi w:val="0"/>
              <w:jc w:val="center"/>
              <w:rPr>
                <w:color w:val="000000"/>
              </w:rPr>
            </w:pPr>
          </w:p>
        </w:tc>
        <w:tc>
          <w:tcPr>
            <w:tcW w:w="664" w:type="pct"/>
            <w:tcBorders>
              <w:top w:val="single" w:color="000000" w:sz="8" w:space="0"/>
              <w:left w:val="single" w:color="000000" w:sz="8" w:space="0"/>
              <w:bottom w:val="single" w:color="000000" w:sz="8" w:space="0"/>
            </w:tcBorders>
            <w:shd w:val="clear" w:color="auto" w:fill="FFFFFF"/>
            <w:noWrap w:val="0"/>
            <w:vAlign w:val="center"/>
          </w:tcPr>
          <w:p w14:paraId="3C7103E9">
            <w:pPr>
              <w:pStyle w:val="10"/>
              <w:bidi w:val="0"/>
              <w:jc w:val="center"/>
              <w:rPr>
                <w:color w:val="000000"/>
              </w:rPr>
            </w:pPr>
          </w:p>
        </w:tc>
      </w:tr>
      <w:tr w14:paraId="5C343B1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495" w:hRule="atLeast"/>
        </w:trPr>
        <w:tc>
          <w:tcPr>
            <w:tcW w:w="647" w:type="pct"/>
            <w:tcBorders>
              <w:top w:val="single" w:color="000000" w:sz="8" w:space="0"/>
              <w:bottom w:val="single" w:color="000000" w:sz="8" w:space="0"/>
              <w:right w:val="single" w:color="000000" w:sz="8" w:space="0"/>
            </w:tcBorders>
            <w:shd w:val="clear" w:color="auto" w:fill="FFFFFF"/>
            <w:noWrap w:val="0"/>
            <w:vAlign w:val="center"/>
          </w:tcPr>
          <w:p w14:paraId="0E6E65C6">
            <w:pPr>
              <w:pStyle w:val="10"/>
              <w:bidi w:val="0"/>
              <w:jc w:val="center"/>
              <w:rPr>
                <w:color w:val="000000"/>
              </w:rPr>
            </w:pPr>
            <w:r>
              <w:rPr>
                <w:rFonts w:hint="eastAsia"/>
                <w:color w:val="000000"/>
              </w:rPr>
              <w:t>民主社区</w:t>
            </w:r>
          </w:p>
        </w:tc>
        <w:tc>
          <w:tcPr>
            <w:tcW w:w="6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B4A9628">
            <w:pPr>
              <w:pStyle w:val="10"/>
              <w:bidi w:val="0"/>
              <w:jc w:val="center"/>
              <w:rPr>
                <w:rFonts w:hint="eastAsia"/>
                <w:color w:val="000000"/>
                <w:lang w:eastAsia="zh-CN"/>
              </w:rPr>
            </w:pPr>
            <w:r>
              <w:rPr>
                <w:rFonts w:hint="eastAsia"/>
                <w:color w:val="000000"/>
              </w:rPr>
              <w:t>1.12</w:t>
            </w:r>
          </w:p>
        </w:tc>
        <w:tc>
          <w:tcPr>
            <w:tcW w:w="3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6E0D077">
            <w:pPr>
              <w:pStyle w:val="10"/>
              <w:bidi w:val="0"/>
              <w:jc w:val="center"/>
              <w:rPr>
                <w:rFonts w:hint="eastAsia"/>
                <w:color w:val="000000"/>
                <w:lang w:eastAsia="zh-CN"/>
              </w:rPr>
            </w:pPr>
            <w:r>
              <w:rPr>
                <w:rFonts w:hint="eastAsia"/>
                <w:color w:val="000000"/>
              </w:rPr>
              <w:t>4623</w:t>
            </w:r>
          </w:p>
        </w:tc>
        <w:tc>
          <w:tcPr>
            <w:tcW w:w="4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EBA190C">
            <w:pPr>
              <w:pStyle w:val="10"/>
              <w:bidi w:val="0"/>
              <w:jc w:val="center"/>
              <w:rPr>
                <w:rFonts w:hint="eastAsia"/>
                <w:color w:val="000000"/>
                <w:lang w:eastAsia="zh-CN"/>
              </w:rPr>
            </w:pPr>
            <w:r>
              <w:rPr>
                <w:rFonts w:hint="eastAsia"/>
                <w:color w:val="000000"/>
              </w:rPr>
              <w:t>7292</w:t>
            </w:r>
          </w:p>
        </w:tc>
        <w:tc>
          <w:tcPr>
            <w:tcW w:w="47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712D140">
            <w:pPr>
              <w:pStyle w:val="10"/>
              <w:bidi w:val="0"/>
              <w:jc w:val="center"/>
              <w:rPr>
                <w:color w:val="000000"/>
              </w:rPr>
            </w:pPr>
          </w:p>
        </w:tc>
        <w:tc>
          <w:tcPr>
            <w:tcW w:w="50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3920370">
            <w:pPr>
              <w:pStyle w:val="10"/>
              <w:bidi w:val="0"/>
              <w:jc w:val="center"/>
              <w:rPr>
                <w:color w:val="000000"/>
              </w:rPr>
            </w:pPr>
          </w:p>
        </w:tc>
        <w:tc>
          <w:tcPr>
            <w:tcW w:w="5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954417A">
            <w:pPr>
              <w:pStyle w:val="10"/>
              <w:bidi w:val="0"/>
              <w:jc w:val="center"/>
              <w:rPr>
                <w:rFonts w:hint="eastAsia"/>
                <w:color w:val="000000"/>
                <w:lang w:eastAsia="zh-CN"/>
              </w:rPr>
            </w:pPr>
            <w:r>
              <w:rPr>
                <w:rFonts w:hint="eastAsia"/>
                <w:color w:val="000000"/>
              </w:rPr>
              <w:t>13</w:t>
            </w:r>
          </w:p>
        </w:tc>
        <w:tc>
          <w:tcPr>
            <w:tcW w:w="64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1736C53">
            <w:pPr>
              <w:pStyle w:val="10"/>
              <w:bidi w:val="0"/>
              <w:jc w:val="center"/>
              <w:rPr>
                <w:color w:val="000000"/>
              </w:rPr>
            </w:pPr>
          </w:p>
        </w:tc>
        <w:tc>
          <w:tcPr>
            <w:tcW w:w="664" w:type="pct"/>
            <w:tcBorders>
              <w:top w:val="single" w:color="000000" w:sz="8" w:space="0"/>
              <w:left w:val="single" w:color="000000" w:sz="8" w:space="0"/>
              <w:bottom w:val="single" w:color="000000" w:sz="8" w:space="0"/>
            </w:tcBorders>
            <w:shd w:val="clear" w:color="auto" w:fill="FFFFFF"/>
            <w:noWrap w:val="0"/>
            <w:vAlign w:val="center"/>
          </w:tcPr>
          <w:p w14:paraId="57A720FF">
            <w:pPr>
              <w:pStyle w:val="10"/>
              <w:bidi w:val="0"/>
              <w:jc w:val="center"/>
              <w:rPr>
                <w:color w:val="000000"/>
              </w:rPr>
            </w:pPr>
          </w:p>
        </w:tc>
      </w:tr>
      <w:tr w14:paraId="4566957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495" w:hRule="atLeast"/>
        </w:trPr>
        <w:tc>
          <w:tcPr>
            <w:tcW w:w="647" w:type="pct"/>
            <w:tcBorders>
              <w:top w:val="single" w:color="000000" w:sz="8" w:space="0"/>
              <w:bottom w:val="single" w:color="000000" w:sz="8" w:space="0"/>
              <w:right w:val="single" w:color="000000" w:sz="8" w:space="0"/>
            </w:tcBorders>
            <w:shd w:val="clear" w:color="auto" w:fill="FFFFFF"/>
            <w:noWrap w:val="0"/>
            <w:vAlign w:val="center"/>
          </w:tcPr>
          <w:p w14:paraId="327DD3D8">
            <w:pPr>
              <w:pStyle w:val="10"/>
              <w:bidi w:val="0"/>
              <w:jc w:val="center"/>
              <w:rPr>
                <w:color w:val="000000"/>
              </w:rPr>
            </w:pPr>
            <w:r>
              <w:rPr>
                <w:rFonts w:hint="eastAsia"/>
                <w:color w:val="000000"/>
              </w:rPr>
              <w:t>建国社区</w:t>
            </w:r>
          </w:p>
        </w:tc>
        <w:tc>
          <w:tcPr>
            <w:tcW w:w="6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940BA21">
            <w:pPr>
              <w:pStyle w:val="10"/>
              <w:bidi w:val="0"/>
              <w:jc w:val="center"/>
              <w:rPr>
                <w:rFonts w:hint="eastAsia"/>
                <w:color w:val="000000"/>
                <w:lang w:eastAsia="zh-CN"/>
              </w:rPr>
            </w:pPr>
            <w:r>
              <w:rPr>
                <w:rFonts w:hint="eastAsia"/>
                <w:color w:val="000000"/>
              </w:rPr>
              <w:t>1.07</w:t>
            </w:r>
          </w:p>
        </w:tc>
        <w:tc>
          <w:tcPr>
            <w:tcW w:w="3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68B1C06">
            <w:pPr>
              <w:pStyle w:val="10"/>
              <w:bidi w:val="0"/>
              <w:jc w:val="center"/>
              <w:rPr>
                <w:rFonts w:hint="eastAsia"/>
                <w:color w:val="000000"/>
                <w:lang w:eastAsia="zh-CN"/>
              </w:rPr>
            </w:pPr>
            <w:r>
              <w:rPr>
                <w:rFonts w:hint="eastAsia"/>
                <w:color w:val="000000"/>
              </w:rPr>
              <w:t>3385</w:t>
            </w:r>
          </w:p>
        </w:tc>
        <w:tc>
          <w:tcPr>
            <w:tcW w:w="4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4C81E6B">
            <w:pPr>
              <w:pStyle w:val="10"/>
              <w:bidi w:val="0"/>
              <w:jc w:val="center"/>
              <w:rPr>
                <w:rFonts w:hint="eastAsia"/>
                <w:color w:val="000000"/>
                <w:lang w:eastAsia="zh-CN"/>
              </w:rPr>
            </w:pPr>
            <w:r>
              <w:rPr>
                <w:rFonts w:hint="eastAsia"/>
                <w:color w:val="000000"/>
              </w:rPr>
              <w:t>5621</w:t>
            </w:r>
          </w:p>
        </w:tc>
        <w:tc>
          <w:tcPr>
            <w:tcW w:w="47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A8949B0">
            <w:pPr>
              <w:pStyle w:val="10"/>
              <w:bidi w:val="0"/>
              <w:jc w:val="center"/>
              <w:rPr>
                <w:color w:val="000000"/>
              </w:rPr>
            </w:pPr>
          </w:p>
        </w:tc>
        <w:tc>
          <w:tcPr>
            <w:tcW w:w="50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2DA7FC7">
            <w:pPr>
              <w:pStyle w:val="10"/>
              <w:bidi w:val="0"/>
              <w:jc w:val="center"/>
              <w:rPr>
                <w:color w:val="000000"/>
              </w:rPr>
            </w:pPr>
          </w:p>
        </w:tc>
        <w:tc>
          <w:tcPr>
            <w:tcW w:w="5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0BF59A6">
            <w:pPr>
              <w:pStyle w:val="10"/>
              <w:bidi w:val="0"/>
              <w:jc w:val="center"/>
              <w:rPr>
                <w:rFonts w:hint="eastAsia"/>
                <w:color w:val="000000"/>
                <w:lang w:eastAsia="zh-CN"/>
              </w:rPr>
            </w:pPr>
            <w:r>
              <w:rPr>
                <w:rFonts w:hint="eastAsia"/>
                <w:color w:val="000000"/>
              </w:rPr>
              <w:t>11</w:t>
            </w:r>
          </w:p>
        </w:tc>
        <w:tc>
          <w:tcPr>
            <w:tcW w:w="64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58B620A">
            <w:pPr>
              <w:pStyle w:val="10"/>
              <w:bidi w:val="0"/>
              <w:jc w:val="center"/>
              <w:rPr>
                <w:color w:val="000000"/>
              </w:rPr>
            </w:pPr>
          </w:p>
        </w:tc>
        <w:tc>
          <w:tcPr>
            <w:tcW w:w="664" w:type="pct"/>
            <w:tcBorders>
              <w:top w:val="single" w:color="000000" w:sz="8" w:space="0"/>
              <w:left w:val="single" w:color="000000" w:sz="8" w:space="0"/>
              <w:bottom w:val="single" w:color="000000" w:sz="8" w:space="0"/>
            </w:tcBorders>
            <w:shd w:val="clear" w:color="auto" w:fill="FFFFFF"/>
            <w:noWrap w:val="0"/>
            <w:vAlign w:val="center"/>
          </w:tcPr>
          <w:p w14:paraId="6055F5CA">
            <w:pPr>
              <w:pStyle w:val="10"/>
              <w:bidi w:val="0"/>
              <w:jc w:val="center"/>
              <w:rPr>
                <w:color w:val="000000"/>
              </w:rPr>
            </w:pPr>
          </w:p>
        </w:tc>
      </w:tr>
      <w:tr w14:paraId="2279ADA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495" w:hRule="atLeast"/>
        </w:trPr>
        <w:tc>
          <w:tcPr>
            <w:tcW w:w="647" w:type="pct"/>
            <w:tcBorders>
              <w:top w:val="single" w:color="000000" w:sz="8" w:space="0"/>
              <w:bottom w:val="single" w:color="000000" w:sz="8" w:space="0"/>
              <w:right w:val="single" w:color="000000" w:sz="8" w:space="0"/>
            </w:tcBorders>
            <w:shd w:val="clear" w:color="auto" w:fill="FFFFFF"/>
            <w:noWrap w:val="0"/>
            <w:vAlign w:val="center"/>
          </w:tcPr>
          <w:p w14:paraId="2F90222C">
            <w:pPr>
              <w:pStyle w:val="10"/>
              <w:bidi w:val="0"/>
              <w:jc w:val="center"/>
              <w:rPr>
                <w:color w:val="000000"/>
              </w:rPr>
            </w:pPr>
            <w:r>
              <w:rPr>
                <w:rFonts w:hint="eastAsia"/>
                <w:color w:val="000000"/>
              </w:rPr>
              <w:t>幸福社区</w:t>
            </w:r>
          </w:p>
        </w:tc>
        <w:tc>
          <w:tcPr>
            <w:tcW w:w="6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D1621DA">
            <w:pPr>
              <w:pStyle w:val="10"/>
              <w:bidi w:val="0"/>
              <w:jc w:val="center"/>
              <w:rPr>
                <w:rFonts w:hint="eastAsia"/>
                <w:color w:val="000000"/>
                <w:lang w:eastAsia="zh-CN"/>
              </w:rPr>
            </w:pPr>
            <w:r>
              <w:rPr>
                <w:rFonts w:hint="eastAsia"/>
                <w:color w:val="000000"/>
              </w:rPr>
              <w:t>0.91</w:t>
            </w:r>
          </w:p>
        </w:tc>
        <w:tc>
          <w:tcPr>
            <w:tcW w:w="3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0EB95E8">
            <w:pPr>
              <w:pStyle w:val="10"/>
              <w:bidi w:val="0"/>
              <w:jc w:val="center"/>
              <w:rPr>
                <w:rFonts w:hint="eastAsia"/>
                <w:color w:val="000000"/>
                <w:lang w:eastAsia="zh-CN"/>
              </w:rPr>
            </w:pPr>
            <w:r>
              <w:rPr>
                <w:rFonts w:hint="eastAsia"/>
                <w:color w:val="000000"/>
              </w:rPr>
              <w:t>1781</w:t>
            </w:r>
          </w:p>
        </w:tc>
        <w:tc>
          <w:tcPr>
            <w:tcW w:w="4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B6ED816">
            <w:pPr>
              <w:pStyle w:val="10"/>
              <w:bidi w:val="0"/>
              <w:jc w:val="center"/>
              <w:rPr>
                <w:color w:val="000000"/>
              </w:rPr>
            </w:pPr>
            <w:r>
              <w:rPr>
                <w:rFonts w:hint="eastAsia"/>
                <w:color w:val="000000"/>
              </w:rPr>
              <w:t>4213</w:t>
            </w:r>
          </w:p>
        </w:tc>
        <w:tc>
          <w:tcPr>
            <w:tcW w:w="47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CF8288E">
            <w:pPr>
              <w:pStyle w:val="10"/>
              <w:bidi w:val="0"/>
              <w:jc w:val="center"/>
              <w:rPr>
                <w:color w:val="000000"/>
              </w:rPr>
            </w:pPr>
          </w:p>
        </w:tc>
        <w:tc>
          <w:tcPr>
            <w:tcW w:w="50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F15C6A3">
            <w:pPr>
              <w:pStyle w:val="10"/>
              <w:bidi w:val="0"/>
              <w:jc w:val="center"/>
              <w:rPr>
                <w:color w:val="000000"/>
              </w:rPr>
            </w:pPr>
          </w:p>
        </w:tc>
        <w:tc>
          <w:tcPr>
            <w:tcW w:w="5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0FB5FAD">
            <w:pPr>
              <w:pStyle w:val="10"/>
              <w:bidi w:val="0"/>
              <w:jc w:val="center"/>
              <w:rPr>
                <w:rFonts w:hint="eastAsia"/>
                <w:color w:val="000000"/>
                <w:lang w:eastAsia="zh-CN"/>
              </w:rPr>
            </w:pPr>
            <w:r>
              <w:rPr>
                <w:rFonts w:hint="eastAsia"/>
                <w:color w:val="000000"/>
              </w:rPr>
              <w:t>10</w:t>
            </w:r>
          </w:p>
        </w:tc>
        <w:tc>
          <w:tcPr>
            <w:tcW w:w="64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A418FE6">
            <w:pPr>
              <w:pStyle w:val="10"/>
              <w:bidi w:val="0"/>
              <w:jc w:val="center"/>
              <w:rPr>
                <w:color w:val="000000"/>
              </w:rPr>
            </w:pPr>
          </w:p>
        </w:tc>
        <w:tc>
          <w:tcPr>
            <w:tcW w:w="664" w:type="pct"/>
            <w:tcBorders>
              <w:top w:val="single" w:color="000000" w:sz="8" w:space="0"/>
              <w:left w:val="single" w:color="000000" w:sz="8" w:space="0"/>
              <w:bottom w:val="single" w:color="000000" w:sz="8" w:space="0"/>
            </w:tcBorders>
            <w:shd w:val="clear" w:color="auto" w:fill="FFFFFF"/>
            <w:noWrap w:val="0"/>
            <w:vAlign w:val="center"/>
          </w:tcPr>
          <w:p w14:paraId="2B225A9B">
            <w:pPr>
              <w:pStyle w:val="10"/>
              <w:bidi w:val="0"/>
              <w:jc w:val="center"/>
              <w:rPr>
                <w:color w:val="000000"/>
              </w:rPr>
            </w:pPr>
          </w:p>
        </w:tc>
      </w:tr>
      <w:tr w14:paraId="7931E84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495" w:hRule="atLeast"/>
        </w:trPr>
        <w:tc>
          <w:tcPr>
            <w:tcW w:w="647" w:type="pct"/>
            <w:tcBorders>
              <w:top w:val="single" w:color="000000" w:sz="8" w:space="0"/>
              <w:bottom w:val="single" w:color="000000" w:sz="8" w:space="0"/>
              <w:right w:val="single" w:color="000000" w:sz="8" w:space="0"/>
            </w:tcBorders>
            <w:shd w:val="clear" w:color="auto" w:fill="FFFFFF"/>
            <w:noWrap w:val="0"/>
            <w:vAlign w:val="center"/>
          </w:tcPr>
          <w:p w14:paraId="06F8B492">
            <w:pPr>
              <w:pStyle w:val="10"/>
              <w:bidi w:val="0"/>
              <w:jc w:val="center"/>
              <w:rPr>
                <w:color w:val="000000"/>
              </w:rPr>
            </w:pPr>
            <w:r>
              <w:rPr>
                <w:rFonts w:hint="eastAsia"/>
                <w:color w:val="000000"/>
              </w:rPr>
              <w:t>新城东社区</w:t>
            </w:r>
          </w:p>
        </w:tc>
        <w:tc>
          <w:tcPr>
            <w:tcW w:w="6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268F178">
            <w:pPr>
              <w:pStyle w:val="10"/>
              <w:bidi w:val="0"/>
              <w:jc w:val="center"/>
              <w:rPr>
                <w:rFonts w:hint="eastAsia"/>
                <w:color w:val="000000"/>
                <w:lang w:eastAsia="zh-CN"/>
              </w:rPr>
            </w:pPr>
            <w:r>
              <w:rPr>
                <w:rFonts w:hint="eastAsia"/>
                <w:color w:val="000000"/>
              </w:rPr>
              <w:t>0.92</w:t>
            </w:r>
          </w:p>
        </w:tc>
        <w:tc>
          <w:tcPr>
            <w:tcW w:w="3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D9710FB">
            <w:pPr>
              <w:pStyle w:val="10"/>
              <w:bidi w:val="0"/>
              <w:jc w:val="center"/>
              <w:rPr>
                <w:rFonts w:hint="eastAsia"/>
                <w:color w:val="000000"/>
                <w:lang w:eastAsia="zh-CN"/>
              </w:rPr>
            </w:pPr>
            <w:r>
              <w:rPr>
                <w:rFonts w:hint="eastAsia"/>
                <w:color w:val="000000"/>
              </w:rPr>
              <w:t>2953</w:t>
            </w:r>
          </w:p>
        </w:tc>
        <w:tc>
          <w:tcPr>
            <w:tcW w:w="4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B1B25DF">
            <w:pPr>
              <w:pStyle w:val="10"/>
              <w:bidi w:val="0"/>
              <w:jc w:val="center"/>
              <w:rPr>
                <w:rFonts w:hint="eastAsia"/>
                <w:color w:val="000000"/>
                <w:lang w:eastAsia="zh-CN"/>
              </w:rPr>
            </w:pPr>
            <w:r>
              <w:rPr>
                <w:rFonts w:hint="eastAsia"/>
                <w:color w:val="000000"/>
              </w:rPr>
              <w:t>7621</w:t>
            </w:r>
          </w:p>
        </w:tc>
        <w:tc>
          <w:tcPr>
            <w:tcW w:w="47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FAA1156">
            <w:pPr>
              <w:pStyle w:val="10"/>
              <w:bidi w:val="0"/>
              <w:jc w:val="center"/>
              <w:rPr>
                <w:color w:val="000000"/>
              </w:rPr>
            </w:pPr>
          </w:p>
        </w:tc>
        <w:tc>
          <w:tcPr>
            <w:tcW w:w="50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C5DC182">
            <w:pPr>
              <w:pStyle w:val="10"/>
              <w:bidi w:val="0"/>
              <w:jc w:val="center"/>
              <w:rPr>
                <w:color w:val="000000"/>
              </w:rPr>
            </w:pPr>
          </w:p>
        </w:tc>
        <w:tc>
          <w:tcPr>
            <w:tcW w:w="5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1EFA660">
            <w:pPr>
              <w:pStyle w:val="10"/>
              <w:bidi w:val="0"/>
              <w:jc w:val="center"/>
              <w:rPr>
                <w:rFonts w:hint="eastAsia"/>
                <w:color w:val="000000"/>
                <w:lang w:eastAsia="zh-CN"/>
              </w:rPr>
            </w:pPr>
            <w:r>
              <w:rPr>
                <w:rFonts w:hint="eastAsia"/>
                <w:color w:val="000000"/>
              </w:rPr>
              <w:t>8</w:t>
            </w:r>
          </w:p>
        </w:tc>
        <w:tc>
          <w:tcPr>
            <w:tcW w:w="64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081E300">
            <w:pPr>
              <w:pStyle w:val="10"/>
              <w:bidi w:val="0"/>
              <w:jc w:val="center"/>
              <w:rPr>
                <w:color w:val="000000"/>
              </w:rPr>
            </w:pPr>
          </w:p>
        </w:tc>
        <w:tc>
          <w:tcPr>
            <w:tcW w:w="664" w:type="pct"/>
            <w:tcBorders>
              <w:top w:val="single" w:color="000000" w:sz="8" w:space="0"/>
              <w:left w:val="single" w:color="000000" w:sz="8" w:space="0"/>
              <w:bottom w:val="single" w:color="000000" w:sz="8" w:space="0"/>
            </w:tcBorders>
            <w:shd w:val="clear" w:color="auto" w:fill="FFFFFF"/>
            <w:noWrap w:val="0"/>
            <w:vAlign w:val="center"/>
          </w:tcPr>
          <w:p w14:paraId="6EB148D1">
            <w:pPr>
              <w:pStyle w:val="10"/>
              <w:bidi w:val="0"/>
              <w:jc w:val="center"/>
              <w:rPr>
                <w:color w:val="000000"/>
              </w:rPr>
            </w:pPr>
          </w:p>
        </w:tc>
      </w:tr>
      <w:tr w14:paraId="01666BE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495" w:hRule="atLeast"/>
        </w:trPr>
        <w:tc>
          <w:tcPr>
            <w:tcW w:w="647" w:type="pct"/>
            <w:tcBorders>
              <w:top w:val="single" w:color="000000" w:sz="8" w:space="0"/>
              <w:bottom w:val="single" w:color="000000" w:sz="8" w:space="0"/>
              <w:right w:val="single" w:color="000000" w:sz="8" w:space="0"/>
            </w:tcBorders>
            <w:shd w:val="clear" w:color="auto" w:fill="FFFFFF"/>
            <w:noWrap w:val="0"/>
            <w:vAlign w:val="center"/>
          </w:tcPr>
          <w:p w14:paraId="4B281FF5">
            <w:pPr>
              <w:pStyle w:val="10"/>
              <w:bidi w:val="0"/>
              <w:jc w:val="center"/>
              <w:rPr>
                <w:color w:val="000000"/>
              </w:rPr>
            </w:pPr>
            <w:r>
              <w:rPr>
                <w:rFonts w:hint="eastAsia"/>
                <w:color w:val="000000"/>
              </w:rPr>
              <w:t>新城西社区</w:t>
            </w:r>
          </w:p>
        </w:tc>
        <w:tc>
          <w:tcPr>
            <w:tcW w:w="6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55D1972">
            <w:pPr>
              <w:pStyle w:val="10"/>
              <w:bidi w:val="0"/>
              <w:jc w:val="center"/>
              <w:rPr>
                <w:rFonts w:hint="eastAsia"/>
                <w:color w:val="000000"/>
                <w:lang w:eastAsia="zh-CN"/>
              </w:rPr>
            </w:pPr>
            <w:r>
              <w:rPr>
                <w:rFonts w:hint="eastAsia"/>
                <w:color w:val="000000"/>
              </w:rPr>
              <w:t>0.96</w:t>
            </w:r>
          </w:p>
        </w:tc>
        <w:tc>
          <w:tcPr>
            <w:tcW w:w="3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CBB4996">
            <w:pPr>
              <w:pStyle w:val="10"/>
              <w:bidi w:val="0"/>
              <w:jc w:val="center"/>
              <w:rPr>
                <w:rFonts w:hint="eastAsia"/>
                <w:color w:val="000000"/>
                <w:lang w:eastAsia="zh-CN"/>
              </w:rPr>
            </w:pPr>
            <w:r>
              <w:rPr>
                <w:rFonts w:hint="eastAsia"/>
                <w:color w:val="000000"/>
              </w:rPr>
              <w:t>2421</w:t>
            </w:r>
          </w:p>
        </w:tc>
        <w:tc>
          <w:tcPr>
            <w:tcW w:w="4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32AFA2B">
            <w:pPr>
              <w:pStyle w:val="10"/>
              <w:bidi w:val="0"/>
              <w:jc w:val="center"/>
              <w:rPr>
                <w:color w:val="000000"/>
              </w:rPr>
            </w:pPr>
            <w:r>
              <w:rPr>
                <w:rFonts w:hint="eastAsia"/>
                <w:color w:val="000000"/>
              </w:rPr>
              <w:t>6079</w:t>
            </w:r>
          </w:p>
        </w:tc>
        <w:tc>
          <w:tcPr>
            <w:tcW w:w="47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1A35D3C">
            <w:pPr>
              <w:pStyle w:val="10"/>
              <w:bidi w:val="0"/>
              <w:jc w:val="center"/>
              <w:rPr>
                <w:color w:val="000000"/>
              </w:rPr>
            </w:pPr>
          </w:p>
        </w:tc>
        <w:tc>
          <w:tcPr>
            <w:tcW w:w="50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2EB59EA">
            <w:pPr>
              <w:pStyle w:val="10"/>
              <w:bidi w:val="0"/>
              <w:jc w:val="center"/>
              <w:rPr>
                <w:color w:val="000000"/>
              </w:rPr>
            </w:pPr>
          </w:p>
        </w:tc>
        <w:tc>
          <w:tcPr>
            <w:tcW w:w="5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C266283">
            <w:pPr>
              <w:pStyle w:val="10"/>
              <w:bidi w:val="0"/>
              <w:jc w:val="center"/>
              <w:rPr>
                <w:rFonts w:hint="eastAsia"/>
                <w:color w:val="000000"/>
                <w:lang w:eastAsia="zh-CN"/>
              </w:rPr>
            </w:pPr>
            <w:r>
              <w:rPr>
                <w:rFonts w:hint="eastAsia"/>
                <w:color w:val="000000"/>
              </w:rPr>
              <w:t>12</w:t>
            </w:r>
          </w:p>
        </w:tc>
        <w:tc>
          <w:tcPr>
            <w:tcW w:w="64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EB34E9C">
            <w:pPr>
              <w:pStyle w:val="10"/>
              <w:bidi w:val="0"/>
              <w:jc w:val="center"/>
              <w:rPr>
                <w:color w:val="000000"/>
              </w:rPr>
            </w:pPr>
          </w:p>
        </w:tc>
        <w:tc>
          <w:tcPr>
            <w:tcW w:w="664" w:type="pct"/>
            <w:tcBorders>
              <w:top w:val="single" w:color="000000" w:sz="8" w:space="0"/>
              <w:left w:val="single" w:color="000000" w:sz="8" w:space="0"/>
              <w:bottom w:val="single" w:color="000000" w:sz="8" w:space="0"/>
            </w:tcBorders>
            <w:shd w:val="clear" w:color="auto" w:fill="FFFFFF"/>
            <w:noWrap w:val="0"/>
            <w:vAlign w:val="center"/>
          </w:tcPr>
          <w:p w14:paraId="7A8AC04B">
            <w:pPr>
              <w:pStyle w:val="10"/>
              <w:bidi w:val="0"/>
              <w:jc w:val="center"/>
              <w:rPr>
                <w:color w:val="000000"/>
              </w:rPr>
            </w:pPr>
          </w:p>
        </w:tc>
      </w:tr>
      <w:tr w14:paraId="72ABD8A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495" w:hRule="atLeast"/>
        </w:trPr>
        <w:tc>
          <w:tcPr>
            <w:tcW w:w="647" w:type="pct"/>
            <w:tcBorders>
              <w:top w:val="single" w:color="000000" w:sz="8" w:space="0"/>
              <w:bottom w:val="single" w:color="000000" w:sz="8" w:space="0"/>
              <w:right w:val="single" w:color="000000" w:sz="8" w:space="0"/>
            </w:tcBorders>
            <w:shd w:val="clear" w:color="auto" w:fill="FFFFFF"/>
            <w:noWrap w:val="0"/>
            <w:vAlign w:val="center"/>
          </w:tcPr>
          <w:p w14:paraId="19674D60">
            <w:pPr>
              <w:pStyle w:val="10"/>
              <w:bidi w:val="0"/>
              <w:jc w:val="center"/>
              <w:rPr>
                <w:color w:val="000000"/>
              </w:rPr>
            </w:pPr>
            <w:r>
              <w:rPr>
                <w:rFonts w:hint="eastAsia"/>
                <w:color w:val="000000"/>
              </w:rPr>
              <w:t>乡镇企业</w:t>
            </w:r>
          </w:p>
        </w:tc>
        <w:tc>
          <w:tcPr>
            <w:tcW w:w="6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C9ECF21">
            <w:pPr>
              <w:pStyle w:val="10"/>
              <w:bidi w:val="0"/>
              <w:jc w:val="center"/>
              <w:rPr>
                <w:color w:val="000000"/>
              </w:rPr>
            </w:pPr>
          </w:p>
        </w:tc>
        <w:tc>
          <w:tcPr>
            <w:tcW w:w="3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33498DE">
            <w:pPr>
              <w:pStyle w:val="10"/>
              <w:bidi w:val="0"/>
              <w:jc w:val="center"/>
              <w:rPr>
                <w:color w:val="000000"/>
              </w:rPr>
            </w:pPr>
          </w:p>
        </w:tc>
        <w:tc>
          <w:tcPr>
            <w:tcW w:w="4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3AFDD4F">
            <w:pPr>
              <w:pStyle w:val="10"/>
              <w:bidi w:val="0"/>
              <w:jc w:val="center"/>
              <w:rPr>
                <w:color w:val="000000"/>
              </w:rPr>
            </w:pPr>
          </w:p>
        </w:tc>
        <w:tc>
          <w:tcPr>
            <w:tcW w:w="47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18F6516">
            <w:pPr>
              <w:pStyle w:val="10"/>
              <w:bidi w:val="0"/>
              <w:jc w:val="center"/>
              <w:rPr>
                <w:color w:val="000000"/>
              </w:rPr>
            </w:pPr>
          </w:p>
        </w:tc>
        <w:tc>
          <w:tcPr>
            <w:tcW w:w="50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30E752F">
            <w:pPr>
              <w:pStyle w:val="10"/>
              <w:bidi w:val="0"/>
              <w:jc w:val="center"/>
              <w:rPr>
                <w:color w:val="000000"/>
              </w:rPr>
            </w:pPr>
          </w:p>
        </w:tc>
        <w:tc>
          <w:tcPr>
            <w:tcW w:w="5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AC30851">
            <w:pPr>
              <w:pStyle w:val="10"/>
              <w:bidi w:val="0"/>
              <w:jc w:val="center"/>
              <w:rPr>
                <w:color w:val="000000"/>
              </w:rPr>
            </w:pPr>
          </w:p>
        </w:tc>
        <w:tc>
          <w:tcPr>
            <w:tcW w:w="64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38BB67C">
            <w:pPr>
              <w:pStyle w:val="10"/>
              <w:bidi w:val="0"/>
              <w:jc w:val="center"/>
              <w:rPr>
                <w:rFonts w:hint="eastAsia"/>
                <w:color w:val="000000"/>
                <w:lang w:eastAsia="zh-CN"/>
              </w:rPr>
            </w:pPr>
            <w:r>
              <w:rPr>
                <w:rFonts w:hint="eastAsia"/>
                <w:color w:val="000000"/>
              </w:rPr>
              <w:t>28468</w:t>
            </w:r>
          </w:p>
        </w:tc>
        <w:tc>
          <w:tcPr>
            <w:tcW w:w="664" w:type="pct"/>
            <w:tcBorders>
              <w:top w:val="single" w:color="000000" w:sz="8" w:space="0"/>
              <w:left w:val="single" w:color="000000" w:sz="8" w:space="0"/>
              <w:bottom w:val="single" w:color="000000" w:sz="8" w:space="0"/>
            </w:tcBorders>
            <w:shd w:val="clear" w:color="auto" w:fill="FFFFFF"/>
            <w:noWrap w:val="0"/>
            <w:vAlign w:val="center"/>
          </w:tcPr>
          <w:p w14:paraId="47C39200">
            <w:pPr>
              <w:pStyle w:val="10"/>
              <w:bidi w:val="0"/>
              <w:jc w:val="center"/>
              <w:rPr>
                <w:color w:val="000000"/>
              </w:rPr>
            </w:pPr>
          </w:p>
        </w:tc>
      </w:tr>
      <w:tr w14:paraId="636CE9A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495" w:hRule="atLeast"/>
        </w:trPr>
        <w:tc>
          <w:tcPr>
            <w:tcW w:w="647" w:type="pct"/>
            <w:tcBorders>
              <w:top w:val="single" w:color="000000" w:sz="8" w:space="0"/>
              <w:bottom w:val="single" w:color="000000" w:sz="8" w:space="0"/>
              <w:right w:val="single" w:color="000000" w:sz="8" w:space="0"/>
            </w:tcBorders>
            <w:shd w:val="clear" w:color="auto" w:fill="FFFFFF"/>
            <w:noWrap w:val="0"/>
            <w:vAlign w:val="center"/>
          </w:tcPr>
          <w:p w14:paraId="05CE1AC9">
            <w:pPr>
              <w:pStyle w:val="10"/>
              <w:bidi w:val="0"/>
              <w:jc w:val="center"/>
              <w:rPr>
                <w:color w:val="000000"/>
              </w:rPr>
            </w:pPr>
            <w:r>
              <w:rPr>
                <w:rFonts w:hint="eastAsia"/>
                <w:color w:val="000000"/>
              </w:rPr>
              <w:t>合计</w:t>
            </w:r>
          </w:p>
        </w:tc>
        <w:tc>
          <w:tcPr>
            <w:tcW w:w="6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65A4AF3">
            <w:pPr>
              <w:pStyle w:val="10"/>
              <w:bidi w:val="0"/>
              <w:jc w:val="center"/>
              <w:rPr>
                <w:color w:val="000000"/>
              </w:rPr>
            </w:pPr>
            <w:r>
              <w:rPr>
                <w:rFonts w:hint="eastAsia"/>
                <w:color w:val="000000"/>
              </w:rPr>
              <w:t>96.88</w:t>
            </w:r>
          </w:p>
        </w:tc>
        <w:tc>
          <w:tcPr>
            <w:tcW w:w="3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476F7BB">
            <w:pPr>
              <w:pStyle w:val="10"/>
              <w:bidi w:val="0"/>
              <w:jc w:val="center"/>
              <w:rPr>
                <w:rFonts w:hint="eastAsia"/>
                <w:color w:val="000000"/>
                <w:lang w:eastAsia="zh-CN"/>
              </w:rPr>
            </w:pPr>
            <w:r>
              <w:rPr>
                <w:rFonts w:hint="eastAsia"/>
                <w:color w:val="000000"/>
              </w:rPr>
              <w:t>31529</w:t>
            </w:r>
          </w:p>
        </w:tc>
        <w:tc>
          <w:tcPr>
            <w:tcW w:w="4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E5F7738">
            <w:pPr>
              <w:pStyle w:val="10"/>
              <w:bidi w:val="0"/>
              <w:jc w:val="center"/>
              <w:rPr>
                <w:color w:val="000000"/>
              </w:rPr>
            </w:pPr>
            <w:r>
              <w:rPr>
                <w:rFonts w:hint="eastAsia"/>
                <w:color w:val="000000"/>
              </w:rPr>
              <w:t>84450</w:t>
            </w:r>
          </w:p>
        </w:tc>
        <w:tc>
          <w:tcPr>
            <w:tcW w:w="47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DDBCA26">
            <w:pPr>
              <w:pStyle w:val="10"/>
              <w:bidi w:val="0"/>
              <w:jc w:val="center"/>
              <w:rPr>
                <w:color w:val="000000"/>
              </w:rPr>
            </w:pPr>
            <w:r>
              <w:rPr>
                <w:rFonts w:hint="eastAsia"/>
                <w:color w:val="000000"/>
              </w:rPr>
              <w:t>31516</w:t>
            </w:r>
          </w:p>
        </w:tc>
        <w:tc>
          <w:tcPr>
            <w:tcW w:w="50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E16E434">
            <w:pPr>
              <w:pStyle w:val="10"/>
              <w:bidi w:val="0"/>
              <w:jc w:val="center"/>
              <w:rPr>
                <w:color w:val="000000"/>
              </w:rPr>
            </w:pPr>
            <w:r>
              <w:rPr>
                <w:rFonts w:hint="eastAsia"/>
                <w:color w:val="000000"/>
              </w:rPr>
              <w:t>20110</w:t>
            </w:r>
          </w:p>
        </w:tc>
        <w:tc>
          <w:tcPr>
            <w:tcW w:w="5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CC6849A">
            <w:pPr>
              <w:pStyle w:val="10"/>
              <w:bidi w:val="0"/>
              <w:jc w:val="center"/>
              <w:rPr>
                <w:color w:val="000000"/>
              </w:rPr>
            </w:pPr>
            <w:r>
              <w:rPr>
                <w:rFonts w:hint="eastAsia"/>
                <w:color w:val="000000"/>
              </w:rPr>
              <w:t>277</w:t>
            </w:r>
          </w:p>
        </w:tc>
        <w:tc>
          <w:tcPr>
            <w:tcW w:w="64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F285C83">
            <w:pPr>
              <w:pStyle w:val="10"/>
              <w:bidi w:val="0"/>
              <w:jc w:val="center"/>
              <w:rPr>
                <w:color w:val="000000"/>
              </w:rPr>
            </w:pPr>
            <w:r>
              <w:rPr>
                <w:rFonts w:hint="eastAsia"/>
                <w:color w:val="000000"/>
              </w:rPr>
              <w:t>85201</w:t>
            </w:r>
          </w:p>
        </w:tc>
        <w:tc>
          <w:tcPr>
            <w:tcW w:w="664" w:type="pct"/>
            <w:tcBorders>
              <w:top w:val="single" w:color="000000" w:sz="8" w:space="0"/>
              <w:left w:val="single" w:color="000000" w:sz="8" w:space="0"/>
              <w:bottom w:val="single" w:color="000000" w:sz="8" w:space="0"/>
            </w:tcBorders>
            <w:shd w:val="clear" w:color="auto" w:fill="FFFFFF"/>
            <w:noWrap w:val="0"/>
            <w:vAlign w:val="center"/>
          </w:tcPr>
          <w:p w14:paraId="23930AF8">
            <w:pPr>
              <w:pStyle w:val="10"/>
              <w:bidi w:val="0"/>
              <w:jc w:val="center"/>
              <w:rPr>
                <w:color w:val="000000"/>
              </w:rPr>
            </w:pPr>
            <w:r>
              <w:rPr>
                <w:rFonts w:hint="eastAsia"/>
                <w:color w:val="000000"/>
              </w:rPr>
              <w:t>7784</w:t>
            </w:r>
          </w:p>
        </w:tc>
      </w:tr>
    </w:tbl>
    <w:p w14:paraId="2B2A7B36">
      <w:pPr>
        <w:pStyle w:val="10"/>
        <w:bidi w:val="0"/>
        <w:rPr>
          <w:b/>
          <w:bCs/>
        </w:rPr>
      </w:pPr>
      <w:r>
        <w:rPr>
          <w:rFonts w:hint="eastAsia"/>
          <w:b/>
          <w:bCs/>
        </w:rPr>
        <w:t>附：</w:t>
      </w:r>
      <w:r>
        <w:rPr>
          <w:b/>
          <w:bCs/>
        </w:rPr>
        <w:t>2013年雄州街道领导班子成员名单</w:t>
      </w:r>
    </w:p>
    <w:p w14:paraId="663F327D">
      <w:pPr>
        <w:pStyle w:val="10"/>
        <w:bidi w:val="0"/>
      </w:pPr>
      <w:r>
        <w:rPr>
          <w:rFonts w:hint="eastAsia"/>
          <w:b/>
          <w:bCs/>
        </w:rPr>
        <w:t>党工委书记、人大工委主任：</w:t>
      </w:r>
      <w:r>
        <w:rPr>
          <w:rFonts w:hint="eastAsia"/>
        </w:rPr>
        <w:t>叶凌峰（</w:t>
      </w:r>
      <w:r>
        <w:t>9月任）</w:t>
      </w:r>
    </w:p>
    <w:p w14:paraId="4C33B7FC">
      <w:pPr>
        <w:pStyle w:val="10"/>
        <w:bidi w:val="0"/>
        <w:ind w:firstLine="2730" w:firstLineChars="1300"/>
      </w:pPr>
      <w:r>
        <w:rPr>
          <w:rFonts w:hint="eastAsia"/>
        </w:rPr>
        <w:t>苏德椿（任至</w:t>
      </w:r>
      <w:r>
        <w:t>9月）</w:t>
      </w:r>
    </w:p>
    <w:p w14:paraId="2B8E7AC4">
      <w:pPr>
        <w:pStyle w:val="10"/>
        <w:bidi w:val="0"/>
      </w:pPr>
      <w:r>
        <w:rPr>
          <w:rFonts w:hint="eastAsia"/>
          <w:b/>
          <w:bCs/>
        </w:rPr>
        <w:t>党工委副书记、街道办事处主任：</w:t>
      </w:r>
      <w:r>
        <w:rPr>
          <w:rFonts w:hint="eastAsia"/>
        </w:rPr>
        <w:t>雷</w:t>
      </w:r>
      <w:r>
        <w:rPr>
          <w:rFonts w:hint="eastAsia"/>
          <w:lang w:val="en-US" w:eastAsia="zh-CN"/>
        </w:rPr>
        <w:t xml:space="preserve">  </w:t>
      </w:r>
      <w:r>
        <w:rPr>
          <w:rFonts w:hint="eastAsia"/>
        </w:rPr>
        <w:t>毅（</w:t>
      </w:r>
      <w:r>
        <w:t>9月任）</w:t>
      </w:r>
    </w:p>
    <w:p w14:paraId="3754AAEE">
      <w:pPr>
        <w:pStyle w:val="10"/>
        <w:bidi w:val="0"/>
        <w:rPr>
          <w:rFonts w:hint="eastAsia"/>
        </w:rPr>
      </w:pPr>
      <w:r>
        <w:rPr>
          <w:rFonts w:hint="eastAsia"/>
          <w:b/>
          <w:bCs/>
        </w:rPr>
        <w:t>纪检监察中心组组长、纪工委书记：</w:t>
      </w:r>
      <w:r>
        <w:rPr>
          <w:rFonts w:hint="eastAsia"/>
        </w:rPr>
        <w:t>刘</w:t>
      </w:r>
      <w:r>
        <w:rPr>
          <w:rFonts w:hint="eastAsia"/>
          <w:lang w:val="en-US" w:eastAsia="zh-CN"/>
        </w:rPr>
        <w:t xml:space="preserve">  </w:t>
      </w:r>
      <w:r>
        <w:rPr>
          <w:rFonts w:hint="eastAsia"/>
        </w:rPr>
        <w:t>均</w:t>
      </w:r>
    </w:p>
    <w:p w14:paraId="58C234D2">
      <w:pPr>
        <w:pStyle w:val="10"/>
        <w:bidi w:val="0"/>
        <w:rPr>
          <w:rFonts w:hint="eastAsia"/>
        </w:rPr>
      </w:pPr>
      <w:r>
        <w:rPr>
          <w:rFonts w:hint="eastAsia"/>
          <w:b/>
          <w:bCs/>
        </w:rPr>
        <w:t>党工委副书记：</w:t>
      </w:r>
      <w:r>
        <w:rPr>
          <w:rFonts w:hint="eastAsia"/>
        </w:rPr>
        <w:t>杨志峰</w:t>
      </w:r>
    </w:p>
    <w:p w14:paraId="2FD0440D">
      <w:pPr>
        <w:pStyle w:val="10"/>
        <w:bidi w:val="0"/>
        <w:rPr>
          <w:rFonts w:hint="eastAsia"/>
        </w:rPr>
      </w:pPr>
      <w:r>
        <w:rPr>
          <w:rFonts w:hint="eastAsia"/>
          <w:b/>
          <w:bCs/>
        </w:rPr>
        <w:t>组织委员：</w:t>
      </w:r>
      <w:r>
        <w:rPr>
          <w:rFonts w:hint="eastAsia"/>
        </w:rPr>
        <w:t>陈冬生</w:t>
      </w:r>
    </w:p>
    <w:p w14:paraId="51E5B139">
      <w:pPr>
        <w:pStyle w:val="10"/>
        <w:bidi w:val="0"/>
        <w:rPr>
          <w:rFonts w:hint="eastAsia"/>
        </w:rPr>
      </w:pPr>
      <w:r>
        <w:rPr>
          <w:rFonts w:hint="eastAsia"/>
          <w:b/>
          <w:bCs/>
        </w:rPr>
        <w:t>宣传委员：</w:t>
      </w:r>
      <w:r>
        <w:rPr>
          <w:rFonts w:hint="eastAsia"/>
        </w:rPr>
        <w:t>徐春林</w:t>
      </w:r>
    </w:p>
    <w:p w14:paraId="434FA87D">
      <w:pPr>
        <w:pStyle w:val="10"/>
        <w:bidi w:val="0"/>
        <w:rPr>
          <w:rFonts w:hint="eastAsia"/>
        </w:rPr>
      </w:pPr>
      <w:r>
        <w:rPr>
          <w:rFonts w:hint="eastAsia"/>
          <w:b/>
          <w:bCs/>
        </w:rPr>
        <w:t>人大工委副主任：</w:t>
      </w:r>
      <w:r>
        <w:rPr>
          <w:rFonts w:hint="eastAsia"/>
        </w:rPr>
        <w:t>雷会信</w:t>
      </w:r>
    </w:p>
    <w:p w14:paraId="533C3489">
      <w:pPr>
        <w:pStyle w:val="10"/>
        <w:bidi w:val="0"/>
        <w:rPr>
          <w:rFonts w:hint="eastAsia"/>
        </w:rPr>
      </w:pPr>
      <w:r>
        <w:rPr>
          <w:rFonts w:hint="eastAsia"/>
          <w:b/>
          <w:bCs/>
        </w:rPr>
        <w:t>武装部长</w:t>
      </w:r>
      <w:r>
        <w:rPr>
          <w:rFonts w:hint="eastAsia"/>
        </w:rPr>
        <w:t>：刘烈斌</w:t>
      </w:r>
    </w:p>
    <w:p w14:paraId="70EEFF2F">
      <w:pPr>
        <w:pStyle w:val="10"/>
        <w:bidi w:val="0"/>
      </w:pPr>
      <w:r>
        <w:rPr>
          <w:rFonts w:hint="eastAsia"/>
          <w:b/>
          <w:bCs/>
        </w:rPr>
        <w:t>综治办专职副主任：</w:t>
      </w:r>
      <w:r>
        <w:rPr>
          <w:rFonts w:hint="eastAsia"/>
        </w:rPr>
        <w:t>戴满萍（任至</w:t>
      </w:r>
      <w:r>
        <w:t>6月）</w:t>
      </w:r>
    </w:p>
    <w:p w14:paraId="619C5737">
      <w:pPr>
        <w:pStyle w:val="10"/>
        <w:bidi w:val="0"/>
      </w:pPr>
      <w:r>
        <w:rPr>
          <w:rFonts w:hint="eastAsia"/>
          <w:b/>
          <w:bCs/>
        </w:rPr>
        <w:t>党工委委员：</w:t>
      </w:r>
      <w:r>
        <w:rPr>
          <w:rFonts w:hint="eastAsia"/>
        </w:rPr>
        <w:t>何东红（</w:t>
      </w:r>
      <w:r>
        <w:t>12月任）</w:t>
      </w:r>
    </w:p>
    <w:p w14:paraId="7C79CA2B">
      <w:pPr>
        <w:pStyle w:val="10"/>
        <w:bidi w:val="0"/>
        <w:ind w:firstLine="1260" w:firstLineChars="600"/>
        <w:rPr>
          <w:rFonts w:hint="eastAsia"/>
          <w:lang w:eastAsia="zh-CN"/>
        </w:rPr>
      </w:pPr>
      <w:r>
        <w:rPr>
          <w:rFonts w:hint="eastAsia"/>
          <w:lang w:val="en-US" w:eastAsia="zh-CN"/>
        </w:rPr>
        <w:t>严</w:t>
      </w:r>
      <w:r>
        <w:rPr>
          <w:rFonts w:hint="eastAsia"/>
        </w:rPr>
        <w:t>日秀（任至</w:t>
      </w:r>
      <w:r>
        <w:t>6月</w:t>
      </w:r>
      <w:r>
        <w:rPr>
          <w:rFonts w:hint="eastAsia"/>
          <w:lang w:eastAsia="zh-CN"/>
        </w:rPr>
        <w:t>）</w:t>
      </w:r>
    </w:p>
    <w:p w14:paraId="7B76CB97">
      <w:pPr>
        <w:pStyle w:val="10"/>
        <w:bidi w:val="0"/>
        <w:rPr>
          <w:rFonts w:hint="eastAsia"/>
        </w:rPr>
      </w:pPr>
      <w:r>
        <w:rPr>
          <w:rFonts w:hint="eastAsia"/>
          <w:b/>
          <w:bCs/>
        </w:rPr>
        <w:t>街道办事处副主任：</w:t>
      </w:r>
      <w:r>
        <w:rPr>
          <w:rFonts w:hint="eastAsia"/>
        </w:rPr>
        <w:t>马南海</w:t>
      </w:r>
      <w:r>
        <w:rPr>
          <w:rFonts w:hint="eastAsia"/>
          <w:lang w:val="en-US" w:eastAsia="zh-CN"/>
        </w:rPr>
        <w:t xml:space="preserve">   </w:t>
      </w:r>
      <w:r>
        <w:rPr>
          <w:rFonts w:hint="eastAsia"/>
        </w:rPr>
        <w:t>黄德忠</w:t>
      </w:r>
    </w:p>
    <w:p w14:paraId="6E277FE5">
      <w:pPr>
        <w:pStyle w:val="3"/>
        <w:bidi w:val="0"/>
        <w:rPr>
          <w:rFonts w:hint="eastAsia"/>
          <w:lang w:val="en-US" w:eastAsia="zh-CN"/>
        </w:rPr>
      </w:pPr>
      <w:r>
        <w:rPr>
          <w:rFonts w:hint="eastAsia"/>
        </w:rPr>
        <w:t>邓坊</w:t>
      </w:r>
      <w:r>
        <w:rPr>
          <w:rFonts w:hint="eastAsia"/>
          <w:lang w:val="en-US" w:eastAsia="zh-CN"/>
        </w:rPr>
        <w:t>镇</w:t>
      </w:r>
    </w:p>
    <w:p w14:paraId="53A3E142">
      <w:pPr>
        <w:pStyle w:val="4"/>
        <w:bidi w:val="0"/>
        <w:rPr>
          <w:rFonts w:hint="eastAsia"/>
        </w:rPr>
      </w:pPr>
      <w:r>
        <w:rPr>
          <w:rFonts w:hint="eastAsia"/>
        </w:rPr>
        <w:t>【概况】</w:t>
      </w:r>
    </w:p>
    <w:p w14:paraId="6656E24C">
      <w:pPr>
        <w:rPr>
          <w:rFonts w:hint="eastAsia"/>
          <w:lang w:eastAsia="zh-CN"/>
        </w:rPr>
      </w:pPr>
      <w:r>
        <w:rPr>
          <w:rFonts w:hint="eastAsia"/>
        </w:rPr>
        <w:t>邓坊因相传明末清初时，有苟石村邓文公在邓坊河边开基经营磨坊业，以后渐成集市，故而得名。位于东经</w:t>
      </w:r>
      <w:r>
        <w:t>114</w:t>
      </w:r>
      <w:r>
        <w:rPr>
          <w:rFonts w:hint="eastAsia"/>
          <w:lang w:val="en-US" w:eastAsia="zh-CN"/>
        </w:rPr>
        <w:t>°</w:t>
      </w:r>
      <w:r>
        <w:t>25</w:t>
      </w:r>
      <w:r>
        <w:rPr>
          <w:rFonts w:hint="eastAsia"/>
          <w:lang w:val="en-US" w:eastAsia="zh-CN"/>
        </w:rPr>
        <w:t>′</w:t>
      </w:r>
      <w:r>
        <w:t>9.38</w:t>
      </w:r>
      <w:r>
        <w:rPr>
          <w:rFonts w:hint="eastAsia" w:ascii="宋体" w:hAnsi="宋体" w:cs="宋体"/>
          <w:lang w:val="en-US" w:eastAsia="zh-CN"/>
        </w:rPr>
        <w:t>″</w:t>
      </w:r>
      <w:r>
        <w:t>至114</w:t>
      </w:r>
      <w:r>
        <w:rPr>
          <w:rFonts w:hint="eastAsia"/>
          <w:lang w:val="en-US" w:eastAsia="zh-CN"/>
        </w:rPr>
        <w:t>°</w:t>
      </w:r>
      <w:r>
        <w:t>30</w:t>
      </w:r>
      <w:r>
        <w:rPr>
          <w:rFonts w:hint="eastAsia"/>
          <w:lang w:val="en-US" w:eastAsia="zh-CN"/>
        </w:rPr>
        <w:t>′</w:t>
      </w:r>
      <w:r>
        <w:t>52.5</w:t>
      </w:r>
      <w:r>
        <w:rPr>
          <w:rFonts w:hint="eastAsia"/>
          <w:lang w:val="en-US" w:eastAsia="zh-CN"/>
        </w:rPr>
        <w:t>″</w:t>
      </w:r>
      <w:r>
        <w:t>，</w:t>
      </w:r>
      <w:r>
        <w:rPr>
          <w:rFonts w:hint="eastAsia"/>
        </w:rPr>
        <w:t>北纬</w:t>
      </w:r>
      <w:r>
        <w:t>25</w:t>
      </w:r>
      <w:r>
        <w:rPr>
          <w:rFonts w:hint="eastAsia"/>
          <w:lang w:val="en-US" w:eastAsia="zh-CN"/>
        </w:rPr>
        <w:t>°</w:t>
      </w:r>
      <w:r>
        <w:t>13</w:t>
      </w:r>
      <w:r>
        <w:rPr>
          <w:rFonts w:hint="eastAsia"/>
          <w:lang w:val="en-US" w:eastAsia="zh-CN"/>
        </w:rPr>
        <w:t>′</w:t>
      </w:r>
      <w:r>
        <w:t>22.33</w:t>
      </w:r>
      <w:r>
        <w:rPr>
          <w:rFonts w:hint="eastAsia"/>
          <w:lang w:val="en-US" w:eastAsia="zh-CN"/>
        </w:rPr>
        <w:t>″</w:t>
      </w:r>
      <w:r>
        <w:t>至25°23</w:t>
      </w:r>
      <w:r>
        <w:rPr>
          <w:rFonts w:hint="eastAsia"/>
          <w:lang w:val="en-US" w:eastAsia="zh-CN"/>
        </w:rPr>
        <w:t>′</w:t>
      </w:r>
      <w:r>
        <w:t>17</w:t>
      </w:r>
      <w:r>
        <w:rPr>
          <w:rFonts w:hint="eastAsia"/>
          <w:lang w:val="en-US" w:eastAsia="zh-CN"/>
        </w:rPr>
        <w:t>″</w:t>
      </w:r>
      <w:r>
        <w:t>之间。是革命老</w:t>
      </w:r>
      <w:r>
        <w:rPr>
          <w:rFonts w:hint="eastAsia"/>
        </w:rPr>
        <w:t>区，东与油山、南与黄坑、湖口、西与珠玑梅岭交界，政府所在地邓坊圩，距城区雄州</w:t>
      </w:r>
      <w:r>
        <w:t>26公里</w:t>
      </w:r>
      <w:r>
        <w:rPr>
          <w:rFonts w:hint="eastAsia"/>
          <w:lang w:eastAsia="zh-CN"/>
        </w:rPr>
        <w:t>。</w:t>
      </w:r>
    </w:p>
    <w:p w14:paraId="108E43BB">
      <w:r>
        <w:rPr>
          <w:rFonts w:hint="eastAsia"/>
        </w:rPr>
        <w:t>邓坊镇辖境明代属于望梅乡杨律都。清康熙二十年（</w:t>
      </w:r>
      <w:r>
        <w:t>1681年）属杨律一都。咸丰四年（1854年）</w:t>
      </w:r>
      <w:r>
        <w:rPr>
          <w:rFonts w:hint="eastAsia"/>
        </w:rPr>
        <w:t>废都建约。民国属镇平乡。中华人民共和国成立后，历经数次合并。</w:t>
      </w:r>
      <w:r>
        <w:t>1957年6月建邓坊乡。1958</w:t>
      </w:r>
      <w:r>
        <w:rPr>
          <w:rFonts w:hint="eastAsia"/>
        </w:rPr>
        <w:t>年</w:t>
      </w:r>
      <w:r>
        <w:t>5月属火箭（黄坑）人民公社。1962年改设为</w:t>
      </w:r>
      <w:r>
        <w:rPr>
          <w:rFonts w:hint="eastAsia"/>
        </w:rPr>
        <w:t>邓坊人民公社。</w:t>
      </w:r>
      <w:r>
        <w:t>1980年10月改名为邓坊区公所，1986年3月改设为邓坊乡（划出4个村委会归油山</w:t>
      </w:r>
      <w:r>
        <w:rPr>
          <w:rFonts w:hint="eastAsia"/>
        </w:rPr>
        <w:t>镇管辖，自辖</w:t>
      </w:r>
      <w:r>
        <w:t>6个村委会），1994年6月改设为邓</w:t>
      </w:r>
      <w:r>
        <w:rPr>
          <w:rFonts w:hint="eastAsia"/>
        </w:rPr>
        <w:t>坊镇（辖</w:t>
      </w:r>
      <w:r>
        <w:t>6个村委会）。2001年12月镇乡调整，油</w:t>
      </w:r>
      <w:r>
        <w:rPr>
          <w:rFonts w:hint="eastAsia"/>
        </w:rPr>
        <w:t>山镇的</w:t>
      </w:r>
      <w:r>
        <w:t>4个村委会划回邓坊镇管辖，使邓坊镇辖境</w:t>
      </w:r>
      <w:r>
        <w:rPr>
          <w:rFonts w:hint="eastAsia"/>
        </w:rPr>
        <w:t>恢复到</w:t>
      </w:r>
      <w:r>
        <w:t>1962年邓坊人民公社所辖范围。</w:t>
      </w:r>
    </w:p>
    <w:p w14:paraId="512BD11C">
      <w:r>
        <w:rPr>
          <w:rFonts w:hint="eastAsia"/>
        </w:rPr>
        <w:t>邓坊镇有</w:t>
      </w:r>
      <w:r>
        <w:t>9个村委会和1个居委会，106个村</w:t>
      </w:r>
      <w:r>
        <w:rPr>
          <w:rFonts w:hint="eastAsia"/>
        </w:rPr>
        <w:t>小组，人口</w:t>
      </w:r>
      <w:r>
        <w:t>16398人，总户数4627户，其中常住人</w:t>
      </w:r>
      <w:r>
        <w:rPr>
          <w:rFonts w:hint="eastAsia"/>
        </w:rPr>
        <w:t>口</w:t>
      </w:r>
      <w:r>
        <w:t>12595人，占77.35%。耕地总面积27475亩，</w:t>
      </w:r>
      <w:r>
        <w:rPr>
          <w:rFonts w:hint="eastAsia"/>
        </w:rPr>
        <w:t>山林总面积</w:t>
      </w:r>
      <w:r>
        <w:t>110808亩。</w:t>
      </w:r>
    </w:p>
    <w:p w14:paraId="13DE5868">
      <w:pPr>
        <w:rPr>
          <w:rFonts w:hint="eastAsia"/>
        </w:rPr>
      </w:pPr>
      <w:r>
        <w:rPr>
          <w:rFonts w:hint="eastAsia"/>
        </w:rPr>
        <w:t>境内有杨梅、洋西、南山、兰田四条水系，其中杨梅水系的源头有一小型水库。这些水系除兰田属赣江水系流入长江外，其它三条均属</w:t>
      </w:r>
      <w:r>
        <w:rPr>
          <w:rFonts w:hint="eastAsia"/>
          <w:lang w:val="en-US" w:eastAsia="zh-CN"/>
        </w:rPr>
        <w:t>浈</w:t>
      </w:r>
      <w:r>
        <w:rPr>
          <w:rFonts w:hint="eastAsia"/>
        </w:rPr>
        <w:t>江水系流入珠江。</w:t>
      </w:r>
    </w:p>
    <w:p w14:paraId="486190F9">
      <w:pPr>
        <w:rPr>
          <w:rFonts w:hint="eastAsia"/>
        </w:rPr>
      </w:pPr>
      <w:r>
        <w:rPr>
          <w:rFonts w:hint="eastAsia"/>
        </w:rPr>
        <w:t>境内气候属亚热带季风气候，干湿季节分明。月均温</w:t>
      </w:r>
      <w:r>
        <w:t>8.7℃，7月均温28.5℃，年平均降水量1554.9毫米。地形地貌以半山区为主，平原、丘</w:t>
      </w:r>
      <w:r>
        <w:rPr>
          <w:rFonts w:hint="eastAsia"/>
        </w:rPr>
        <w:t>陵、河流、坡地相互交错，最高海拔</w:t>
      </w:r>
      <w:r>
        <w:rPr>
          <w:rFonts w:hint="eastAsia"/>
          <w:lang w:val="en-US" w:eastAsia="zh-CN"/>
        </w:rPr>
        <w:t>湖</w:t>
      </w:r>
      <w:r>
        <w:rPr>
          <w:rFonts w:hint="eastAsia"/>
        </w:rPr>
        <w:t>山</w:t>
      </w:r>
      <w:r>
        <w:t>850米。</w:t>
      </w:r>
      <w:r>
        <w:rPr>
          <w:rFonts w:hint="eastAsia"/>
        </w:rPr>
        <w:t>区域内主要经济作物有黄烟、水稻、玉米、花生、辣椒、西瓜、三华李等；矿产资源有钨、铁、铀、稀土、花</w:t>
      </w:r>
      <w:r>
        <w:rPr>
          <w:rFonts w:hint="eastAsia"/>
          <w:lang w:val="en-US" w:eastAsia="zh-CN"/>
        </w:rPr>
        <w:t>岗</w:t>
      </w:r>
      <w:r>
        <w:rPr>
          <w:rFonts w:hint="eastAsia"/>
        </w:rPr>
        <w:t>岩等，其中花岗岩蓄量大；当地农土特产主要是香菇、木耳、竹笋。</w:t>
      </w:r>
    </w:p>
    <w:p w14:paraId="4933F8A6">
      <w:pPr>
        <w:rPr>
          <w:rFonts w:hint="eastAsia"/>
        </w:rPr>
      </w:pPr>
      <w:r>
        <w:t>2013年，邓坊镇政府重点工作：投资9600万</w:t>
      </w:r>
      <w:r>
        <w:rPr>
          <w:rFonts w:hint="eastAsia"/>
        </w:rPr>
        <w:t>元，用于教育创强、农民健身广场建设、圩镇城镇化建设、农村生活垃圾转运站工程建设和杨梅水库水圳维修。</w:t>
      </w:r>
    </w:p>
    <w:p w14:paraId="233BE586">
      <w:pPr>
        <w:pStyle w:val="4"/>
        <w:bidi w:val="0"/>
        <w:rPr>
          <w:rFonts w:hint="eastAsia"/>
        </w:rPr>
      </w:pPr>
      <w:r>
        <w:rPr>
          <w:rFonts w:hint="eastAsia"/>
        </w:rPr>
        <w:t>【经济社会发展情况】</w:t>
      </w:r>
    </w:p>
    <w:p w14:paraId="0ACFC673">
      <w:r>
        <w:t>2013年，邓坊农业总产值27272万元，比上年增加13.1%。农民人均收入7328元，同比增长11.8%；全镇粮食种植28842</w:t>
      </w:r>
      <w:r>
        <w:rPr>
          <w:rFonts w:hint="eastAsia"/>
        </w:rPr>
        <w:t>亩，粮食产量</w:t>
      </w:r>
      <w:r>
        <w:t>12037吨，蔬菜、瓜类种植6250亩，</w:t>
      </w:r>
      <w:r>
        <w:rPr>
          <w:rFonts w:hint="eastAsia"/>
        </w:rPr>
        <w:t>全年产量</w:t>
      </w:r>
      <w:r>
        <w:t>10567吨；</w:t>
      </w:r>
    </w:p>
    <w:p w14:paraId="3DB1F46C">
      <w:pPr>
        <w:pStyle w:val="4"/>
        <w:bidi w:val="0"/>
        <w:rPr>
          <w:rFonts w:hint="eastAsia"/>
        </w:rPr>
      </w:pPr>
      <w:r>
        <w:rPr>
          <w:rFonts w:hint="eastAsia"/>
        </w:rPr>
        <w:t>【创建幼儿园】</w:t>
      </w:r>
    </w:p>
    <w:p w14:paraId="5CA8797E">
      <w:r>
        <w:t>2013年，创建一所公办中心幼儿</w:t>
      </w:r>
      <w:r>
        <w:rPr>
          <w:rFonts w:hint="eastAsia"/>
        </w:rPr>
        <w:t>园，有幼儿学生</w:t>
      </w:r>
      <w:r>
        <w:t>130人。</w:t>
      </w:r>
    </w:p>
    <w:p w14:paraId="03BFD184">
      <w:pPr>
        <w:pStyle w:val="4"/>
        <w:bidi w:val="0"/>
        <w:rPr>
          <w:rFonts w:hint="eastAsia"/>
        </w:rPr>
      </w:pPr>
      <w:r>
        <w:rPr>
          <w:rFonts w:hint="eastAsia"/>
        </w:rPr>
        <w:t>【民生事业】</w:t>
      </w:r>
    </w:p>
    <w:p w14:paraId="44387940">
      <w:r>
        <w:t>2013年，建设一所垃圾转运站；完</w:t>
      </w:r>
      <w:r>
        <w:rPr>
          <w:rFonts w:hint="eastAsia"/>
        </w:rPr>
        <w:t>善一块农民健身广场；装好</w:t>
      </w:r>
      <w:r>
        <w:t>60盏太阳能路灯；完</w:t>
      </w:r>
      <w:r>
        <w:rPr>
          <w:rFonts w:hint="eastAsia"/>
        </w:rPr>
        <w:t>成</w:t>
      </w:r>
      <w:r>
        <w:t>1000米的圩镇路面综合改造；</w:t>
      </w:r>
    </w:p>
    <w:p w14:paraId="341194C6">
      <w:pPr>
        <w:pStyle w:val="4"/>
        <w:bidi w:val="0"/>
        <w:rPr>
          <w:rFonts w:hint="eastAsia"/>
        </w:rPr>
      </w:pPr>
      <w:r>
        <w:rPr>
          <w:rFonts w:hint="eastAsia"/>
        </w:rPr>
        <w:t>【新农保和最低生活保障】</w:t>
      </w:r>
    </w:p>
    <w:p w14:paraId="244C30A9">
      <w:r>
        <w:rPr>
          <w:rFonts w:hint="eastAsia"/>
        </w:rPr>
        <w:t>有</w:t>
      </w:r>
      <w:r>
        <w:t>6120人享受新农保</w:t>
      </w:r>
      <w:r>
        <w:rPr>
          <w:rFonts w:hint="eastAsia"/>
        </w:rPr>
        <w:t>和社保服务；最低生活保障</w:t>
      </w:r>
      <w:r>
        <w:t>2013年新增15人；</w:t>
      </w:r>
    </w:p>
    <w:p w14:paraId="12433218">
      <w:pPr>
        <w:pStyle w:val="4"/>
        <w:bidi w:val="0"/>
        <w:rPr>
          <w:rFonts w:hint="eastAsia"/>
        </w:rPr>
      </w:pPr>
      <w:r>
        <w:rPr>
          <w:rFonts w:hint="eastAsia"/>
        </w:rPr>
        <w:t>【两违工作】</w:t>
      </w:r>
    </w:p>
    <w:p w14:paraId="3ED13144">
      <w:r>
        <w:t>2013年，</w:t>
      </w:r>
      <w:r>
        <w:rPr>
          <w:rFonts w:hint="eastAsia"/>
          <w:lang w:eastAsia="zh-CN"/>
        </w:rPr>
        <w:t>查</w:t>
      </w:r>
      <w:r>
        <w:t>处土地违法案件19宗，</w:t>
      </w:r>
      <w:r>
        <w:rPr>
          <w:rFonts w:hint="eastAsia"/>
        </w:rPr>
        <w:t>涉案土地面积</w:t>
      </w:r>
      <w:r>
        <w:t>9.7亩，有效制止违法用地21宗，</w:t>
      </w:r>
      <w:r>
        <w:rPr>
          <w:rFonts w:hint="eastAsia"/>
        </w:rPr>
        <w:t>强拆违规建筑房</w:t>
      </w:r>
      <w:r>
        <w:t>4套。</w:t>
      </w:r>
    </w:p>
    <w:p w14:paraId="36EE53B6">
      <w:pPr>
        <w:pStyle w:val="4"/>
        <w:bidi w:val="0"/>
        <w:rPr>
          <w:rFonts w:hint="eastAsia"/>
        </w:rPr>
      </w:pPr>
      <w:r>
        <w:rPr>
          <w:rFonts w:hint="eastAsia"/>
        </w:rPr>
        <w:t>【村貌整治】</w:t>
      </w:r>
    </w:p>
    <w:p w14:paraId="5EF5C06E">
      <w:pPr>
        <w:rPr>
          <w:rFonts w:hint="eastAsia"/>
        </w:rPr>
      </w:pPr>
      <w:r>
        <w:t>2013年，投资30万元为各自然村</w:t>
      </w:r>
      <w:r>
        <w:rPr>
          <w:rFonts w:hint="eastAsia"/>
        </w:rPr>
        <w:t>添置垃圾桶，垃圾统一收集到垃圾转运站处理。</w:t>
      </w:r>
    </w:p>
    <w:p w14:paraId="676615A5">
      <w:pPr>
        <w:pStyle w:val="4"/>
        <w:bidi w:val="0"/>
        <w:rPr>
          <w:rFonts w:hint="eastAsia"/>
        </w:rPr>
      </w:pPr>
      <w:r>
        <w:rPr>
          <w:rFonts w:hint="eastAsia"/>
        </w:rPr>
        <w:t>【林业生态工作】</w:t>
      </w:r>
    </w:p>
    <w:p w14:paraId="071AE334">
      <w:r>
        <w:rPr>
          <w:rFonts w:hint="eastAsia"/>
        </w:rPr>
        <w:t>义务植树</w:t>
      </w:r>
      <w:r>
        <w:t>3000株，完成残次林改</w:t>
      </w:r>
      <w:r>
        <w:rPr>
          <w:rFonts w:hint="eastAsia"/>
        </w:rPr>
        <w:t>造</w:t>
      </w:r>
      <w:r>
        <w:t>3000亩，竹头坪新村和牛塘新村进行万村绿建设。</w:t>
      </w:r>
    </w:p>
    <w:p w14:paraId="0EDA21FD">
      <w:pPr>
        <w:pStyle w:val="4"/>
        <w:bidi w:val="0"/>
        <w:rPr>
          <w:rFonts w:hint="eastAsia"/>
        </w:rPr>
      </w:pPr>
      <w:r>
        <w:rPr>
          <w:rFonts w:hint="eastAsia"/>
        </w:rPr>
        <w:t>【村两委换届工作】</w:t>
      </w:r>
    </w:p>
    <w:p w14:paraId="236E9C5F">
      <w:r>
        <w:t>2013年12月，邓坊镇完成</w:t>
      </w:r>
      <w:r>
        <w:rPr>
          <w:rFonts w:hint="eastAsia"/>
        </w:rPr>
        <w:t>村两委换届工作，支书主任一肩挑完成率</w:t>
      </w:r>
      <w:r>
        <w:t>90%。</w:t>
      </w:r>
    </w:p>
    <w:p w14:paraId="6EFE378E">
      <w:pPr>
        <w:pStyle w:val="4"/>
        <w:bidi w:val="0"/>
        <w:rPr>
          <w:rFonts w:hint="eastAsia"/>
          <w:lang w:eastAsia="zh-CN"/>
        </w:rPr>
      </w:pPr>
      <w:r>
        <w:rPr>
          <w:rFonts w:hint="eastAsia"/>
        </w:rPr>
        <w:t>【各村委会（居）基本情况</w:t>
      </w:r>
      <w:r>
        <w:rPr>
          <w:rFonts w:hint="eastAsia"/>
          <w:lang w:eastAsia="zh-CN"/>
        </w:rPr>
        <w:t>】</w:t>
      </w:r>
    </w:p>
    <w:p w14:paraId="7EE14AF8">
      <w:pPr>
        <w:rPr>
          <w:rFonts w:hint="eastAsia"/>
        </w:rPr>
      </w:pPr>
      <w:r>
        <w:rPr>
          <w:rFonts w:hint="eastAsia"/>
          <w:b/>
          <w:bCs/>
        </w:rPr>
        <w:t>茶头背村</w:t>
      </w:r>
      <w:r>
        <w:rPr>
          <w:rFonts w:hint="eastAsia"/>
          <w:b/>
          <w:bCs/>
          <w:lang w:val="en-US" w:eastAsia="zh-CN"/>
        </w:rPr>
        <w:t xml:space="preserve"> </w:t>
      </w:r>
      <w:r>
        <w:rPr>
          <w:rFonts w:hint="eastAsia"/>
          <w:lang w:val="en-US" w:eastAsia="zh-CN"/>
        </w:rPr>
        <w:t xml:space="preserve"> </w:t>
      </w:r>
      <w:r>
        <w:rPr>
          <w:rFonts w:hint="eastAsia"/>
        </w:rPr>
        <w:t>在邓坊镇的西北方，距政府所在地</w:t>
      </w:r>
      <w:r>
        <w:t>8公里，有10个村民小组，216户756人。全村土</w:t>
      </w:r>
      <w:r>
        <w:rPr>
          <w:rFonts w:hint="eastAsia"/>
        </w:rPr>
        <w:t>地面积</w:t>
      </w:r>
      <w:r>
        <w:t>735公顷，其中旱地25.2公顷，水田86公</w:t>
      </w:r>
      <w:r>
        <w:rPr>
          <w:rFonts w:hint="eastAsia"/>
        </w:rPr>
        <w:t>顷，林地</w:t>
      </w:r>
      <w:r>
        <w:t>600公顷，其他25公顷。2013年，主要</w:t>
      </w:r>
      <w:r>
        <w:rPr>
          <w:rFonts w:hint="eastAsia"/>
        </w:rPr>
        <w:t>发展粮食、西瓜、药用黄姜等经济作物。</w:t>
      </w:r>
    </w:p>
    <w:p w14:paraId="4CD504CC">
      <w:pPr>
        <w:rPr>
          <w:rFonts w:hint="eastAsia"/>
        </w:rPr>
      </w:pPr>
      <w:r>
        <w:rPr>
          <w:rFonts w:hint="eastAsia"/>
          <w:b/>
          <w:bCs/>
        </w:rPr>
        <w:t>蓝田村</w:t>
      </w:r>
      <w:r>
        <w:rPr>
          <w:rFonts w:hint="eastAsia"/>
          <w:b/>
          <w:bCs/>
          <w:lang w:val="en-US" w:eastAsia="zh-CN"/>
        </w:rPr>
        <w:t xml:space="preserve">  </w:t>
      </w:r>
      <w:r>
        <w:rPr>
          <w:rFonts w:hint="eastAsia"/>
        </w:rPr>
        <w:t>在邓坊镇的西北方，距政府所在地</w:t>
      </w:r>
      <w:r>
        <w:t>16</w:t>
      </w:r>
      <w:r>
        <w:rPr>
          <w:rFonts w:hint="eastAsia"/>
        </w:rPr>
        <w:t>公里，有</w:t>
      </w:r>
      <w:r>
        <w:t>12个村民小组，442户1682人。全村土</w:t>
      </w:r>
      <w:r>
        <w:rPr>
          <w:rFonts w:hint="eastAsia"/>
        </w:rPr>
        <w:t>地面积</w:t>
      </w:r>
      <w:r>
        <w:t>296公顷，其中耕地90公顷，旱地9.9公</w:t>
      </w:r>
      <w:r>
        <w:rPr>
          <w:rFonts w:hint="eastAsia"/>
        </w:rPr>
        <w:t>顷，水田</w:t>
      </w:r>
      <w:r>
        <w:t>158公顷，林地267.3公顷，其他119.3</w:t>
      </w:r>
      <w:r>
        <w:rPr>
          <w:rFonts w:hint="eastAsia"/>
        </w:rPr>
        <w:t>公顷。主要产有黑米、香菇、竹笋。矿产资源有钨砂。</w:t>
      </w:r>
    </w:p>
    <w:p w14:paraId="49F67116">
      <w:pPr>
        <w:rPr>
          <w:rFonts w:hint="eastAsia"/>
        </w:rPr>
      </w:pPr>
      <w:r>
        <w:rPr>
          <w:rFonts w:hint="eastAsia"/>
          <w:b/>
          <w:bCs/>
        </w:rPr>
        <w:t>上湖村</w:t>
      </w:r>
      <w:r>
        <w:rPr>
          <w:rFonts w:hint="eastAsia"/>
          <w:b/>
          <w:bCs/>
          <w:lang w:val="en-US" w:eastAsia="zh-CN"/>
        </w:rPr>
        <w:t xml:space="preserve">  </w:t>
      </w:r>
      <w:r>
        <w:rPr>
          <w:rFonts w:hint="eastAsia"/>
        </w:rPr>
        <w:t>在邓坊镇的西北方，距镇政府所在地</w:t>
      </w:r>
      <w:r>
        <w:t>14公里，有10个村民小组，253户910人。有山林</w:t>
      </w:r>
      <w:r>
        <w:rPr>
          <w:rFonts w:hint="eastAsia"/>
        </w:rPr>
        <w:t>面积</w:t>
      </w:r>
      <w:r>
        <w:t>1400公顷，耕地面积91公顷，主要特产有茶</w:t>
      </w:r>
      <w:r>
        <w:rPr>
          <w:rFonts w:hint="eastAsia"/>
        </w:rPr>
        <w:t>油、高山果；矿产资源有铁矿。</w:t>
      </w:r>
    </w:p>
    <w:p w14:paraId="56F0D6F2">
      <w:pPr>
        <w:rPr>
          <w:rFonts w:hint="eastAsia"/>
        </w:rPr>
      </w:pPr>
      <w:r>
        <w:rPr>
          <w:rFonts w:hint="eastAsia"/>
          <w:b/>
          <w:bCs/>
        </w:rPr>
        <w:t>洋西村</w:t>
      </w:r>
      <w:r>
        <w:rPr>
          <w:rFonts w:hint="eastAsia"/>
          <w:b/>
          <w:bCs/>
          <w:lang w:val="en-US" w:eastAsia="zh-CN"/>
        </w:rPr>
        <w:t xml:space="preserve">  </w:t>
      </w:r>
      <w:r>
        <w:rPr>
          <w:rFonts w:hint="eastAsia"/>
        </w:rPr>
        <w:t>在邓坊镇的东方，距政府所在地</w:t>
      </w:r>
      <w:r>
        <w:t>3公</w:t>
      </w:r>
      <w:r>
        <w:rPr>
          <w:rFonts w:hint="eastAsia"/>
        </w:rPr>
        <w:t>里，辖</w:t>
      </w:r>
      <w:r>
        <w:t>18个村民小组，588户，总人口2175人。</w:t>
      </w:r>
      <w:r>
        <w:rPr>
          <w:rFonts w:hint="eastAsia"/>
        </w:rPr>
        <w:t>为典型半山区村。全村总面积</w:t>
      </w:r>
      <w:r>
        <w:t>1163.2公顷，其中</w:t>
      </w:r>
      <w:r>
        <w:rPr>
          <w:rFonts w:hint="eastAsia"/>
        </w:rPr>
        <w:t>耕地面积</w:t>
      </w:r>
      <w:r>
        <w:t>168.5公顷，林地面积724.4公顷，全村</w:t>
      </w:r>
      <w:r>
        <w:rPr>
          <w:rFonts w:hint="eastAsia"/>
        </w:rPr>
        <w:t>以种植黄烟为主。</w:t>
      </w:r>
    </w:p>
    <w:p w14:paraId="4FBD76EC">
      <w:r>
        <w:rPr>
          <w:rFonts w:hint="eastAsia"/>
          <w:b/>
          <w:bCs/>
        </w:rPr>
        <w:t>邓坊村</w:t>
      </w:r>
      <w:r>
        <w:rPr>
          <w:rFonts w:hint="eastAsia"/>
          <w:b/>
          <w:bCs/>
          <w:lang w:val="en-US" w:eastAsia="zh-CN"/>
        </w:rPr>
        <w:t xml:space="preserve">  </w:t>
      </w:r>
      <w:r>
        <w:rPr>
          <w:rFonts w:hint="eastAsia"/>
        </w:rPr>
        <w:t>位于邓坊镇中心，是镇政府所在地，为半山区村。全村总面积</w:t>
      </w:r>
      <w:r>
        <w:t>1051.3公顷，其中耕地</w:t>
      </w:r>
      <w:r>
        <w:rPr>
          <w:rFonts w:hint="eastAsia"/>
        </w:rPr>
        <w:t>面积</w:t>
      </w:r>
      <w:r>
        <w:t>191.3公顷，林地面积556.2公顷，辖14个村</w:t>
      </w:r>
      <w:r>
        <w:rPr>
          <w:rFonts w:hint="eastAsia"/>
        </w:rPr>
        <w:t>民小组，</w:t>
      </w:r>
      <w:r>
        <w:t>697户2518人。是金友米基地。</w:t>
      </w:r>
    </w:p>
    <w:p w14:paraId="43B7C646">
      <w:pPr>
        <w:rPr>
          <w:rFonts w:hint="eastAsia"/>
        </w:rPr>
      </w:pPr>
      <w:r>
        <w:rPr>
          <w:rFonts w:hint="eastAsia"/>
          <w:b/>
          <w:bCs/>
        </w:rPr>
        <w:t>赤石村</w:t>
      </w:r>
      <w:r>
        <w:rPr>
          <w:rFonts w:hint="eastAsia"/>
          <w:b/>
          <w:bCs/>
          <w:lang w:val="en-US" w:eastAsia="zh-CN"/>
        </w:rPr>
        <w:t xml:space="preserve">  </w:t>
      </w:r>
      <w:r>
        <w:rPr>
          <w:rFonts w:hint="eastAsia"/>
        </w:rPr>
        <w:t>位于邓坊镇南部，距镇政府</w:t>
      </w:r>
      <w:r>
        <w:t>1公里，</w:t>
      </w:r>
      <w:r>
        <w:rPr>
          <w:rFonts w:hint="eastAsia"/>
        </w:rPr>
        <w:t>和黄坑镇交界，全村共有</w:t>
      </w:r>
      <w:r>
        <w:t>12个村小组，总户数575</w:t>
      </w:r>
      <w:r>
        <w:rPr>
          <w:rFonts w:hint="eastAsia"/>
        </w:rPr>
        <w:t>户，总人口</w:t>
      </w:r>
      <w:r>
        <w:t>2046人。全村土地面积749.4公顷，其</w:t>
      </w:r>
      <w:r>
        <w:rPr>
          <w:rFonts w:hint="eastAsia"/>
        </w:rPr>
        <w:t>中耕地</w:t>
      </w:r>
      <w:r>
        <w:t>170.8公顷，林地31.7公顷。全村主要是以</w:t>
      </w:r>
      <w:r>
        <w:rPr>
          <w:rFonts w:hint="eastAsia"/>
        </w:rPr>
        <w:t>种植水稻和黄烟为主。</w:t>
      </w:r>
    </w:p>
    <w:p w14:paraId="0471AB29">
      <w:pPr>
        <w:rPr>
          <w:rFonts w:hint="eastAsia"/>
        </w:rPr>
      </w:pPr>
      <w:r>
        <w:rPr>
          <w:rFonts w:hint="eastAsia"/>
          <w:b/>
          <w:bCs/>
        </w:rPr>
        <w:t>赤马村</w:t>
      </w:r>
      <w:r>
        <w:rPr>
          <w:rFonts w:hint="eastAsia"/>
          <w:b/>
          <w:bCs/>
          <w:lang w:val="en-US" w:eastAsia="zh-CN"/>
        </w:rPr>
        <w:t xml:space="preserve"> </w:t>
      </w:r>
      <w:r>
        <w:rPr>
          <w:rFonts w:hint="eastAsia"/>
          <w:lang w:val="en-US" w:eastAsia="zh-CN"/>
        </w:rPr>
        <w:t xml:space="preserve"> </w:t>
      </w:r>
      <w:r>
        <w:rPr>
          <w:rFonts w:hint="eastAsia"/>
        </w:rPr>
        <w:t>位于邓坊镇西南部，距离镇政府所在地</w:t>
      </w:r>
      <w:r>
        <w:t>4.5公里，为平原村。全村总面积</w:t>
      </w:r>
      <w:r>
        <w:rPr>
          <w:rFonts w:hint="eastAsia"/>
          <w:lang w:val="en-US" w:eastAsia="zh-CN"/>
        </w:rPr>
        <w:t>6</w:t>
      </w:r>
      <w:r>
        <w:t>62.2公顷，</w:t>
      </w:r>
      <w:r>
        <w:rPr>
          <w:rFonts w:hint="eastAsia"/>
        </w:rPr>
        <w:t>其中耕地面积</w:t>
      </w:r>
      <w:r>
        <w:t>141.3公顷，林地面积</w:t>
      </w:r>
      <w:r>
        <w:rPr>
          <w:rFonts w:hint="eastAsia"/>
          <w:lang w:val="en-US" w:eastAsia="zh-CN"/>
        </w:rPr>
        <w:t>2</w:t>
      </w:r>
      <w:r>
        <w:t>22.7公顷，</w:t>
      </w:r>
      <w:r>
        <w:rPr>
          <w:rFonts w:hint="eastAsia"/>
        </w:rPr>
        <w:t>辖</w:t>
      </w:r>
      <w:r>
        <w:t>8个村民小组，总户数491户，总人口1731人。</w:t>
      </w:r>
      <w:r>
        <w:rPr>
          <w:rFonts w:hint="eastAsia"/>
        </w:rPr>
        <w:t>全村以种植黄烟、水稻为主。</w:t>
      </w:r>
    </w:p>
    <w:p w14:paraId="1B2C16D7">
      <w:pPr>
        <w:rPr>
          <w:rFonts w:hint="eastAsia"/>
        </w:rPr>
      </w:pPr>
      <w:r>
        <w:rPr>
          <w:rFonts w:hint="eastAsia"/>
          <w:b/>
          <w:bCs/>
        </w:rPr>
        <w:t>马战村</w:t>
      </w:r>
      <w:r>
        <w:rPr>
          <w:rFonts w:hint="eastAsia"/>
          <w:lang w:val="en-US" w:eastAsia="zh-CN"/>
        </w:rPr>
        <w:t xml:space="preserve">  </w:t>
      </w:r>
      <w:r>
        <w:rPr>
          <w:rFonts w:hint="eastAsia"/>
        </w:rPr>
        <w:t>位于邓坊镇西部，距离镇政府所在地</w:t>
      </w:r>
      <w:r>
        <w:t>2.5公里，为半山区村。全村总面积259.3公顷，</w:t>
      </w:r>
      <w:r>
        <w:rPr>
          <w:rFonts w:hint="eastAsia"/>
        </w:rPr>
        <w:t>其中耕地面积</w:t>
      </w:r>
      <w:r>
        <w:t>85.2公顷，林地面积63.6公顷，辖7个村民小组，总户数297户，总人口1114人。全</w:t>
      </w:r>
      <w:r>
        <w:rPr>
          <w:rFonts w:hint="eastAsia"/>
        </w:rPr>
        <w:t>村以种植黄烟、玉米、水稻为主。</w:t>
      </w:r>
    </w:p>
    <w:p w14:paraId="270FA7C8">
      <w:pPr>
        <w:rPr>
          <w:rFonts w:hint="eastAsia"/>
        </w:rPr>
      </w:pPr>
      <w:r>
        <w:rPr>
          <w:rFonts w:hint="eastAsia"/>
          <w:b/>
          <w:bCs/>
        </w:rPr>
        <w:t>里源村</w:t>
      </w:r>
      <w:r>
        <w:rPr>
          <w:rFonts w:hint="eastAsia"/>
          <w:b/>
          <w:bCs/>
          <w:lang w:val="en-US" w:eastAsia="zh-CN"/>
        </w:rPr>
        <w:t xml:space="preserve"> </w:t>
      </w:r>
      <w:r>
        <w:rPr>
          <w:rFonts w:hint="eastAsia"/>
          <w:lang w:val="en-US" w:eastAsia="zh-CN"/>
        </w:rPr>
        <w:t xml:space="preserve"> </w:t>
      </w:r>
      <w:r>
        <w:rPr>
          <w:rFonts w:hint="eastAsia"/>
        </w:rPr>
        <w:t>位于邓坊镇的西北方，距离镇政府所在地</w:t>
      </w:r>
      <w:r>
        <w:t>4</w:t>
      </w:r>
      <w:r>
        <w:rPr>
          <w:rFonts w:hint="eastAsia"/>
          <w:lang w:val="en-US" w:eastAsia="zh-CN"/>
        </w:rPr>
        <w:t>.</w:t>
      </w:r>
      <w:r>
        <w:t>4公里。有14个村民小组，503户1896人。</w:t>
      </w:r>
      <w:r>
        <w:rPr>
          <w:rFonts w:hint="eastAsia"/>
        </w:rPr>
        <w:t>全村参加农村合作医疗人数</w:t>
      </w:r>
      <w:r>
        <w:t>1806人，新农保463</w:t>
      </w:r>
      <w:r>
        <w:rPr>
          <w:rFonts w:hint="eastAsia"/>
        </w:rPr>
        <w:t>人。低保户</w:t>
      </w:r>
      <w:r>
        <w:t>24户，低保人口63人。全村土地面积1385.8公顷，其中旱地34.8公顷，水田138.6公</w:t>
      </w:r>
      <w:r>
        <w:rPr>
          <w:rFonts w:hint="eastAsia"/>
        </w:rPr>
        <w:t>顷，林地</w:t>
      </w:r>
      <w:r>
        <w:t>1313.3公顷，其它32.3公顷。主要产业：</w:t>
      </w:r>
      <w:r>
        <w:rPr>
          <w:rFonts w:hint="eastAsia"/>
        </w:rPr>
        <w:t>优质水稻、黄烟、甜玉米。</w:t>
      </w:r>
    </w:p>
    <w:p w14:paraId="00B48002">
      <w:pPr>
        <w:rPr>
          <w:rFonts w:hint="eastAsia"/>
        </w:rPr>
      </w:pPr>
      <w:r>
        <w:rPr>
          <w:rFonts w:hint="eastAsia"/>
          <w:b/>
          <w:bCs/>
        </w:rPr>
        <w:t>邓坊居委会</w:t>
      </w:r>
      <w:r>
        <w:rPr>
          <w:rFonts w:hint="eastAsia"/>
          <w:b/>
          <w:bCs/>
          <w:lang w:val="en-US" w:eastAsia="zh-CN"/>
        </w:rPr>
        <w:t xml:space="preserve">  </w:t>
      </w:r>
      <w:r>
        <w:rPr>
          <w:rFonts w:hint="eastAsia"/>
        </w:rPr>
        <w:t>在邓坊圩，人口</w:t>
      </w:r>
      <w:r>
        <w:t>1080人，办公</w:t>
      </w:r>
      <w:r>
        <w:rPr>
          <w:rFonts w:hint="eastAsia"/>
        </w:rPr>
        <w:t>室设在国土所，有干部</w:t>
      </w:r>
      <w:r>
        <w:t>3人，圩镇面积1平方</w:t>
      </w:r>
      <w:r>
        <w:rPr>
          <w:rFonts w:hint="eastAsia"/>
        </w:rPr>
        <w:t>公里。</w:t>
      </w:r>
    </w:p>
    <w:p w14:paraId="69FA4785">
      <w:pPr>
        <w:jc w:val="right"/>
        <w:rPr>
          <w:rFonts w:hint="eastAsia"/>
          <w:b/>
          <w:bCs/>
        </w:rPr>
      </w:pPr>
      <w:r>
        <w:rPr>
          <w:rFonts w:hint="eastAsia"/>
          <w:b/>
          <w:bCs/>
        </w:rPr>
        <w:t>（朱祖福）</w:t>
      </w:r>
    </w:p>
    <w:p w14:paraId="76CB165A">
      <w:pPr>
        <w:pStyle w:val="10"/>
        <w:bidi w:val="0"/>
        <w:rPr>
          <w:b/>
          <w:bCs/>
        </w:rPr>
      </w:pPr>
      <w:r>
        <w:rPr>
          <w:rFonts w:hint="eastAsia"/>
          <w:b/>
          <w:bCs/>
        </w:rPr>
        <w:t>附：</w:t>
      </w:r>
      <w:r>
        <w:rPr>
          <w:b/>
          <w:bCs/>
        </w:rPr>
        <w:t>2013年邓坊镇领导班子成员名单</w:t>
      </w:r>
    </w:p>
    <w:p w14:paraId="53571982">
      <w:pPr>
        <w:pStyle w:val="10"/>
        <w:bidi w:val="0"/>
      </w:pPr>
      <w:r>
        <w:rPr>
          <w:rFonts w:hint="eastAsia"/>
          <w:b/>
          <w:bCs/>
        </w:rPr>
        <w:t>党委书记、人大主席：</w:t>
      </w:r>
      <w:r>
        <w:rPr>
          <w:rFonts w:hint="eastAsia"/>
        </w:rPr>
        <w:t>姚运华（任至</w:t>
      </w:r>
      <w:r>
        <w:t>9月）</w:t>
      </w:r>
    </w:p>
    <w:p w14:paraId="713BF2EA">
      <w:pPr>
        <w:pStyle w:val="10"/>
        <w:bidi w:val="0"/>
        <w:ind w:firstLine="2100" w:firstLineChars="1000"/>
      </w:pPr>
      <w:r>
        <w:rPr>
          <w:rFonts w:hint="eastAsia"/>
        </w:rPr>
        <w:t>郭才标（</w:t>
      </w:r>
      <w:r>
        <w:t>9月任）</w:t>
      </w:r>
    </w:p>
    <w:p w14:paraId="2FB49AA8">
      <w:pPr>
        <w:pStyle w:val="10"/>
        <w:bidi w:val="0"/>
        <w:rPr>
          <w:rFonts w:hint="eastAsia"/>
        </w:rPr>
      </w:pPr>
      <w:r>
        <w:rPr>
          <w:rFonts w:hint="eastAsia"/>
          <w:b/>
          <w:bCs/>
        </w:rPr>
        <w:t>党委副书记、镇长：</w:t>
      </w:r>
      <w:r>
        <w:rPr>
          <w:rFonts w:hint="eastAsia"/>
        </w:rPr>
        <w:t>刘小弘</w:t>
      </w:r>
    </w:p>
    <w:p w14:paraId="6CB976FC">
      <w:pPr>
        <w:pStyle w:val="10"/>
        <w:bidi w:val="0"/>
        <w:rPr>
          <w:rFonts w:hint="eastAsia"/>
        </w:rPr>
      </w:pPr>
      <w:r>
        <w:rPr>
          <w:rFonts w:hint="eastAsia"/>
          <w:b/>
          <w:bCs/>
        </w:rPr>
        <w:t>党委副书记：</w:t>
      </w:r>
      <w:r>
        <w:rPr>
          <w:rFonts w:hint="eastAsia"/>
        </w:rPr>
        <w:t>蓝北华</w:t>
      </w:r>
    </w:p>
    <w:p w14:paraId="461DA8EB">
      <w:pPr>
        <w:pStyle w:val="10"/>
        <w:bidi w:val="0"/>
        <w:rPr>
          <w:rFonts w:hint="eastAsia"/>
        </w:rPr>
      </w:pPr>
      <w:r>
        <w:rPr>
          <w:rFonts w:hint="eastAsia"/>
          <w:b/>
          <w:bCs/>
        </w:rPr>
        <w:t>纪委书记：</w:t>
      </w:r>
      <w:r>
        <w:rPr>
          <w:rFonts w:hint="eastAsia"/>
        </w:rPr>
        <w:t>罗清华</w:t>
      </w:r>
    </w:p>
    <w:p w14:paraId="75A17A02">
      <w:pPr>
        <w:pStyle w:val="10"/>
        <w:bidi w:val="0"/>
        <w:rPr>
          <w:rFonts w:hint="eastAsia"/>
        </w:rPr>
      </w:pPr>
      <w:r>
        <w:rPr>
          <w:rFonts w:hint="eastAsia"/>
          <w:b/>
          <w:bCs/>
        </w:rPr>
        <w:t>组织委员：</w:t>
      </w:r>
      <w:r>
        <w:rPr>
          <w:rFonts w:hint="eastAsia"/>
        </w:rPr>
        <w:t>廖光耀</w:t>
      </w:r>
    </w:p>
    <w:p w14:paraId="4A81C682">
      <w:pPr>
        <w:pStyle w:val="10"/>
        <w:bidi w:val="0"/>
        <w:rPr>
          <w:rFonts w:hint="eastAsia"/>
        </w:rPr>
      </w:pPr>
      <w:r>
        <w:rPr>
          <w:rFonts w:hint="eastAsia"/>
          <w:b/>
          <w:bCs/>
        </w:rPr>
        <w:t>宣传委员：</w:t>
      </w:r>
      <w:r>
        <w:rPr>
          <w:rFonts w:hint="eastAsia"/>
        </w:rPr>
        <w:t>梁常荣</w:t>
      </w:r>
    </w:p>
    <w:p w14:paraId="310DC5A9">
      <w:pPr>
        <w:pStyle w:val="10"/>
        <w:bidi w:val="0"/>
        <w:rPr>
          <w:rFonts w:hint="eastAsia"/>
        </w:rPr>
      </w:pPr>
      <w:r>
        <w:rPr>
          <w:rFonts w:hint="eastAsia"/>
          <w:b/>
          <w:bCs/>
        </w:rPr>
        <w:t>武装部长：</w:t>
      </w:r>
      <w:r>
        <w:rPr>
          <w:rFonts w:hint="eastAsia"/>
        </w:rPr>
        <w:t>胡锦平</w:t>
      </w:r>
    </w:p>
    <w:p w14:paraId="381B2A14">
      <w:pPr>
        <w:pStyle w:val="10"/>
        <w:bidi w:val="0"/>
        <w:rPr>
          <w:rFonts w:hint="eastAsia"/>
        </w:rPr>
      </w:pPr>
      <w:r>
        <w:rPr>
          <w:rFonts w:hint="eastAsia"/>
          <w:b/>
          <w:bCs/>
        </w:rPr>
        <w:t>人大副主席：</w:t>
      </w:r>
      <w:r>
        <w:rPr>
          <w:rFonts w:hint="eastAsia"/>
        </w:rPr>
        <w:t>钟海英</w:t>
      </w:r>
    </w:p>
    <w:p w14:paraId="3CA0605A">
      <w:pPr>
        <w:pStyle w:val="10"/>
        <w:bidi w:val="0"/>
        <w:rPr>
          <w:rFonts w:hint="eastAsia"/>
        </w:rPr>
      </w:pPr>
      <w:r>
        <w:rPr>
          <w:rFonts w:hint="eastAsia"/>
          <w:b/>
          <w:bCs/>
        </w:rPr>
        <w:t>综治办专职副主任：</w:t>
      </w:r>
      <w:r>
        <w:rPr>
          <w:rFonts w:hint="eastAsia"/>
        </w:rPr>
        <w:t>胡健</w:t>
      </w:r>
    </w:p>
    <w:p w14:paraId="1D9CF534">
      <w:pPr>
        <w:pStyle w:val="10"/>
        <w:bidi w:val="0"/>
        <w:rPr>
          <w:rFonts w:hint="eastAsia"/>
        </w:rPr>
      </w:pPr>
      <w:r>
        <w:rPr>
          <w:rFonts w:hint="eastAsia"/>
          <w:b/>
          <w:bCs/>
        </w:rPr>
        <w:t>副镇长：</w:t>
      </w:r>
      <w:r>
        <w:rPr>
          <w:rFonts w:hint="eastAsia"/>
        </w:rPr>
        <w:t>朱兆协</w:t>
      </w:r>
      <w:r>
        <w:rPr>
          <w:rFonts w:hint="eastAsia"/>
          <w:lang w:val="en-US" w:eastAsia="zh-CN"/>
        </w:rPr>
        <w:t xml:space="preserve">   </w:t>
      </w:r>
      <w:r>
        <w:rPr>
          <w:rFonts w:hint="eastAsia"/>
        </w:rPr>
        <w:t>孙宏澜</w:t>
      </w:r>
      <w:r>
        <w:rPr>
          <w:rFonts w:hint="eastAsia"/>
          <w:lang w:val="en-US" w:eastAsia="zh-CN"/>
        </w:rPr>
        <w:t xml:space="preserve">   </w:t>
      </w:r>
      <w:r>
        <w:rPr>
          <w:rFonts w:hint="eastAsia"/>
        </w:rPr>
        <w:t>肖东海</w:t>
      </w:r>
    </w:p>
    <w:p w14:paraId="06D505BA">
      <w:pPr>
        <w:pStyle w:val="3"/>
        <w:bidi w:val="0"/>
        <w:rPr>
          <w:rFonts w:hint="eastAsia"/>
        </w:rPr>
      </w:pPr>
      <w:r>
        <w:rPr>
          <w:rFonts w:hint="eastAsia"/>
        </w:rPr>
        <w:t>澜河镇</w:t>
      </w:r>
    </w:p>
    <w:p w14:paraId="1D4D8D76">
      <w:pPr>
        <w:pStyle w:val="4"/>
        <w:bidi w:val="0"/>
        <w:rPr>
          <w:rFonts w:hint="eastAsia"/>
        </w:rPr>
      </w:pPr>
      <w:r>
        <w:rPr>
          <w:rFonts w:hint="eastAsia"/>
        </w:rPr>
        <w:t>【概况】</w:t>
      </w:r>
    </w:p>
    <w:p w14:paraId="4FF7A7C2">
      <w:pPr>
        <w:rPr>
          <w:rFonts w:hint="eastAsia"/>
          <w:lang w:eastAsia="zh-CN"/>
        </w:rPr>
      </w:pPr>
      <w:r>
        <w:rPr>
          <w:rFonts w:hint="eastAsia"/>
        </w:rPr>
        <w:t>澜河镇位于南雄市西北方向，距市区</w:t>
      </w:r>
      <w:r>
        <w:t>35</w:t>
      </w:r>
      <w:r>
        <w:rPr>
          <w:rFonts w:hint="eastAsia"/>
        </w:rPr>
        <w:t>公里处。相传唐代，在澜河下游</w:t>
      </w:r>
      <w:r>
        <w:t>2公里处的龙坑有</w:t>
      </w:r>
      <w:r>
        <w:rPr>
          <w:rFonts w:hint="eastAsia"/>
        </w:rPr>
        <w:t>块过江麻石把这条河拦住，人们取名拦河，后改为澜河。镇政府驻地澜河墟，镇辖澜河、上澜、葛坪、上矽、白云、洞底</w:t>
      </w:r>
      <w:r>
        <w:t>6个村委会及新街社区1个</w:t>
      </w:r>
      <w:r>
        <w:rPr>
          <w:rFonts w:hint="eastAsia"/>
        </w:rPr>
        <w:t>居委会，共</w:t>
      </w:r>
      <w:r>
        <w:t>79个村小组。澜河镇面积171.3平方</w:t>
      </w:r>
      <w:r>
        <w:rPr>
          <w:rFonts w:hint="eastAsia"/>
        </w:rPr>
        <w:t>公里，是个七山二水一分田的山区镇，地势东北低，西南高，低山山脉连绵不断，海拔高度</w:t>
      </w:r>
      <w:r>
        <w:t>400800米，地质属花岗岩体，自然土壤为花岗岩红壤</w:t>
      </w:r>
      <w:r>
        <w:rPr>
          <w:rFonts w:hint="eastAsia"/>
        </w:rPr>
        <w:t>及麻红泥田土属，地下蕴藏铀矿、稀土，特色物产有毛竹、冬笋、香菇和杨梅。</w:t>
      </w:r>
      <w:r>
        <w:t>2013年末总人口10393人，其中农业人口9215人，常住人口7260</w:t>
      </w:r>
      <w:r>
        <w:rPr>
          <w:rFonts w:hint="eastAsia"/>
        </w:rPr>
        <w:t>人，外来人口</w:t>
      </w:r>
      <w:r>
        <w:t>52人，总劳动力5397人，少数民族</w:t>
      </w:r>
      <w:r>
        <w:rPr>
          <w:rFonts w:hint="eastAsia"/>
        </w:rPr>
        <w:t>畲族</w:t>
      </w:r>
      <w:r>
        <w:t>5户，17人</w:t>
      </w:r>
      <w:r>
        <w:rPr>
          <w:rFonts w:hint="eastAsia"/>
          <w:lang w:eastAsia="zh-CN"/>
        </w:rPr>
        <w:t>。</w:t>
      </w:r>
    </w:p>
    <w:p w14:paraId="1ECC138F">
      <w:pPr>
        <w:pStyle w:val="4"/>
        <w:bidi w:val="0"/>
        <w:rPr>
          <w:rFonts w:hint="eastAsia"/>
        </w:rPr>
      </w:pPr>
      <w:r>
        <w:rPr>
          <w:rFonts w:hint="eastAsia"/>
        </w:rPr>
        <w:t>【经济发展】</w:t>
      </w:r>
    </w:p>
    <w:p w14:paraId="0CFF43A3">
      <w:r>
        <w:t>2013年，全镇的农村经济总收入为3.5亿元，比2012年的3.1亿元，同比增长11%。</w:t>
      </w:r>
      <w:r>
        <w:rPr>
          <w:rFonts w:hint="eastAsia"/>
        </w:rPr>
        <w:t>农民人均纯收入为</w:t>
      </w:r>
      <w:r>
        <w:t>7482元，比去年的6740元，同</w:t>
      </w:r>
      <w:r>
        <w:rPr>
          <w:rFonts w:hint="eastAsia"/>
        </w:rPr>
        <w:t>比增长</w:t>
      </w:r>
      <w:r>
        <w:t>11%。国税总收入为198.8万元，地税总收</w:t>
      </w:r>
      <w:r>
        <w:rPr>
          <w:rFonts w:hint="eastAsia"/>
        </w:rPr>
        <w:t>入为</w:t>
      </w:r>
      <w:r>
        <w:t>228万元，均实现增长。</w:t>
      </w:r>
    </w:p>
    <w:p w14:paraId="28D4AAC2">
      <w:pPr>
        <w:pStyle w:val="4"/>
        <w:bidi w:val="0"/>
        <w:rPr>
          <w:rFonts w:hint="eastAsia"/>
        </w:rPr>
      </w:pPr>
      <w:r>
        <w:rPr>
          <w:rFonts w:hint="eastAsia"/>
        </w:rPr>
        <w:t>【粮食直补资金】</w:t>
      </w:r>
    </w:p>
    <w:p w14:paraId="52B0689C">
      <w:pPr>
        <w:rPr>
          <w:rFonts w:hint="eastAsia" w:eastAsia="宋体"/>
          <w:lang w:eastAsia="zh-CN"/>
        </w:rPr>
      </w:pPr>
      <w:r>
        <w:t>2013年完成8000亩粮食生产任</w:t>
      </w:r>
      <w:r>
        <w:rPr>
          <w:rFonts w:hint="eastAsia"/>
        </w:rPr>
        <w:t>务及耕地保有量</w:t>
      </w:r>
      <w:r>
        <w:t>10800亩任务，发放农民粮食直补</w:t>
      </w:r>
      <w:r>
        <w:rPr>
          <w:rFonts w:hint="eastAsia"/>
        </w:rPr>
        <w:t>资金</w:t>
      </w:r>
      <w:r>
        <w:t>783.264万元，农作物补助资金143.28万元</w:t>
      </w:r>
      <w:r>
        <w:rPr>
          <w:rFonts w:hint="eastAsia"/>
          <w:lang w:eastAsia="zh-CN"/>
        </w:rPr>
        <w:t>。</w:t>
      </w:r>
    </w:p>
    <w:p w14:paraId="181F91DE">
      <w:pPr>
        <w:pStyle w:val="4"/>
        <w:bidi w:val="0"/>
        <w:rPr>
          <w:rFonts w:hint="eastAsia"/>
        </w:rPr>
      </w:pPr>
      <w:r>
        <w:rPr>
          <w:rFonts w:hint="eastAsia"/>
        </w:rPr>
        <w:t>【畜牧业生产】</w:t>
      </w:r>
    </w:p>
    <w:p w14:paraId="005FD38D">
      <w:pPr>
        <w:rPr>
          <w:rFonts w:hint="eastAsia"/>
        </w:rPr>
      </w:pPr>
      <w:r>
        <w:rPr>
          <w:rFonts w:hint="eastAsia"/>
        </w:rPr>
        <w:t>年出栏</w:t>
      </w:r>
      <w:r>
        <w:t>100头以上的生猪养殖场</w:t>
      </w:r>
      <w:r>
        <w:rPr>
          <w:rFonts w:hint="eastAsia"/>
        </w:rPr>
        <w:t>发展到了</w:t>
      </w:r>
      <w:r>
        <w:t>6个，其中年出栏500头以上的标准化生</w:t>
      </w:r>
      <w:r>
        <w:rPr>
          <w:rFonts w:hint="eastAsia"/>
        </w:rPr>
        <w:t>猪养殖场有</w:t>
      </w:r>
      <w:r>
        <w:t>4个。整年无重大动物疫病情发生，无</w:t>
      </w:r>
      <w:r>
        <w:rPr>
          <w:rFonts w:hint="eastAsia"/>
        </w:rPr>
        <w:t>出现“瘦肉精”等非法添加剂事件。</w:t>
      </w:r>
    </w:p>
    <w:p w14:paraId="6FBE8840">
      <w:pPr>
        <w:pStyle w:val="4"/>
        <w:bidi w:val="0"/>
        <w:rPr>
          <w:rFonts w:hint="eastAsia"/>
        </w:rPr>
      </w:pPr>
      <w:r>
        <w:rPr>
          <w:rFonts w:hint="eastAsia"/>
        </w:rPr>
        <w:t>【竹木加工】</w:t>
      </w:r>
    </w:p>
    <w:p w14:paraId="0E024109">
      <w:pPr>
        <w:rPr>
          <w:rFonts w:hint="eastAsia"/>
        </w:rPr>
      </w:pPr>
      <w:r>
        <w:rPr>
          <w:rFonts w:hint="eastAsia"/>
        </w:rPr>
        <w:t>镇所辖范围内有</w:t>
      </w:r>
      <w:r>
        <w:t>5家竹木加工企业，</w:t>
      </w:r>
      <w:r>
        <w:rPr>
          <w:rFonts w:hint="eastAsia"/>
        </w:rPr>
        <w:t>其中竹制品加工企业</w:t>
      </w:r>
      <w:r>
        <w:t>4家，木制品加工企业1家.</w:t>
      </w:r>
      <w:r>
        <w:rPr>
          <w:rFonts w:hint="eastAsia"/>
        </w:rPr>
        <w:t>主要生产产品有竹筷子、碳棒和拉丝。目前，这</w:t>
      </w:r>
      <w:r>
        <w:t>5</w:t>
      </w:r>
      <w:r>
        <w:rPr>
          <w:rFonts w:hint="eastAsia"/>
        </w:rPr>
        <w:t>家企业的从业人员共计</w:t>
      </w:r>
      <w:r>
        <w:t>150多人，年产值可达1000</w:t>
      </w:r>
      <w:r>
        <w:rPr>
          <w:rFonts w:hint="eastAsia"/>
        </w:rPr>
        <w:t>多万元。</w:t>
      </w:r>
    </w:p>
    <w:p w14:paraId="2AD643E5">
      <w:pPr>
        <w:pStyle w:val="4"/>
        <w:bidi w:val="0"/>
        <w:rPr>
          <w:rFonts w:hint="eastAsia"/>
        </w:rPr>
      </w:pPr>
      <w:r>
        <w:rPr>
          <w:rFonts w:hint="eastAsia"/>
        </w:rPr>
        <w:t>【教育事业】</w:t>
      </w:r>
    </w:p>
    <w:p w14:paraId="3D67BBC5">
      <w:pPr>
        <w:rPr>
          <w:rFonts w:hint="eastAsia"/>
        </w:rPr>
      </w:pPr>
      <w:r>
        <w:rPr>
          <w:rFonts w:hint="eastAsia"/>
        </w:rPr>
        <w:t>教育事业健康发展，办学条件得到极大改善，教学布局得到优化，全面落实“两免补”政策。</w:t>
      </w:r>
      <w:r>
        <w:t>2013年，小学及初中均无辍学现象，辍</w:t>
      </w:r>
      <w:r>
        <w:rPr>
          <w:rFonts w:hint="eastAsia"/>
        </w:rPr>
        <w:t>学率均为零。投资</w:t>
      </w:r>
      <w:r>
        <w:t>113万元白云小学学生宿舍楼，2012年开始施工，至2013年上半年全面竣工并投</w:t>
      </w:r>
      <w:r>
        <w:rPr>
          <w:rFonts w:hint="eastAsia"/>
        </w:rPr>
        <w:t>入使用。</w:t>
      </w:r>
    </w:p>
    <w:p w14:paraId="16804A91">
      <w:pPr>
        <w:pStyle w:val="4"/>
        <w:bidi w:val="0"/>
        <w:rPr>
          <w:rFonts w:hint="eastAsia"/>
        </w:rPr>
      </w:pPr>
      <w:r>
        <w:rPr>
          <w:rFonts w:hint="eastAsia"/>
        </w:rPr>
        <w:t>【基础设施】</w:t>
      </w:r>
    </w:p>
    <w:p w14:paraId="6E9AE118">
      <w:pPr>
        <w:rPr>
          <w:rFonts w:hint="eastAsia"/>
        </w:rPr>
      </w:pPr>
      <w:r>
        <w:t>2013年投资50万元新建澜河镇文</w:t>
      </w:r>
      <w:r>
        <w:rPr>
          <w:rFonts w:hint="eastAsia"/>
        </w:rPr>
        <w:t>化健身广场，广场占地面积</w:t>
      </w:r>
      <w:r>
        <w:t>3000多平方米，篮球</w:t>
      </w:r>
      <w:r>
        <w:rPr>
          <w:rFonts w:hint="eastAsia"/>
        </w:rPr>
        <w:t>场、乒乓球场等其他健身设施齐全。</w:t>
      </w:r>
    </w:p>
    <w:p w14:paraId="51035865">
      <w:pPr>
        <w:pStyle w:val="4"/>
        <w:bidi w:val="0"/>
        <w:rPr>
          <w:rFonts w:hint="eastAsia"/>
        </w:rPr>
      </w:pPr>
      <w:r>
        <w:rPr>
          <w:rFonts w:hint="eastAsia"/>
        </w:rPr>
        <w:t>【电视网络】</w:t>
      </w:r>
    </w:p>
    <w:p w14:paraId="76F8003D">
      <w:r>
        <w:rPr>
          <w:rFonts w:hint="eastAsia"/>
        </w:rPr>
        <w:t>为</w:t>
      </w:r>
      <w:r>
        <w:t>436户农户免费安装“户户通”</w:t>
      </w:r>
      <w:r>
        <w:rPr>
          <w:rFonts w:hint="eastAsia"/>
        </w:rPr>
        <w:t>卫星定位电视接收器，比上级下达的任务超额安装</w:t>
      </w:r>
      <w:r>
        <w:t>100户。</w:t>
      </w:r>
    </w:p>
    <w:p w14:paraId="772694C0">
      <w:pPr>
        <w:pStyle w:val="4"/>
        <w:bidi w:val="0"/>
        <w:rPr>
          <w:rFonts w:hint="eastAsia"/>
        </w:rPr>
      </w:pPr>
      <w:r>
        <w:rPr>
          <w:rFonts w:hint="eastAsia"/>
        </w:rPr>
        <w:t>【水泥硬化工程】</w:t>
      </w:r>
    </w:p>
    <w:p w14:paraId="3C312AEC">
      <w:r>
        <w:rPr>
          <w:rFonts w:hint="eastAsia"/>
        </w:rPr>
        <w:t>已完成水泥硬化工程</w:t>
      </w:r>
      <w:r>
        <w:t>10公里，</w:t>
      </w:r>
      <w:r>
        <w:rPr>
          <w:rFonts w:hint="eastAsia"/>
        </w:rPr>
        <w:t>其中澜矽公路</w:t>
      </w:r>
      <w:r>
        <w:t>7公里，洞底高峰公路2.4公里，洞</w:t>
      </w:r>
      <w:r>
        <w:rPr>
          <w:rFonts w:hint="eastAsia"/>
        </w:rPr>
        <w:t>底新屋老屋公路</w:t>
      </w:r>
      <w:r>
        <w:t>0.6公里。</w:t>
      </w:r>
    </w:p>
    <w:p w14:paraId="5D76266A">
      <w:pPr>
        <w:pStyle w:val="4"/>
        <w:bidi w:val="0"/>
        <w:rPr>
          <w:rFonts w:hint="eastAsia"/>
        </w:rPr>
      </w:pPr>
      <w:r>
        <w:rPr>
          <w:rFonts w:hint="eastAsia"/>
        </w:rPr>
        <w:t>【农村保洁】</w:t>
      </w:r>
    </w:p>
    <w:p w14:paraId="1ED2148D">
      <w:pPr>
        <w:rPr>
          <w:rFonts w:hint="eastAsia"/>
        </w:rPr>
      </w:pPr>
      <w:r>
        <w:rPr>
          <w:rFonts w:hint="eastAsia"/>
        </w:rPr>
        <w:t>各村建立垃圾池，并由专人负责清理。其中白云村委会鱼口坑村小组被评为韶关市卫生村。</w:t>
      </w:r>
    </w:p>
    <w:p w14:paraId="45F4C1D3">
      <w:pPr>
        <w:pStyle w:val="4"/>
        <w:bidi w:val="0"/>
        <w:rPr>
          <w:rFonts w:hint="eastAsia"/>
        </w:rPr>
      </w:pPr>
      <w:r>
        <w:rPr>
          <w:rFonts w:hint="eastAsia"/>
        </w:rPr>
        <w:t>【计划生育】</w:t>
      </w:r>
    </w:p>
    <w:p w14:paraId="3C79B9F1">
      <w:r>
        <w:t>2013年，全镇已婚育龄妇女人数为2377人，其中已落实各种节育措施1962人；完成</w:t>
      </w:r>
      <w:r>
        <w:rPr>
          <w:rFonts w:hint="eastAsia"/>
        </w:rPr>
        <w:t>四术</w:t>
      </w:r>
      <w:r>
        <w:t>185例。已婚育龄夫妻对人口与计划生育基础</w:t>
      </w:r>
      <w:r>
        <w:rPr>
          <w:rFonts w:hint="eastAsia"/>
        </w:rPr>
        <w:t>知识“知晓率”达到</w:t>
      </w:r>
      <w:r>
        <w:t>95%以上，流入育龄妇女</w:t>
      </w:r>
      <w:r>
        <w:rPr>
          <w:rFonts w:hint="eastAsia"/>
        </w:rPr>
        <w:t>《婚育证明》验证率达</w:t>
      </w:r>
      <w:r>
        <w:t>100%。</w:t>
      </w:r>
    </w:p>
    <w:p w14:paraId="14674859">
      <w:pPr>
        <w:pStyle w:val="4"/>
        <w:bidi w:val="0"/>
        <w:rPr>
          <w:rFonts w:hint="eastAsia"/>
        </w:rPr>
      </w:pPr>
      <w:r>
        <w:rPr>
          <w:rFonts w:hint="eastAsia"/>
          <w:lang w:eastAsia="zh-CN"/>
        </w:rPr>
        <w:t>【</w:t>
      </w:r>
      <w:r>
        <w:rPr>
          <w:rFonts w:hint="eastAsia"/>
        </w:rPr>
        <w:t>林业工作】</w:t>
      </w:r>
    </w:p>
    <w:p w14:paraId="60505185">
      <w:r>
        <w:t>2013年，完成造林1800亩；完成葛</w:t>
      </w:r>
      <w:r>
        <w:rPr>
          <w:rFonts w:hint="eastAsia"/>
        </w:rPr>
        <w:t>坪、上矽村“万村绿”工程</w:t>
      </w:r>
      <w:r>
        <w:t>30亩。</w:t>
      </w:r>
    </w:p>
    <w:p w14:paraId="127496C7">
      <w:pPr>
        <w:pStyle w:val="4"/>
        <w:bidi w:val="0"/>
        <w:rPr>
          <w:rFonts w:hint="eastAsia"/>
        </w:rPr>
      </w:pPr>
      <w:r>
        <w:rPr>
          <w:rFonts w:hint="eastAsia"/>
        </w:rPr>
        <w:t>【武装征兵】</w:t>
      </w:r>
    </w:p>
    <w:p w14:paraId="65AB8BC4">
      <w:r>
        <w:rPr>
          <w:rFonts w:hint="eastAsia"/>
        </w:rPr>
        <w:t>应征青年报名较往年有所增加，文化素质普遍提高。经过重重筛选全镇有</w:t>
      </w:r>
      <w:r>
        <w:t>4名青年光</w:t>
      </w:r>
      <w:r>
        <w:rPr>
          <w:rFonts w:hint="eastAsia"/>
        </w:rPr>
        <w:t>荣入伍，超额</w:t>
      </w:r>
      <w:r>
        <w:t>1名完成征兵任务。</w:t>
      </w:r>
    </w:p>
    <w:p w14:paraId="255427FF">
      <w:pPr>
        <w:pStyle w:val="4"/>
        <w:bidi w:val="0"/>
        <w:rPr>
          <w:rFonts w:hint="eastAsia"/>
        </w:rPr>
      </w:pPr>
      <w:r>
        <w:rPr>
          <w:rFonts w:hint="eastAsia"/>
        </w:rPr>
        <w:t>【村级两委换届】</w:t>
      </w:r>
    </w:p>
    <w:p w14:paraId="5B359EA8">
      <w:r>
        <w:rPr>
          <w:rFonts w:hint="eastAsia"/>
        </w:rPr>
        <w:t>全镇新一届“两委”换届工作已经圆满完成，实现“三个百分百”目标，即支书、主任“一肩挑”</w:t>
      </w:r>
      <w:r>
        <w:t>100%，“两委”干部交叉任</w:t>
      </w:r>
      <w:r>
        <w:rPr>
          <w:rFonts w:hint="eastAsia"/>
        </w:rPr>
        <w:t>职</w:t>
      </w:r>
      <w:r>
        <w:t>100%，有妇女干部任职100%。</w:t>
      </w:r>
    </w:p>
    <w:p w14:paraId="3E6C1814">
      <w:pPr>
        <w:pStyle w:val="4"/>
        <w:bidi w:val="0"/>
        <w:rPr>
          <w:rFonts w:hint="eastAsia"/>
        </w:rPr>
      </w:pPr>
      <w:r>
        <w:rPr>
          <w:rFonts w:hint="eastAsia"/>
        </w:rPr>
        <w:t>【综治维稳】</w:t>
      </w:r>
    </w:p>
    <w:p w14:paraId="35D35518">
      <w:pPr>
        <w:rPr>
          <w:rFonts w:hint="eastAsia"/>
        </w:rPr>
      </w:pPr>
      <w:r>
        <w:rPr>
          <w:rFonts w:hint="eastAsia"/>
        </w:rPr>
        <w:t>全镇整年登记受理纠纷</w:t>
      </w:r>
      <w:r>
        <w:t>26起，调处</w:t>
      </w:r>
      <w:r>
        <w:rPr>
          <w:rFonts w:hint="eastAsia"/>
        </w:rPr>
        <w:t>化解</w:t>
      </w:r>
      <w:r>
        <w:t>26起，调处率达100%全年没有一起群体性</w:t>
      </w:r>
      <w:r>
        <w:rPr>
          <w:rFonts w:hint="eastAsia"/>
        </w:rPr>
        <w:t>上访案例，进京上省上访为零，群体性恶性事件为零。投资</w:t>
      </w:r>
      <w:r>
        <w:t>9万元装修资金，打造澜河镇便民服务中</w:t>
      </w:r>
      <w:r>
        <w:rPr>
          <w:rFonts w:hint="eastAsia"/>
        </w:rPr>
        <w:t>心。计生、民政、林业、社保、国土、农业等窗口部门集中在便民服务中心办公。</w:t>
      </w:r>
    </w:p>
    <w:p w14:paraId="77275469">
      <w:pPr>
        <w:pStyle w:val="4"/>
        <w:bidi w:val="0"/>
        <w:rPr>
          <w:rFonts w:hint="eastAsia"/>
        </w:rPr>
      </w:pPr>
      <w:r>
        <w:rPr>
          <w:rFonts w:hint="eastAsia"/>
        </w:rPr>
        <w:t>【安全监管】</w:t>
      </w:r>
    </w:p>
    <w:p w14:paraId="323C61F3">
      <w:pPr>
        <w:rPr>
          <w:rFonts w:hint="eastAsia"/>
        </w:rPr>
      </w:pPr>
      <w:r>
        <w:rPr>
          <w:rFonts w:hint="eastAsia"/>
        </w:rPr>
        <w:t>全镇开展组织安全生产大检</w:t>
      </w:r>
      <w:r>
        <w:rPr>
          <w:rFonts w:hint="eastAsia"/>
          <w:lang w:eastAsia="zh-CN"/>
        </w:rPr>
        <w:t>查</w:t>
      </w:r>
      <w:r>
        <w:t>6次，</w:t>
      </w:r>
      <w:r>
        <w:rPr>
          <w:rFonts w:hint="eastAsia"/>
        </w:rPr>
        <w:t>检</w:t>
      </w:r>
      <w:r>
        <w:rPr>
          <w:rFonts w:hint="eastAsia"/>
          <w:lang w:eastAsia="zh-CN"/>
        </w:rPr>
        <w:t>查</w:t>
      </w:r>
      <w:r>
        <w:rPr>
          <w:rFonts w:hint="eastAsia"/>
        </w:rPr>
        <w:t>生产经营单位</w:t>
      </w:r>
      <w:r>
        <w:t>134家次，发现安全隐患问题38</w:t>
      </w:r>
      <w:r>
        <w:rPr>
          <w:rFonts w:hint="eastAsia"/>
        </w:rPr>
        <w:t>项，立即整改安全隐患</w:t>
      </w:r>
      <w:r>
        <w:t>26项，下达责令整改指令</w:t>
      </w:r>
      <w:r>
        <w:rPr>
          <w:rFonts w:hint="eastAsia"/>
        </w:rPr>
        <w:t>书</w:t>
      </w:r>
      <w:r>
        <w:t>12份，限期整改12项，整改率达100%，实现</w:t>
      </w:r>
      <w:r>
        <w:rPr>
          <w:rFonts w:hint="eastAsia"/>
        </w:rPr>
        <w:t>了安全生产零事故。</w:t>
      </w:r>
    </w:p>
    <w:p w14:paraId="63391995">
      <w:pPr>
        <w:pStyle w:val="4"/>
        <w:bidi w:val="0"/>
        <w:rPr>
          <w:rFonts w:hint="eastAsia"/>
        </w:rPr>
      </w:pPr>
      <w:r>
        <w:rPr>
          <w:rFonts w:hint="eastAsia"/>
        </w:rPr>
        <w:t>【各村委会（社区）基本情况】</w:t>
      </w:r>
    </w:p>
    <w:p w14:paraId="26DF794C">
      <w:pPr>
        <w:rPr>
          <w:rFonts w:hint="eastAsia"/>
        </w:rPr>
      </w:pPr>
      <w:r>
        <w:rPr>
          <w:rFonts w:hint="eastAsia"/>
          <w:b/>
          <w:bCs/>
        </w:rPr>
        <w:t>新街社区</w:t>
      </w:r>
      <w:r>
        <w:rPr>
          <w:rFonts w:hint="eastAsia"/>
          <w:lang w:val="en-US" w:eastAsia="zh-CN"/>
        </w:rPr>
        <w:t xml:space="preserve">  </w:t>
      </w:r>
      <w:r>
        <w:rPr>
          <w:rFonts w:hint="eastAsia"/>
        </w:rPr>
        <w:t>位于澜河镇，东临澜河村，西接白云村，南靠上澜村，北与凌江公司接壤。总面积为</w:t>
      </w:r>
      <w:r>
        <w:t>500亩，其总人口为430人，其中劳动力265人</w:t>
      </w:r>
      <w:r>
        <w:rPr>
          <w:rFonts w:hint="eastAsia"/>
        </w:rPr>
        <w:t>村民主要经济来源是靠养殖和劳务输出，社区内有农贸街市场，面积大约</w:t>
      </w:r>
      <w:r>
        <w:t>100平方米，主要要为居民</w:t>
      </w:r>
      <w:r>
        <w:rPr>
          <w:rFonts w:hint="eastAsia"/>
        </w:rPr>
        <w:t>提供日用生活用品、医疗服务、农产品交易等功能。</w:t>
      </w:r>
    </w:p>
    <w:p w14:paraId="01C1B026">
      <w:pPr>
        <w:rPr>
          <w:rFonts w:hint="eastAsia"/>
        </w:rPr>
      </w:pPr>
      <w:r>
        <w:rPr>
          <w:rFonts w:hint="eastAsia"/>
          <w:b/>
          <w:bCs/>
        </w:rPr>
        <w:t>葛坪村委会</w:t>
      </w:r>
      <w:r>
        <w:rPr>
          <w:rFonts w:hint="eastAsia"/>
          <w:b/>
          <w:bCs/>
          <w:lang w:val="en-US" w:eastAsia="zh-CN"/>
        </w:rPr>
        <w:t xml:space="preserve"> </w:t>
      </w:r>
      <w:r>
        <w:rPr>
          <w:rFonts w:hint="eastAsia"/>
          <w:lang w:val="en-US" w:eastAsia="zh-CN"/>
        </w:rPr>
        <w:t xml:space="preserve"> </w:t>
      </w:r>
      <w:r>
        <w:rPr>
          <w:rFonts w:hint="eastAsia"/>
        </w:rPr>
        <w:t>位于澜河镇偏南方向，东临全安镇，西接百顺镇，北与澜河村接壤。距澜河镇</w:t>
      </w:r>
      <w:r>
        <w:t>4公</w:t>
      </w:r>
      <w:r>
        <w:rPr>
          <w:rFonts w:hint="eastAsia"/>
        </w:rPr>
        <w:t>里，总面积为</w:t>
      </w:r>
      <w:r>
        <w:t>48037亩，其中山林面积39591亩，</w:t>
      </w:r>
      <w:r>
        <w:rPr>
          <w:rFonts w:hint="eastAsia"/>
        </w:rPr>
        <w:t>速生丰长林面积</w:t>
      </w:r>
      <w:r>
        <w:t>4450亩，毛竹面积13</w:t>
      </w:r>
      <w:r>
        <w:rPr>
          <w:rFonts w:hint="eastAsia"/>
          <w:lang w:val="en-US" w:eastAsia="zh-CN"/>
        </w:rPr>
        <w:t>6</w:t>
      </w:r>
      <w:r>
        <w:t>64亩，旱地</w:t>
      </w:r>
      <w:r>
        <w:rPr>
          <w:rFonts w:hint="eastAsia"/>
        </w:rPr>
        <w:t>面积</w:t>
      </w:r>
      <w:r>
        <w:t>176亩、水稻面积1757亩，森林覆盖率达75%。村委会下辖8个村小组，总人口为2369人。</w:t>
      </w:r>
      <w:r>
        <w:rPr>
          <w:rFonts w:hint="eastAsia"/>
        </w:rPr>
        <w:t>村民主要经济来源是靠养猪和种毛竹、杉木等山林种植及劳务输出。全村农作物种植面积</w:t>
      </w:r>
      <w:r>
        <w:t>2300亩，</w:t>
      </w:r>
      <w:r>
        <w:rPr>
          <w:rFonts w:hint="eastAsia"/>
        </w:rPr>
        <w:t>主要以花生、优质稻和蔬菜为主。</w:t>
      </w:r>
    </w:p>
    <w:p w14:paraId="55DF472D">
      <w:pPr>
        <w:rPr>
          <w:rFonts w:hint="eastAsia"/>
          <w:lang w:eastAsia="zh-CN"/>
        </w:rPr>
      </w:pPr>
      <w:r>
        <w:rPr>
          <w:rFonts w:hint="eastAsia"/>
          <w:b/>
          <w:bCs/>
        </w:rPr>
        <w:t>上澜村委会</w:t>
      </w:r>
      <w:r>
        <w:rPr>
          <w:rFonts w:hint="eastAsia"/>
          <w:lang w:val="en-US" w:eastAsia="zh-CN"/>
        </w:rPr>
        <w:t xml:space="preserve">  </w:t>
      </w:r>
      <w:r>
        <w:rPr>
          <w:rFonts w:hint="eastAsia"/>
        </w:rPr>
        <w:t>位于澜河镇，东临葛坪村，西接上矽村，南靠</w:t>
      </w:r>
      <w:r>
        <w:rPr>
          <w:rFonts w:hint="eastAsia"/>
          <w:lang w:eastAsia="zh-CN"/>
        </w:rPr>
        <w:t>全</w:t>
      </w:r>
      <w:r>
        <w:rPr>
          <w:rFonts w:hint="eastAsia"/>
        </w:rPr>
        <w:t>安镇，北与澜河村接壤。距澜河镇</w:t>
      </w:r>
      <w:r>
        <w:t>2公里，总面积为36327亩，其中山林面积20788</w:t>
      </w:r>
      <w:r>
        <w:rPr>
          <w:rFonts w:hint="eastAsia"/>
        </w:rPr>
        <w:t>亩，速生丰长林</w:t>
      </w:r>
      <w:r>
        <w:t>2800亩、毛竹面积11337亩，旱地</w:t>
      </w:r>
      <w:r>
        <w:rPr>
          <w:rFonts w:hint="eastAsia"/>
        </w:rPr>
        <w:t>面积</w:t>
      </w:r>
      <w:r>
        <w:t>286亩、水稻面积1116亩，森林覆盖率达70%。村委会下辖13个小组，总人口为1434人。</w:t>
      </w:r>
      <w:r>
        <w:rPr>
          <w:rFonts w:hint="eastAsia"/>
        </w:rPr>
        <w:t>村集体经济收入来源是白果场外包，村民主要经济来源是靠养猪、养鸡等养殖和种植毛竹、杉木及劳务输出。全村农作物种植面积</w:t>
      </w:r>
      <w:r>
        <w:t>1116亩，主要以花</w:t>
      </w:r>
      <w:r>
        <w:rPr>
          <w:rFonts w:hint="eastAsia"/>
        </w:rPr>
        <w:t>生、优质稻为主</w:t>
      </w:r>
      <w:r>
        <w:rPr>
          <w:rFonts w:hint="eastAsia"/>
          <w:lang w:eastAsia="zh-CN"/>
        </w:rPr>
        <w:t>。</w:t>
      </w:r>
    </w:p>
    <w:p w14:paraId="4E798D8F">
      <w:pPr>
        <w:rPr>
          <w:rFonts w:hint="eastAsia"/>
        </w:rPr>
      </w:pPr>
      <w:r>
        <w:rPr>
          <w:rFonts w:hint="eastAsia"/>
          <w:b/>
          <w:bCs/>
        </w:rPr>
        <w:t>上矽村委会</w:t>
      </w:r>
      <w:r>
        <w:rPr>
          <w:rFonts w:hint="eastAsia"/>
          <w:b/>
          <w:bCs/>
          <w:lang w:val="en-US" w:eastAsia="zh-CN"/>
        </w:rPr>
        <w:t xml:space="preserve"> </w:t>
      </w:r>
      <w:r>
        <w:rPr>
          <w:rFonts w:hint="eastAsia"/>
          <w:lang w:val="en-US" w:eastAsia="zh-CN"/>
        </w:rPr>
        <w:t xml:space="preserve"> </w:t>
      </w:r>
      <w:r>
        <w:rPr>
          <w:rFonts w:hint="eastAsia"/>
        </w:rPr>
        <w:t>位于澜河镇，东临上澜村，西接百顺镇，南靠苍石，北与白云村接壤。距澜河镇</w:t>
      </w:r>
      <w:r>
        <w:t>15</w:t>
      </w:r>
      <w:r>
        <w:rPr>
          <w:rFonts w:hint="eastAsia"/>
        </w:rPr>
        <w:t>公里，总面积为</w:t>
      </w:r>
      <w:r>
        <w:t>29424亩，其中山林面积28900亩，</w:t>
      </w:r>
      <w:r>
        <w:rPr>
          <w:rFonts w:hint="eastAsia"/>
        </w:rPr>
        <w:t>速生丰长林</w:t>
      </w:r>
      <w:r>
        <w:t>28900亩，毛竹面积20500亩，旱地面</w:t>
      </w:r>
      <w:r>
        <w:rPr>
          <w:rFonts w:hint="eastAsia"/>
        </w:rPr>
        <w:t>积</w:t>
      </w:r>
      <w:r>
        <w:t>524亩、水稻面积1700亩，森林覆盖率达75%。</w:t>
      </w:r>
      <w:r>
        <w:rPr>
          <w:rFonts w:hint="eastAsia"/>
        </w:rPr>
        <w:t>村委会下辖</w:t>
      </w:r>
      <w:r>
        <w:t>19个自然村，总人口为1843人，其中</w:t>
      </w:r>
      <w:r>
        <w:rPr>
          <w:rFonts w:hint="eastAsia"/>
        </w:rPr>
        <w:t>劳动力</w:t>
      </w:r>
      <w:r>
        <w:t>996人。村民主要经济来源是靠养猪、养鸡</w:t>
      </w:r>
      <w:r>
        <w:rPr>
          <w:rFonts w:hint="eastAsia"/>
        </w:rPr>
        <w:t>和种毛竹、杉木等种养业及劳务输出，特色经济是种植毛竹，发展红豆杉，种植农作物主要以花生、优质稻和蔬菜为主。</w:t>
      </w:r>
    </w:p>
    <w:p w14:paraId="30832764">
      <w:pPr>
        <w:rPr>
          <w:rFonts w:hint="eastAsia" w:eastAsia="宋体"/>
          <w:lang w:eastAsia="zh-CN"/>
        </w:rPr>
      </w:pPr>
      <w:r>
        <w:rPr>
          <w:rFonts w:hint="eastAsia"/>
          <w:b/>
          <w:bCs/>
        </w:rPr>
        <w:t>白云村委会</w:t>
      </w:r>
      <w:r>
        <w:rPr>
          <w:rFonts w:hint="eastAsia"/>
          <w:b/>
          <w:bCs/>
          <w:lang w:val="en-US" w:eastAsia="zh-CN"/>
        </w:rPr>
        <w:t xml:space="preserve">  </w:t>
      </w:r>
      <w:r>
        <w:rPr>
          <w:rFonts w:hint="eastAsia"/>
        </w:rPr>
        <w:t>位于澜河镇，东临帽子峰林场</w:t>
      </w:r>
      <w:r>
        <w:rPr>
          <w:rFonts w:hint="eastAsia"/>
          <w:lang w:eastAsia="zh-CN"/>
        </w:rPr>
        <w:t>、</w:t>
      </w:r>
      <w:r>
        <w:rPr>
          <w:rFonts w:hint="eastAsia"/>
        </w:rPr>
        <w:t>澜河村委会，西接百顺镇，南靠上矽村，北与洞底村及江西省接壤。距澜河镇</w:t>
      </w:r>
      <w:r>
        <w:t>11公里，总面积为31377亩，其中山林面积30134亩，毛竹面积9595</w:t>
      </w:r>
      <w:r>
        <w:rPr>
          <w:rFonts w:hint="eastAsia"/>
        </w:rPr>
        <w:t>亩，旱地面积</w:t>
      </w:r>
      <w:r>
        <w:t>50亩、水稻面积1193亩，森林覆盖</w:t>
      </w:r>
      <w:r>
        <w:rPr>
          <w:rFonts w:hint="eastAsia"/>
        </w:rPr>
        <w:t>率达</w:t>
      </w:r>
      <w:r>
        <w:t>65%。村委会下辖10个村小组，总人口为1441人，其中劳动力728人。村集体经济收入来源</w:t>
      </w:r>
      <w:r>
        <w:rPr>
          <w:rFonts w:hint="eastAsia"/>
        </w:rPr>
        <w:t>是电站发包，村民主要经济来源是靠养猪和种毛竹、杉木、杂数等山林及劳务输出。全村农作物种植面积</w:t>
      </w:r>
      <w:r>
        <w:t>1823亩，主要以花生、优质稻和蔬菜为主</w:t>
      </w:r>
      <w:r>
        <w:rPr>
          <w:rFonts w:hint="eastAsia"/>
          <w:lang w:eastAsia="zh-CN"/>
        </w:rPr>
        <w:t>。</w:t>
      </w:r>
    </w:p>
    <w:p w14:paraId="42F95F2F">
      <w:r>
        <w:rPr>
          <w:rFonts w:hint="eastAsia"/>
          <w:b/>
          <w:bCs/>
        </w:rPr>
        <w:t>洞底村委会</w:t>
      </w:r>
      <w:r>
        <w:rPr>
          <w:rFonts w:hint="eastAsia"/>
          <w:b/>
          <w:bCs/>
          <w:lang w:val="en-US" w:eastAsia="zh-CN"/>
        </w:rPr>
        <w:t xml:space="preserve">  </w:t>
      </w:r>
      <w:r>
        <w:rPr>
          <w:rFonts w:hint="eastAsia"/>
        </w:rPr>
        <w:t>位于澜河镇西北方，东临白云村，西接百顺镇，南靠官田，北与河洞接壤。距澜河镇</w:t>
      </w:r>
      <w:r>
        <w:t>15公里，总面积为27937亩，山林25455亩，</w:t>
      </w:r>
      <w:r>
        <w:rPr>
          <w:rFonts w:hint="eastAsia"/>
        </w:rPr>
        <w:t>丰长林</w:t>
      </w:r>
      <w:r>
        <w:t>2650亩，毛竹面积8022亩，旱地面积50</w:t>
      </w:r>
      <w:r>
        <w:rPr>
          <w:rFonts w:hint="eastAsia"/>
        </w:rPr>
        <w:t>亩、水稻面积</w:t>
      </w:r>
      <w:r>
        <w:t>1090亩，森林覆盖率达70%。村委</w:t>
      </w:r>
      <w:r>
        <w:rPr>
          <w:rFonts w:hint="eastAsia"/>
        </w:rPr>
        <w:t>会下辖</w:t>
      </w:r>
      <w:r>
        <w:t>8个自然村，总人口为1169人，其中劳动</w:t>
      </w:r>
      <w:r>
        <w:rPr>
          <w:rFonts w:hint="eastAsia"/>
        </w:rPr>
        <w:t>力</w:t>
      </w:r>
      <w:r>
        <w:t>489人。村集体经济收入来源是林场发包及电站</w:t>
      </w:r>
      <w:r>
        <w:rPr>
          <w:rFonts w:hint="eastAsia"/>
          <w:lang w:eastAsia="zh-CN"/>
        </w:rPr>
        <w:t>收入</w:t>
      </w:r>
      <w:r>
        <w:rPr>
          <w:rFonts w:hint="eastAsia"/>
        </w:rPr>
        <w:t>，村民主要经济来源是毛竹、杉木、劳务输出。近年村大力发展红豆杉种植。全村农作物种植面积</w:t>
      </w:r>
      <w:r>
        <w:t>1090亩，主要以优质稻为主。</w:t>
      </w:r>
    </w:p>
    <w:p w14:paraId="1DE41CA3">
      <w:pPr>
        <w:rPr>
          <w:rFonts w:hint="eastAsia"/>
        </w:rPr>
      </w:pPr>
      <w:r>
        <w:rPr>
          <w:rFonts w:hint="eastAsia"/>
          <w:b/>
          <w:bCs/>
        </w:rPr>
        <w:t>澜河村委会</w:t>
      </w:r>
      <w:r>
        <w:rPr>
          <w:rFonts w:hint="eastAsia"/>
          <w:b/>
          <w:bCs/>
          <w:lang w:val="en-US" w:eastAsia="zh-CN"/>
        </w:rPr>
        <w:t xml:space="preserve">  </w:t>
      </w:r>
      <w:r>
        <w:rPr>
          <w:rFonts w:hint="eastAsia"/>
        </w:rPr>
        <w:t>位于澜河镇，东临帽子峰镇，西接白云村委会，南靠上澜村委会，北与帽子峰林场接壤。距澜河镇</w:t>
      </w:r>
      <w:r>
        <w:t>0.5公里。总面积为28276亩，毛</w:t>
      </w:r>
      <w:r>
        <w:rPr>
          <w:rFonts w:hint="eastAsia"/>
        </w:rPr>
        <w:t>竹面积</w:t>
      </w:r>
      <w:r>
        <w:t>4967亩，生态林面积9445.5亩，旱地面积80亩、水稻面积1150亩，森林覆盖率达65%。村</w:t>
      </w:r>
      <w:r>
        <w:rPr>
          <w:rFonts w:hint="eastAsia"/>
        </w:rPr>
        <w:t>委会下辖</w:t>
      </w:r>
      <w:r>
        <w:t>11个自然村，总人口为1268人，其中劳</w:t>
      </w:r>
      <w:r>
        <w:rPr>
          <w:rFonts w:hint="eastAsia"/>
        </w:rPr>
        <w:t>动力</w:t>
      </w:r>
      <w:r>
        <w:t>836人。村集体经济收入来源是林场发包，村</w:t>
      </w:r>
      <w:r>
        <w:rPr>
          <w:rFonts w:hint="eastAsia"/>
        </w:rPr>
        <w:t>民主要经济来源是毛竹、杉木、劳务输出。全村农作物种植面积</w:t>
      </w:r>
      <w:r>
        <w:t>1150亩，主要以花生、优质稻和蔬</w:t>
      </w:r>
      <w:r>
        <w:rPr>
          <w:rFonts w:hint="eastAsia"/>
        </w:rPr>
        <w:t>菜种植为主。</w:t>
      </w:r>
    </w:p>
    <w:p w14:paraId="4A784428">
      <w:pPr>
        <w:jc w:val="right"/>
        <w:rPr>
          <w:rFonts w:hint="eastAsia"/>
          <w:b/>
          <w:bCs/>
        </w:rPr>
      </w:pPr>
      <w:r>
        <w:rPr>
          <w:rFonts w:hint="eastAsia"/>
          <w:b/>
          <w:bCs/>
        </w:rPr>
        <w:t>（姚秋逸）</w:t>
      </w:r>
    </w:p>
    <w:p w14:paraId="2AA0239F">
      <w:pPr>
        <w:pStyle w:val="10"/>
        <w:bidi w:val="0"/>
        <w:rPr>
          <w:b/>
          <w:bCs/>
        </w:rPr>
      </w:pPr>
      <w:r>
        <w:rPr>
          <w:rFonts w:hint="eastAsia"/>
          <w:b/>
          <w:bCs/>
        </w:rPr>
        <w:t>附：</w:t>
      </w:r>
      <w:r>
        <w:rPr>
          <w:b/>
          <w:bCs/>
        </w:rPr>
        <w:t>2013年澜河镇领导班子成员名单</w:t>
      </w:r>
    </w:p>
    <w:p w14:paraId="58EB8DE1">
      <w:pPr>
        <w:pStyle w:val="10"/>
        <w:bidi w:val="0"/>
        <w:rPr>
          <w:rFonts w:hint="eastAsia"/>
        </w:rPr>
      </w:pPr>
      <w:r>
        <w:rPr>
          <w:rFonts w:hint="eastAsia"/>
          <w:b/>
          <w:bCs/>
        </w:rPr>
        <w:t>党委书记、人大主席：</w:t>
      </w:r>
      <w:r>
        <w:rPr>
          <w:rFonts w:hint="eastAsia"/>
        </w:rPr>
        <w:t>李</w:t>
      </w:r>
      <w:r>
        <w:rPr>
          <w:rFonts w:hint="eastAsia"/>
          <w:lang w:val="en-US" w:eastAsia="zh-CN"/>
        </w:rPr>
        <w:t xml:space="preserve">  </w:t>
      </w:r>
      <w:r>
        <w:rPr>
          <w:rFonts w:hint="eastAsia"/>
        </w:rPr>
        <w:t>帆</w:t>
      </w:r>
    </w:p>
    <w:p w14:paraId="4BA360F1">
      <w:pPr>
        <w:pStyle w:val="10"/>
        <w:bidi w:val="0"/>
        <w:rPr>
          <w:rFonts w:hint="eastAsia"/>
        </w:rPr>
      </w:pPr>
      <w:r>
        <w:rPr>
          <w:rFonts w:hint="eastAsia"/>
          <w:b/>
          <w:bCs/>
        </w:rPr>
        <w:t>党委副书记、镇长：</w:t>
      </w:r>
      <w:r>
        <w:rPr>
          <w:rFonts w:hint="eastAsia"/>
        </w:rPr>
        <w:t>陈</w:t>
      </w:r>
      <w:r>
        <w:rPr>
          <w:rFonts w:hint="eastAsia"/>
          <w:lang w:val="en-US" w:eastAsia="zh-CN"/>
        </w:rPr>
        <w:t xml:space="preserve">  </w:t>
      </w:r>
      <w:r>
        <w:rPr>
          <w:rFonts w:hint="eastAsia"/>
        </w:rPr>
        <w:t>华</w:t>
      </w:r>
    </w:p>
    <w:p w14:paraId="1C64D0A2">
      <w:pPr>
        <w:pStyle w:val="10"/>
        <w:bidi w:val="0"/>
        <w:rPr>
          <w:rFonts w:hint="eastAsia"/>
        </w:rPr>
      </w:pPr>
      <w:r>
        <w:rPr>
          <w:rFonts w:hint="eastAsia"/>
          <w:b/>
          <w:bCs/>
        </w:rPr>
        <w:t>党委副书记：</w:t>
      </w:r>
      <w:r>
        <w:rPr>
          <w:rFonts w:hint="eastAsia"/>
        </w:rPr>
        <w:t>何松山</w:t>
      </w:r>
    </w:p>
    <w:p w14:paraId="6E75FA3E">
      <w:pPr>
        <w:pStyle w:val="10"/>
        <w:bidi w:val="0"/>
        <w:rPr>
          <w:rFonts w:hint="eastAsia"/>
        </w:rPr>
      </w:pPr>
      <w:r>
        <w:rPr>
          <w:rFonts w:hint="eastAsia"/>
          <w:b/>
          <w:bCs/>
        </w:rPr>
        <w:t>纪委书记：</w:t>
      </w:r>
      <w:r>
        <w:rPr>
          <w:rFonts w:hint="eastAsia"/>
        </w:rPr>
        <w:t>温则给</w:t>
      </w:r>
    </w:p>
    <w:p w14:paraId="7BD39BAE">
      <w:pPr>
        <w:pStyle w:val="10"/>
        <w:bidi w:val="0"/>
        <w:rPr>
          <w:rFonts w:hint="eastAsia"/>
        </w:rPr>
      </w:pPr>
      <w:r>
        <w:rPr>
          <w:rFonts w:hint="eastAsia"/>
          <w:b/>
          <w:bCs/>
        </w:rPr>
        <w:t>组织委员：</w:t>
      </w:r>
      <w:r>
        <w:rPr>
          <w:rFonts w:hint="eastAsia"/>
        </w:rPr>
        <w:t>刘</w:t>
      </w:r>
      <w:r>
        <w:rPr>
          <w:rFonts w:hint="eastAsia"/>
          <w:lang w:val="en-US" w:eastAsia="zh-CN"/>
        </w:rPr>
        <w:t xml:space="preserve">  </w:t>
      </w:r>
      <w:r>
        <w:rPr>
          <w:rFonts w:hint="eastAsia"/>
        </w:rPr>
        <w:t>芳</w:t>
      </w:r>
    </w:p>
    <w:p w14:paraId="5551194C">
      <w:pPr>
        <w:pStyle w:val="10"/>
        <w:bidi w:val="0"/>
        <w:rPr>
          <w:rFonts w:hint="eastAsia"/>
        </w:rPr>
      </w:pPr>
      <w:r>
        <w:rPr>
          <w:rFonts w:hint="eastAsia"/>
          <w:b/>
          <w:bCs/>
        </w:rPr>
        <w:t>宣传委员：</w:t>
      </w:r>
      <w:r>
        <w:rPr>
          <w:rFonts w:hint="eastAsia"/>
        </w:rPr>
        <w:t>李小全</w:t>
      </w:r>
    </w:p>
    <w:p w14:paraId="617C7F2F">
      <w:pPr>
        <w:pStyle w:val="10"/>
        <w:bidi w:val="0"/>
        <w:rPr>
          <w:rFonts w:hint="eastAsia"/>
        </w:rPr>
      </w:pPr>
      <w:r>
        <w:rPr>
          <w:rFonts w:hint="eastAsia"/>
          <w:b/>
          <w:bCs/>
        </w:rPr>
        <w:t>人大副主席：</w:t>
      </w:r>
      <w:r>
        <w:rPr>
          <w:rFonts w:hint="eastAsia"/>
        </w:rPr>
        <w:t>杨简彬</w:t>
      </w:r>
    </w:p>
    <w:p w14:paraId="5FF81661">
      <w:pPr>
        <w:pStyle w:val="10"/>
        <w:bidi w:val="0"/>
        <w:rPr>
          <w:rFonts w:hint="eastAsia"/>
        </w:rPr>
      </w:pPr>
      <w:r>
        <w:rPr>
          <w:rFonts w:hint="eastAsia"/>
          <w:b/>
          <w:bCs/>
        </w:rPr>
        <w:t>武装部长：</w:t>
      </w:r>
      <w:r>
        <w:rPr>
          <w:rFonts w:hint="eastAsia"/>
        </w:rPr>
        <w:t>刘景通</w:t>
      </w:r>
    </w:p>
    <w:p w14:paraId="710BE5E6">
      <w:pPr>
        <w:pStyle w:val="10"/>
        <w:bidi w:val="0"/>
        <w:rPr>
          <w:rFonts w:hint="eastAsia"/>
        </w:rPr>
      </w:pPr>
      <w:r>
        <w:rPr>
          <w:rFonts w:hint="eastAsia"/>
          <w:b/>
          <w:bCs/>
        </w:rPr>
        <w:t>综治办专职副主任：</w:t>
      </w:r>
      <w:r>
        <w:rPr>
          <w:rFonts w:hint="eastAsia"/>
        </w:rPr>
        <w:t>陈如红</w:t>
      </w:r>
    </w:p>
    <w:p w14:paraId="4F3BD22D">
      <w:pPr>
        <w:pStyle w:val="10"/>
        <w:bidi w:val="0"/>
        <w:rPr>
          <w:rFonts w:hint="eastAsia"/>
        </w:rPr>
      </w:pPr>
      <w:r>
        <w:rPr>
          <w:rFonts w:hint="eastAsia"/>
          <w:b/>
          <w:bCs/>
        </w:rPr>
        <w:t>副镇长：</w:t>
      </w:r>
      <w:r>
        <w:rPr>
          <w:rFonts w:hint="eastAsia"/>
        </w:rPr>
        <w:t>张振云</w:t>
      </w:r>
      <w:r>
        <w:rPr>
          <w:rFonts w:hint="eastAsia"/>
          <w:lang w:val="en-US" w:eastAsia="zh-CN"/>
        </w:rPr>
        <w:t xml:space="preserve">   </w:t>
      </w:r>
      <w:r>
        <w:rPr>
          <w:rFonts w:hint="eastAsia"/>
        </w:rPr>
        <w:t>徐学锋</w:t>
      </w:r>
      <w:r>
        <w:rPr>
          <w:rFonts w:hint="eastAsia"/>
          <w:lang w:val="en-US" w:eastAsia="zh-CN"/>
        </w:rPr>
        <w:t xml:space="preserve">   </w:t>
      </w:r>
      <w:r>
        <w:rPr>
          <w:rFonts w:hint="eastAsia"/>
        </w:rPr>
        <w:t>刘烈军</w:t>
      </w:r>
    </w:p>
    <w:p w14:paraId="006B0C97">
      <w:pPr>
        <w:pStyle w:val="3"/>
        <w:bidi w:val="0"/>
        <w:rPr>
          <w:rFonts w:hint="eastAsia"/>
        </w:rPr>
      </w:pPr>
      <w:r>
        <w:rPr>
          <w:rFonts w:hint="eastAsia"/>
        </w:rPr>
        <w:t>湖口镇</w:t>
      </w:r>
    </w:p>
    <w:p w14:paraId="00996C88">
      <w:pPr>
        <w:pStyle w:val="4"/>
        <w:bidi w:val="0"/>
        <w:rPr>
          <w:rFonts w:hint="eastAsia"/>
        </w:rPr>
      </w:pPr>
      <w:r>
        <w:rPr>
          <w:rFonts w:hint="eastAsia"/>
        </w:rPr>
        <w:t>【概况】</w:t>
      </w:r>
    </w:p>
    <w:p w14:paraId="0159B7D1">
      <w:pPr>
        <w:rPr>
          <w:rFonts w:hint="eastAsia"/>
          <w:lang w:eastAsia="zh-CN"/>
        </w:rPr>
      </w:pPr>
      <w:r>
        <w:rPr>
          <w:rFonts w:hint="eastAsia"/>
        </w:rPr>
        <w:t>湖口镇政府驻湖口墟，位于北纬</w:t>
      </w:r>
      <w:r>
        <w:t>25°10</w:t>
      </w:r>
      <w:r>
        <w:rPr>
          <w:rFonts w:hint="eastAsia"/>
          <w:lang w:val="en-US" w:eastAsia="zh-CN"/>
        </w:rPr>
        <w:t>′</w:t>
      </w:r>
      <w:r>
        <w:t>14</w:t>
      </w:r>
      <w:r>
        <w:rPr>
          <w:rFonts w:hint="eastAsia"/>
          <w:lang w:val="en-US" w:eastAsia="zh-CN"/>
        </w:rPr>
        <w:t>″</w:t>
      </w:r>
      <w:r>
        <w:t>，</w:t>
      </w:r>
      <w:r>
        <w:rPr>
          <w:rFonts w:hint="eastAsia"/>
        </w:rPr>
        <w:t>东经</w:t>
      </w:r>
      <w:r>
        <w:t>114°23</w:t>
      </w:r>
      <w:r>
        <w:rPr>
          <w:rFonts w:hint="eastAsia"/>
          <w:lang w:val="en-US" w:eastAsia="zh-CN"/>
        </w:rPr>
        <w:t>′</w:t>
      </w:r>
      <w:r>
        <w:t>59</w:t>
      </w:r>
      <w:r>
        <w:rPr>
          <w:rFonts w:hint="eastAsia"/>
          <w:lang w:val="en-US" w:eastAsia="zh-CN"/>
        </w:rPr>
        <w:t>″</w:t>
      </w:r>
      <w:r>
        <w:t>，镇辖区在南雄市区之东。东邻黄</w:t>
      </w:r>
      <w:r>
        <w:rPr>
          <w:rFonts w:hint="eastAsia"/>
        </w:rPr>
        <w:t>坑镇，南与水口、雄州街道为界，西与珠玑、市区接壤，北界邓坊镇。相传此地原为湖泊的出口处，故名湖口。湖口镇明代属惠杨鸟源都，清咸丰四年（</w:t>
      </w:r>
      <w:r>
        <w:t>1854年）废都建约，民国属南雄第二区长平乡。1951年划分为湖口、里和、长市、新湖、承平、太</w:t>
      </w:r>
      <w:r>
        <w:rPr>
          <w:rFonts w:hint="eastAsia"/>
        </w:rPr>
        <w:t>和等小乡。</w:t>
      </w:r>
      <w:r>
        <w:t>1956年合并为湖口乡。1958年属红旗</w:t>
      </w:r>
      <w:r>
        <w:rPr>
          <w:rFonts w:hint="eastAsia"/>
        </w:rPr>
        <w:t>人民公社。</w:t>
      </w:r>
      <w:r>
        <w:t>1961年建立湖口人民公社。1984年改</w:t>
      </w:r>
      <w:r>
        <w:rPr>
          <w:rFonts w:hint="eastAsia"/>
        </w:rPr>
        <w:t>为区。</w:t>
      </w:r>
      <w:r>
        <w:t>1986年改为镇</w:t>
      </w:r>
      <w:r>
        <w:rPr>
          <w:rFonts w:hint="eastAsia"/>
          <w:lang w:eastAsia="zh-CN"/>
        </w:rPr>
        <w:t>。</w:t>
      </w:r>
    </w:p>
    <w:p w14:paraId="0DE62E96">
      <w:pPr>
        <w:rPr>
          <w:rFonts w:hint="eastAsia"/>
        </w:rPr>
      </w:pPr>
      <w:r>
        <w:t>2013年末辖里和、三角、积塔、三水、长市</w:t>
      </w:r>
      <w:r>
        <w:rPr>
          <w:rFonts w:hint="eastAsia"/>
          <w:lang w:eastAsia="zh-CN"/>
        </w:rPr>
        <w:t>、</w:t>
      </w:r>
      <w:r>
        <w:rPr>
          <w:rFonts w:hint="eastAsia"/>
        </w:rPr>
        <w:t>新湖、新迳、矿石、岗围、湖口、太和、承平</w:t>
      </w:r>
      <w:r>
        <w:t>12</w:t>
      </w:r>
      <w:r>
        <w:rPr>
          <w:rFonts w:hint="eastAsia"/>
        </w:rPr>
        <w:t>个村委会和</w:t>
      </w:r>
      <w:r>
        <w:t>1个居委会（社区），有194个村小组，130个自然村。镇属辖区内多以丘陵地貌为主。2013年末，总人口为34071人，其中农业人口31533人。总面积73.8平方公里，耕地面积2426.6</w:t>
      </w:r>
      <w:r>
        <w:rPr>
          <w:rFonts w:hint="eastAsia"/>
        </w:rPr>
        <w:t>公顷。</w:t>
      </w:r>
    </w:p>
    <w:p w14:paraId="5DD1FB4D">
      <w:pPr>
        <w:rPr>
          <w:rFonts w:hint="eastAsia"/>
        </w:rPr>
      </w:pPr>
      <w:r>
        <w:rPr>
          <w:rFonts w:hint="eastAsia"/>
        </w:rPr>
        <w:t>全镇经济产业以农业为主，形成上造种黄烟下造种水稻的生产模式。湖口黄烟名扬广东，湖口农贸市场占地面积</w:t>
      </w:r>
      <w:r>
        <w:t>13028平方米，每逢单日为集市</w:t>
      </w:r>
      <w:r>
        <w:rPr>
          <w:rFonts w:hint="eastAsia"/>
        </w:rPr>
        <w:t>日，是一个繁荣的农副产品交易集散地。工业有建材、粮食加工、竹木加工、塑料制品等厂。境内罗佛寨一带是南雄“红层”古生物化石的典型地段，地质学家以罗佛寨群命名，代表盆地中的古新统沉积物。</w:t>
      </w:r>
    </w:p>
    <w:p w14:paraId="4ED90BF0">
      <w:pPr>
        <w:pStyle w:val="4"/>
        <w:bidi w:val="0"/>
        <w:rPr>
          <w:rFonts w:hint="eastAsia"/>
        </w:rPr>
      </w:pPr>
      <w:r>
        <w:rPr>
          <w:rFonts w:hint="eastAsia"/>
        </w:rPr>
        <w:t>【社会经济发展】</w:t>
      </w:r>
    </w:p>
    <w:p w14:paraId="223831E1">
      <w:r>
        <w:t>2013年，全镇实现农村经济生</w:t>
      </w:r>
      <w:r>
        <w:rPr>
          <w:rFonts w:hint="eastAsia"/>
        </w:rPr>
        <w:t>产总值</w:t>
      </w:r>
      <w:r>
        <w:t>51258万元，同比增长12.8%；地方公共财</w:t>
      </w:r>
      <w:r>
        <w:rPr>
          <w:rFonts w:hint="eastAsia"/>
        </w:rPr>
        <w:t>政预算收入</w:t>
      </w:r>
      <w:r>
        <w:t>490万元，农民人均纯收入7725元，</w:t>
      </w:r>
      <w:r>
        <w:rPr>
          <w:rFonts w:hint="eastAsia"/>
        </w:rPr>
        <w:t>同比增长</w:t>
      </w:r>
      <w:r>
        <w:t>12.5%。2013年全镇种植黄烟17030亩，</w:t>
      </w:r>
      <w:r>
        <w:rPr>
          <w:rFonts w:hint="eastAsia"/>
        </w:rPr>
        <w:t>交售</w:t>
      </w:r>
      <w:r>
        <w:t>48700担，收购金额达5752万元。全年种植水</w:t>
      </w:r>
      <w:r>
        <w:rPr>
          <w:rFonts w:hint="eastAsia"/>
        </w:rPr>
        <w:t>稻</w:t>
      </w:r>
      <w:r>
        <w:t>4.95万亩，98%以上是优质稻。发展种烟大户52户，种烟2882亩，规模养殖大户30多户，年底</w:t>
      </w:r>
      <w:r>
        <w:rPr>
          <w:rFonts w:hint="eastAsia"/>
        </w:rPr>
        <w:t>生猪存栏达</w:t>
      </w:r>
      <w:r>
        <w:t>2.65万余头，家禽存栏6.23万多羽，</w:t>
      </w:r>
      <w:r>
        <w:rPr>
          <w:rFonts w:hint="eastAsia"/>
        </w:rPr>
        <w:t>畜禽免疫率达到</w:t>
      </w:r>
      <w:r>
        <w:t>100%。2013年新成立农民专业合</w:t>
      </w:r>
      <w:r>
        <w:rPr>
          <w:rFonts w:hint="eastAsia"/>
        </w:rPr>
        <w:t>作社</w:t>
      </w:r>
      <w:r>
        <w:t>11家，目前农民专业合作社有35家。</w:t>
      </w:r>
    </w:p>
    <w:p w14:paraId="7063D1BF">
      <w:pPr>
        <w:pStyle w:val="4"/>
        <w:bidi w:val="0"/>
        <w:rPr>
          <w:rFonts w:hint="eastAsia"/>
        </w:rPr>
      </w:pPr>
      <w:r>
        <w:rPr>
          <w:rFonts w:hint="eastAsia"/>
        </w:rPr>
        <w:t>【水泥路改造】</w:t>
      </w:r>
    </w:p>
    <w:p w14:paraId="774238B8">
      <w:r>
        <w:t>2013年完成长市村老公路、三角</w:t>
      </w:r>
      <w:r>
        <w:rPr>
          <w:rFonts w:hint="eastAsia"/>
        </w:rPr>
        <w:t>村鱼王石、青山至马古坝等</w:t>
      </w:r>
      <w:r>
        <w:t>7条水泥路改造，共15.7公里，已完工12.7公里。湖口村至高田3公</w:t>
      </w:r>
      <w:r>
        <w:rPr>
          <w:rFonts w:hint="eastAsia"/>
        </w:rPr>
        <w:t>里也正在建设中，共惠及群众</w:t>
      </w:r>
      <w:r>
        <w:t>4500多人。</w:t>
      </w:r>
    </w:p>
    <w:p w14:paraId="465E8FAC">
      <w:pPr>
        <w:pStyle w:val="4"/>
        <w:bidi w:val="0"/>
        <w:rPr>
          <w:rFonts w:hint="eastAsia"/>
        </w:rPr>
      </w:pPr>
      <w:r>
        <w:rPr>
          <w:rFonts w:hint="eastAsia"/>
        </w:rPr>
        <w:t>【农田基本建设】</w:t>
      </w:r>
    </w:p>
    <w:p w14:paraId="0ADFDC61">
      <w:pPr>
        <w:rPr>
          <w:rFonts w:hint="eastAsia"/>
        </w:rPr>
      </w:pPr>
      <w:r>
        <w:rPr>
          <w:rFonts w:hint="eastAsia"/>
        </w:rPr>
        <w:t>完成长市、三水农业综合开发项目建设，工程总投资</w:t>
      </w:r>
      <w:r>
        <w:t>1320万元，修缮水圳渠道42.5千米，机耕路11千米。完成</w:t>
      </w:r>
      <w:r>
        <w:rPr>
          <w:rFonts w:hint="eastAsia"/>
          <w:lang w:val="en-US" w:eastAsia="zh-CN"/>
        </w:rPr>
        <w:t>横</w:t>
      </w:r>
      <w:r>
        <w:t>江灌区湖口段</w:t>
      </w:r>
      <w:r>
        <w:rPr>
          <w:rFonts w:hint="eastAsia"/>
        </w:rPr>
        <w:t>节水改造承平上洋汾段</w:t>
      </w:r>
      <w:r>
        <w:t>3公里三面光水渠。涉及承</w:t>
      </w:r>
      <w:r>
        <w:rPr>
          <w:rFonts w:hint="eastAsia"/>
        </w:rPr>
        <w:t>平、长市、矿石、新湖、新迳</w:t>
      </w:r>
      <w:r>
        <w:t>5个村，面积13610.37亩高标准基本农田建设项目已完成前期规</w:t>
      </w:r>
      <w:r>
        <w:rPr>
          <w:rFonts w:hint="eastAsia"/>
        </w:rPr>
        <w:t>划设计工作。</w:t>
      </w:r>
    </w:p>
    <w:p w14:paraId="12FEAACD">
      <w:pPr>
        <w:pStyle w:val="4"/>
        <w:bidi w:val="0"/>
        <w:rPr>
          <w:rFonts w:hint="eastAsia"/>
        </w:rPr>
      </w:pPr>
      <w:r>
        <w:rPr>
          <w:rFonts w:hint="eastAsia"/>
        </w:rPr>
        <w:t>【</w:t>
      </w:r>
      <w:r>
        <w:rPr>
          <w:rFonts w:hint="eastAsia"/>
          <w:lang w:val="en-US" w:eastAsia="zh-CN"/>
        </w:rPr>
        <w:t>村</w:t>
      </w:r>
      <w:r>
        <w:rPr>
          <w:rFonts w:hint="eastAsia"/>
        </w:rPr>
        <w:t>庄整治】</w:t>
      </w:r>
    </w:p>
    <w:p w14:paraId="59C38BD7">
      <w:pPr>
        <w:rPr>
          <w:rFonts w:hint="eastAsia"/>
        </w:rPr>
      </w:pPr>
      <w:r>
        <w:rPr>
          <w:rFonts w:hint="eastAsia"/>
        </w:rPr>
        <w:t>争取资金</w:t>
      </w:r>
      <w:r>
        <w:t>93.8万元，完成里和村角</w:t>
      </w:r>
      <w:r>
        <w:rPr>
          <w:rFonts w:hint="eastAsia"/>
        </w:rPr>
        <w:t>公塘，新湖村赤溪湖村庄整治工作。</w:t>
      </w:r>
    </w:p>
    <w:p w14:paraId="7A02DA13">
      <w:pPr>
        <w:pStyle w:val="4"/>
        <w:bidi w:val="0"/>
        <w:rPr>
          <w:rFonts w:hint="eastAsia"/>
        </w:rPr>
      </w:pPr>
      <w:r>
        <w:rPr>
          <w:rFonts w:hint="eastAsia"/>
        </w:rPr>
        <w:t>【圩镇建设】</w:t>
      </w:r>
    </w:p>
    <w:p w14:paraId="705FB5E3">
      <w:pPr>
        <w:rPr>
          <w:rFonts w:hint="eastAsia"/>
        </w:rPr>
      </w:pPr>
      <w:r>
        <w:t>2013年新增23名村级保洁员，投</w:t>
      </w:r>
      <w:r>
        <w:rPr>
          <w:rFonts w:hint="eastAsia"/>
        </w:rPr>
        <w:t>放垃圾桶</w:t>
      </w:r>
      <w:r>
        <w:t>120多个，垃圾箱24个，12个村级垃圾</w:t>
      </w:r>
      <w:r>
        <w:rPr>
          <w:rFonts w:hint="eastAsia"/>
        </w:rPr>
        <w:t>收集点和一个镇垃圾转运站正在建设中，配备垃圾清运车</w:t>
      </w:r>
      <w:r>
        <w:t>1部，初步形成“户集村收镇运”农村垃圾</w:t>
      </w:r>
      <w:r>
        <w:rPr>
          <w:rFonts w:hint="eastAsia"/>
        </w:rPr>
        <w:t>处理体系。</w:t>
      </w:r>
    </w:p>
    <w:p w14:paraId="35001C21">
      <w:pPr>
        <w:pStyle w:val="4"/>
        <w:bidi w:val="0"/>
        <w:rPr>
          <w:rFonts w:hint="eastAsia"/>
        </w:rPr>
      </w:pPr>
      <w:r>
        <w:rPr>
          <w:rFonts w:hint="eastAsia"/>
        </w:rPr>
        <w:t>【林业工作】</w:t>
      </w:r>
    </w:p>
    <w:p w14:paraId="0991F031">
      <w:r>
        <w:t>2013年，对湖口、里和等村的六个</w:t>
      </w:r>
      <w:r>
        <w:rPr>
          <w:rFonts w:hint="eastAsia"/>
        </w:rPr>
        <w:t>自然村推进“万村绿”、残次林改造、珠江流域涵养林种植，植树</w:t>
      </w:r>
      <w:r>
        <w:t>12000多株，同时加强动态巡</w:t>
      </w:r>
      <w:r>
        <w:rPr>
          <w:rFonts w:hint="eastAsia"/>
          <w:lang w:eastAsia="zh-CN"/>
        </w:rPr>
        <w:t>查</w:t>
      </w:r>
      <w:r>
        <w:t>，</w:t>
      </w:r>
      <w:r>
        <w:rPr>
          <w:rFonts w:hint="eastAsia"/>
        </w:rPr>
        <w:t>做好护林防火工作，严防乱砍滥伐林木的发生，全年</w:t>
      </w:r>
      <w:r>
        <w:rPr>
          <w:rFonts w:hint="eastAsia"/>
          <w:lang w:eastAsia="zh-CN"/>
        </w:rPr>
        <w:t>查</w:t>
      </w:r>
      <w:r>
        <w:rPr>
          <w:rFonts w:hint="eastAsia"/>
        </w:rPr>
        <w:t>处林业违规案件</w:t>
      </w:r>
      <w:r>
        <w:t>23宗。</w:t>
      </w:r>
    </w:p>
    <w:p w14:paraId="2A8ED1D7">
      <w:pPr>
        <w:pStyle w:val="4"/>
        <w:bidi w:val="0"/>
        <w:rPr>
          <w:rFonts w:hint="eastAsia"/>
        </w:rPr>
      </w:pPr>
      <w:r>
        <w:rPr>
          <w:rFonts w:hint="eastAsia"/>
        </w:rPr>
        <w:t>【平安建设】</w:t>
      </w:r>
    </w:p>
    <w:p w14:paraId="77172CA1">
      <w:pPr>
        <w:rPr>
          <w:rFonts w:hint="eastAsia"/>
        </w:rPr>
      </w:pPr>
      <w:r>
        <w:rPr>
          <w:rFonts w:hint="eastAsia"/>
        </w:rPr>
        <w:t>全年排</w:t>
      </w:r>
      <w:r>
        <w:rPr>
          <w:rFonts w:hint="eastAsia"/>
          <w:lang w:eastAsia="zh-CN"/>
        </w:rPr>
        <w:t>查</w:t>
      </w:r>
      <w:r>
        <w:rPr>
          <w:rFonts w:hint="eastAsia"/>
        </w:rPr>
        <w:t>调处各类矛盾纠纷</w:t>
      </w:r>
      <w:r>
        <w:t>73宗，</w:t>
      </w:r>
      <w:r>
        <w:rPr>
          <w:rFonts w:hint="eastAsia"/>
        </w:rPr>
        <w:t>调处率</w:t>
      </w:r>
      <w:r>
        <w:t>100%；接待群众来访130多人次，受理群</w:t>
      </w:r>
      <w:r>
        <w:rPr>
          <w:rFonts w:hint="eastAsia"/>
        </w:rPr>
        <w:t>众来信来访案件</w:t>
      </w:r>
      <w:r>
        <w:t>40件，按时回复率100%。减少了</w:t>
      </w:r>
      <w:r>
        <w:rPr>
          <w:rFonts w:hint="eastAsia"/>
        </w:rPr>
        <w:t>信访案件和矛盾纠纷的发生。湖口派出所共破获了</w:t>
      </w:r>
      <w:r>
        <w:t>12宗刑事案件，</w:t>
      </w:r>
      <w:r>
        <w:rPr>
          <w:rFonts w:hint="eastAsia"/>
          <w:lang w:eastAsia="zh-CN"/>
        </w:rPr>
        <w:t>查</w:t>
      </w:r>
      <w:r>
        <w:t>处71宗治安案件，加强重点人</w:t>
      </w:r>
      <w:r>
        <w:rPr>
          <w:rFonts w:hint="eastAsia"/>
        </w:rPr>
        <w:t>口管理</w:t>
      </w:r>
      <w:r>
        <w:t>82人，全年无发生影响社会稳定的恶性事</w:t>
      </w:r>
      <w:r>
        <w:rPr>
          <w:rFonts w:hint="eastAsia"/>
        </w:rPr>
        <w:t>件，无吸贩制毒现象，无非法传销和变相传销。</w:t>
      </w:r>
    </w:p>
    <w:p w14:paraId="2158803F">
      <w:pPr>
        <w:pStyle w:val="4"/>
        <w:bidi w:val="0"/>
        <w:rPr>
          <w:rFonts w:hint="eastAsia"/>
        </w:rPr>
      </w:pPr>
      <w:r>
        <w:rPr>
          <w:rFonts w:hint="eastAsia"/>
        </w:rPr>
        <w:t>【计划生育】</w:t>
      </w:r>
    </w:p>
    <w:p w14:paraId="23F07164">
      <w:pPr>
        <w:rPr>
          <w:rFonts w:hint="eastAsia"/>
        </w:rPr>
      </w:pPr>
      <w:r>
        <w:rPr>
          <w:rFonts w:hint="eastAsia"/>
        </w:rPr>
        <w:t>全年共出生了</w:t>
      </w:r>
      <w:r>
        <w:t>527人，出生率为14.68‰，其中一孩出生326人，一孩率61.86%，</w:t>
      </w:r>
      <w:r>
        <w:rPr>
          <w:rFonts w:hint="eastAsia"/>
        </w:rPr>
        <w:t>二孩出生</w:t>
      </w:r>
      <w:r>
        <w:t>185人，二孩率为35.10%，出生人口性</w:t>
      </w:r>
      <w:r>
        <w:rPr>
          <w:rFonts w:hint="eastAsia"/>
        </w:rPr>
        <w:t>别比为</w:t>
      </w:r>
      <w:r>
        <w:t>106.67。计划生育率为86.15%，死亡173</w:t>
      </w:r>
      <w:r>
        <w:rPr>
          <w:rFonts w:hint="eastAsia"/>
        </w:rPr>
        <w:t>人，死亡率为</w:t>
      </w:r>
      <w:r>
        <w:t>4.82‰，自然增长354人，自然增长</w:t>
      </w:r>
      <w:r>
        <w:rPr>
          <w:rFonts w:hint="eastAsia"/>
        </w:rPr>
        <w:t>率为</w:t>
      </w:r>
      <w:r>
        <w:t>9.86‰。实施计划生育手术479例，其中上环237例（一孩上环207例），结扎163例（其中二</w:t>
      </w:r>
      <w:r>
        <w:rPr>
          <w:rFonts w:hint="eastAsia"/>
        </w:rPr>
        <w:t>女户结扎</w:t>
      </w:r>
      <w:r>
        <w:t>9例），补救措施共做了79例，通过广东</w:t>
      </w:r>
      <w:r>
        <w:rPr>
          <w:rFonts w:hint="eastAsia"/>
        </w:rPr>
        <w:t>省计生考核。</w:t>
      </w:r>
    </w:p>
    <w:p w14:paraId="0B6515E7">
      <w:pPr>
        <w:pStyle w:val="4"/>
        <w:bidi w:val="0"/>
        <w:rPr>
          <w:rFonts w:hint="eastAsia"/>
        </w:rPr>
      </w:pPr>
      <w:r>
        <w:rPr>
          <w:rFonts w:hint="eastAsia"/>
        </w:rPr>
        <w:t>【社会保障】</w:t>
      </w:r>
    </w:p>
    <w:p w14:paraId="7EE9FE99">
      <w:r>
        <w:t>2013年参加新农村合作医疗完成28226人，全镇全年住院总人数3302人次，住院补</w:t>
      </w:r>
      <w:r>
        <w:rPr>
          <w:rFonts w:hint="eastAsia"/>
        </w:rPr>
        <w:t>偿总费用</w:t>
      </w:r>
      <w:r>
        <w:t>714万元，门诊补偿人次58760人，门诊</w:t>
      </w:r>
      <w:r>
        <w:rPr>
          <w:rFonts w:hint="eastAsia"/>
        </w:rPr>
        <w:t>补偿费用</w:t>
      </w:r>
      <w:r>
        <w:t>172760元。全年参加新型农村养老保险</w:t>
      </w:r>
      <w:r>
        <w:rPr>
          <w:rFonts w:hint="eastAsia"/>
        </w:rPr>
        <w:t>人数</w:t>
      </w:r>
      <w:r>
        <w:t>12615人。参加城镇居民医疗保险576人。参</w:t>
      </w:r>
      <w:r>
        <w:rPr>
          <w:rFonts w:hint="eastAsia"/>
        </w:rPr>
        <w:t>加城镇居民社会养老保险</w:t>
      </w:r>
      <w:r>
        <w:t>138人，新增转移农村富</w:t>
      </w:r>
      <w:r>
        <w:rPr>
          <w:rFonts w:hint="eastAsia"/>
        </w:rPr>
        <w:t>余劳动力人</w:t>
      </w:r>
      <w:r>
        <w:t>673人。全镇享受农村低保350户619</w:t>
      </w:r>
      <w:r>
        <w:rPr>
          <w:rFonts w:hint="eastAsia"/>
        </w:rPr>
        <w:t>人，五保老人</w:t>
      </w:r>
      <w:r>
        <w:t>71人。</w:t>
      </w:r>
    </w:p>
    <w:p w14:paraId="107C0BFE">
      <w:pPr>
        <w:pStyle w:val="4"/>
        <w:bidi w:val="0"/>
        <w:rPr>
          <w:rFonts w:hint="eastAsia"/>
        </w:rPr>
      </w:pPr>
      <w:r>
        <w:rPr>
          <w:rFonts w:hint="eastAsia"/>
        </w:rPr>
        <w:t>【党建工作】</w:t>
      </w:r>
    </w:p>
    <w:p w14:paraId="0264CC6B">
      <w:r>
        <w:t>2013年全镇16个党支部，培养积</w:t>
      </w:r>
      <w:r>
        <w:rPr>
          <w:rFonts w:hint="eastAsia"/>
        </w:rPr>
        <w:t>极分子</w:t>
      </w:r>
      <w:r>
        <w:t>41人，其中新确定积极分子12人，吸收预</w:t>
      </w:r>
      <w:r>
        <w:rPr>
          <w:rFonts w:hint="eastAsia"/>
        </w:rPr>
        <w:t>备党员</w:t>
      </w:r>
      <w:r>
        <w:t>14人。跟踪服务13名村级党员创业致富带</w:t>
      </w:r>
      <w:r>
        <w:rPr>
          <w:rFonts w:hint="eastAsia"/>
        </w:rPr>
        <w:t>头人，结对帮扶</w:t>
      </w:r>
      <w:r>
        <w:t>3至5个农户。全年提供致富信息150多条，找准致富门路15项目，传授致富技能450人次。开展“双向承诺”活动，承诺245人490件，完成460件。</w:t>
      </w:r>
    </w:p>
    <w:p w14:paraId="0473FF6C">
      <w:pPr>
        <w:pStyle w:val="4"/>
        <w:bidi w:val="0"/>
        <w:rPr>
          <w:rFonts w:hint="eastAsia"/>
        </w:rPr>
      </w:pPr>
      <w:r>
        <w:rPr>
          <w:rFonts w:hint="eastAsia"/>
        </w:rPr>
        <w:t>【各村（居）委会基本情况】</w:t>
      </w:r>
    </w:p>
    <w:p w14:paraId="5BCADA0D">
      <w:pPr>
        <w:bidi w:val="0"/>
        <w:ind w:left="0" w:leftChars="0" w:firstLine="0" w:firstLineChars="0"/>
        <w:jc w:val="center"/>
        <w:rPr>
          <w:rFonts w:hint="eastAsia"/>
          <w:b/>
          <w:bCs/>
        </w:rPr>
      </w:pPr>
      <w:r>
        <w:rPr>
          <w:rFonts w:hint="eastAsia"/>
          <w:b/>
          <w:bCs/>
        </w:rPr>
        <w:t>2013年湖口镇各村（居）委会基本情况表</w:t>
      </w:r>
    </w:p>
    <w:p w14:paraId="3F4EE06F">
      <w:pPr>
        <w:bidi w:val="0"/>
        <w:rPr>
          <w:rFonts w:hint="eastAsia"/>
        </w:rPr>
      </w:pPr>
      <w:r>
        <w:rPr>
          <w:rFonts w:hint="eastAsia"/>
        </w:rPr>
        <w:t>表35</w:t>
      </w:r>
    </w:p>
    <w:tbl>
      <w:tblPr>
        <w:tblStyle w:val="7"/>
        <w:tblW w:w="4992"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5" w:type="dxa"/>
          <w:bottom w:w="0" w:type="dxa"/>
          <w:right w:w="15" w:type="dxa"/>
        </w:tblCellMar>
      </w:tblPr>
      <w:tblGrid>
        <w:gridCol w:w="642"/>
        <w:gridCol w:w="1681"/>
        <w:gridCol w:w="733"/>
        <w:gridCol w:w="956"/>
        <w:gridCol w:w="1040"/>
        <w:gridCol w:w="1577"/>
        <w:gridCol w:w="1374"/>
        <w:gridCol w:w="1757"/>
      </w:tblGrid>
      <w:tr w14:paraId="29FEF78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5" w:type="dxa"/>
            <w:bottom w:w="0" w:type="dxa"/>
            <w:right w:w="15" w:type="dxa"/>
          </w:tblCellMar>
        </w:tblPrEx>
        <w:trPr>
          <w:trHeight w:val="855" w:hRule="atLeast"/>
        </w:trPr>
        <w:tc>
          <w:tcPr>
            <w:tcW w:w="329" w:type="pct"/>
            <w:tcBorders>
              <w:top w:val="single" w:color="000000" w:sz="8" w:space="0"/>
              <w:bottom w:val="single" w:color="000000" w:sz="8" w:space="0"/>
              <w:right w:val="single" w:color="000000" w:sz="8" w:space="0"/>
            </w:tcBorders>
            <w:shd w:val="clear" w:color="auto" w:fill="FFFFFF"/>
            <w:noWrap w:val="0"/>
            <w:vAlign w:val="center"/>
          </w:tcPr>
          <w:p w14:paraId="0A2B151F">
            <w:pPr>
              <w:pStyle w:val="10"/>
              <w:bidi w:val="0"/>
              <w:jc w:val="center"/>
              <w:rPr>
                <w:b/>
                <w:bCs/>
                <w:color w:val="000000"/>
              </w:rPr>
            </w:pPr>
            <w:r>
              <w:rPr>
                <w:b/>
                <w:bCs/>
                <w:color w:val="000000"/>
              </w:rPr>
              <w:t>序号</w:t>
            </w:r>
          </w:p>
        </w:tc>
        <w:tc>
          <w:tcPr>
            <w:tcW w:w="86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78CBB19">
            <w:pPr>
              <w:pStyle w:val="10"/>
              <w:bidi w:val="0"/>
              <w:jc w:val="center"/>
              <w:rPr>
                <w:b/>
                <w:bCs/>
                <w:color w:val="000000"/>
              </w:rPr>
            </w:pPr>
            <w:r>
              <w:rPr>
                <w:b/>
                <w:bCs/>
                <w:color w:val="000000"/>
              </w:rPr>
              <w:t>村（居）委会</w:t>
            </w:r>
          </w:p>
        </w:tc>
        <w:tc>
          <w:tcPr>
            <w:tcW w:w="37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68D3B93">
            <w:pPr>
              <w:pStyle w:val="10"/>
              <w:bidi w:val="0"/>
              <w:jc w:val="center"/>
              <w:rPr>
                <w:b/>
                <w:bCs/>
                <w:color w:val="000000"/>
              </w:rPr>
            </w:pPr>
            <w:r>
              <w:rPr>
                <w:b/>
                <w:bCs/>
                <w:color w:val="000000"/>
              </w:rPr>
              <w:t>自然村个数</w:t>
            </w:r>
          </w:p>
        </w:tc>
        <w:tc>
          <w:tcPr>
            <w:tcW w:w="48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D1ADD61">
            <w:pPr>
              <w:pStyle w:val="10"/>
              <w:bidi w:val="0"/>
              <w:jc w:val="center"/>
              <w:rPr>
                <w:b/>
                <w:bCs/>
                <w:color w:val="000000"/>
              </w:rPr>
            </w:pPr>
            <w:r>
              <w:rPr>
                <w:b/>
                <w:bCs/>
                <w:color w:val="000000"/>
              </w:rPr>
              <w:t>总户数</w:t>
            </w:r>
          </w:p>
        </w:tc>
        <w:tc>
          <w:tcPr>
            <w:tcW w:w="5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AAE8FD1">
            <w:pPr>
              <w:pStyle w:val="10"/>
              <w:bidi w:val="0"/>
              <w:jc w:val="center"/>
              <w:rPr>
                <w:b/>
                <w:bCs/>
                <w:color w:val="000000"/>
              </w:rPr>
            </w:pPr>
            <w:r>
              <w:rPr>
                <w:b/>
                <w:bCs/>
                <w:color w:val="000000"/>
              </w:rPr>
              <w:t>总人口</w:t>
            </w:r>
          </w:p>
        </w:tc>
        <w:tc>
          <w:tcPr>
            <w:tcW w:w="80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1F41928">
            <w:pPr>
              <w:pStyle w:val="10"/>
              <w:bidi w:val="0"/>
              <w:jc w:val="center"/>
              <w:rPr>
                <w:b/>
                <w:bCs/>
                <w:color w:val="000000"/>
              </w:rPr>
            </w:pPr>
            <w:r>
              <w:rPr>
                <w:b/>
                <w:bCs/>
                <w:color w:val="000000"/>
              </w:rPr>
              <w:t>集体经济收入</w:t>
            </w:r>
          </w:p>
          <w:p w14:paraId="115F2714">
            <w:pPr>
              <w:pStyle w:val="10"/>
              <w:bidi w:val="0"/>
              <w:jc w:val="center"/>
              <w:rPr>
                <w:b/>
                <w:bCs/>
                <w:color w:val="000000"/>
              </w:rPr>
            </w:pPr>
            <w:r>
              <w:rPr>
                <w:b/>
                <w:bCs/>
                <w:color w:val="000000"/>
              </w:rPr>
              <w:t>（万元）</w:t>
            </w:r>
          </w:p>
        </w:tc>
        <w:tc>
          <w:tcPr>
            <w:tcW w:w="70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A73993D">
            <w:pPr>
              <w:pStyle w:val="10"/>
              <w:bidi w:val="0"/>
              <w:jc w:val="center"/>
              <w:rPr>
                <w:b/>
                <w:bCs/>
                <w:color w:val="000000"/>
              </w:rPr>
            </w:pPr>
            <w:r>
              <w:rPr>
                <w:b/>
                <w:bCs/>
                <w:color w:val="000000"/>
              </w:rPr>
              <w:t>耕地面积</w:t>
            </w:r>
          </w:p>
          <w:p w14:paraId="62857B3A">
            <w:pPr>
              <w:pStyle w:val="10"/>
              <w:bidi w:val="0"/>
              <w:jc w:val="center"/>
              <w:rPr>
                <w:b/>
                <w:bCs/>
                <w:color w:val="000000"/>
              </w:rPr>
            </w:pPr>
            <w:r>
              <w:rPr>
                <w:b/>
                <w:bCs/>
                <w:color w:val="000000"/>
              </w:rPr>
              <w:t>（</w:t>
            </w:r>
            <w:r>
              <w:rPr>
                <w:rFonts w:hint="eastAsia"/>
                <w:b/>
                <w:bCs/>
                <w:color w:val="000000"/>
              </w:rPr>
              <w:t>公顷</w:t>
            </w:r>
            <w:r>
              <w:rPr>
                <w:b/>
                <w:bCs/>
                <w:color w:val="000000"/>
              </w:rPr>
              <w:t>）</w:t>
            </w:r>
          </w:p>
        </w:tc>
        <w:tc>
          <w:tcPr>
            <w:tcW w:w="899" w:type="pct"/>
            <w:tcBorders>
              <w:top w:val="single" w:color="000000" w:sz="8" w:space="0"/>
              <w:left w:val="single" w:color="000000" w:sz="8" w:space="0"/>
              <w:bottom w:val="single" w:color="000000" w:sz="8" w:space="0"/>
            </w:tcBorders>
            <w:shd w:val="clear" w:color="auto" w:fill="FFFFFF"/>
            <w:noWrap w:val="0"/>
            <w:vAlign w:val="center"/>
          </w:tcPr>
          <w:p w14:paraId="37A6ECCB">
            <w:pPr>
              <w:pStyle w:val="10"/>
              <w:bidi w:val="0"/>
              <w:jc w:val="center"/>
              <w:rPr>
                <w:b/>
                <w:bCs/>
                <w:color w:val="000000"/>
              </w:rPr>
            </w:pPr>
            <w:r>
              <w:rPr>
                <w:b/>
                <w:bCs/>
                <w:color w:val="000000"/>
              </w:rPr>
              <w:t>山地（林地）面积（</w:t>
            </w:r>
            <w:r>
              <w:rPr>
                <w:rFonts w:hint="eastAsia"/>
                <w:b/>
                <w:bCs/>
                <w:color w:val="000000"/>
              </w:rPr>
              <w:t>公顷</w:t>
            </w:r>
            <w:r>
              <w:rPr>
                <w:b/>
                <w:bCs/>
                <w:color w:val="000000"/>
              </w:rPr>
              <w:t>）</w:t>
            </w:r>
          </w:p>
        </w:tc>
      </w:tr>
      <w:tr w14:paraId="14C983C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5" w:type="dxa"/>
            <w:bottom w:w="0" w:type="dxa"/>
            <w:right w:w="15" w:type="dxa"/>
          </w:tblCellMar>
        </w:tblPrEx>
        <w:trPr>
          <w:trHeight w:val="285" w:hRule="atLeast"/>
        </w:trPr>
        <w:tc>
          <w:tcPr>
            <w:tcW w:w="329" w:type="pct"/>
            <w:tcBorders>
              <w:top w:val="single" w:color="000000" w:sz="8" w:space="0"/>
              <w:bottom w:val="single" w:color="000000" w:sz="8" w:space="0"/>
              <w:right w:val="single" w:color="000000" w:sz="8" w:space="0"/>
            </w:tcBorders>
            <w:shd w:val="clear" w:color="auto" w:fill="FFFFFF"/>
            <w:noWrap w:val="0"/>
            <w:vAlign w:val="center"/>
          </w:tcPr>
          <w:p w14:paraId="18D60E7A">
            <w:pPr>
              <w:pStyle w:val="10"/>
              <w:bidi w:val="0"/>
              <w:jc w:val="center"/>
              <w:rPr>
                <w:color w:val="000000"/>
              </w:rPr>
            </w:pPr>
            <w:r>
              <w:rPr>
                <w:color w:val="000000"/>
              </w:rPr>
              <w:t>1</w:t>
            </w:r>
          </w:p>
        </w:tc>
        <w:tc>
          <w:tcPr>
            <w:tcW w:w="86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6724278">
            <w:pPr>
              <w:pStyle w:val="10"/>
              <w:bidi w:val="0"/>
              <w:jc w:val="center"/>
              <w:rPr>
                <w:color w:val="000000"/>
              </w:rPr>
            </w:pPr>
            <w:r>
              <w:rPr>
                <w:color w:val="000000"/>
              </w:rPr>
              <w:t>里和村</w:t>
            </w:r>
          </w:p>
        </w:tc>
        <w:tc>
          <w:tcPr>
            <w:tcW w:w="37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A040440">
            <w:pPr>
              <w:pStyle w:val="10"/>
              <w:bidi w:val="0"/>
              <w:jc w:val="center"/>
              <w:rPr>
                <w:color w:val="000000"/>
              </w:rPr>
            </w:pPr>
            <w:r>
              <w:rPr>
                <w:color w:val="000000"/>
              </w:rPr>
              <w:t>22</w:t>
            </w:r>
          </w:p>
        </w:tc>
        <w:tc>
          <w:tcPr>
            <w:tcW w:w="48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C317F9F">
            <w:pPr>
              <w:pStyle w:val="10"/>
              <w:bidi w:val="0"/>
              <w:jc w:val="center"/>
              <w:rPr>
                <w:color w:val="000000"/>
              </w:rPr>
            </w:pPr>
            <w:r>
              <w:rPr>
                <w:color w:val="000000"/>
              </w:rPr>
              <w:t>906</w:t>
            </w:r>
          </w:p>
        </w:tc>
        <w:tc>
          <w:tcPr>
            <w:tcW w:w="5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7C064B5">
            <w:pPr>
              <w:pStyle w:val="10"/>
              <w:bidi w:val="0"/>
              <w:jc w:val="center"/>
              <w:rPr>
                <w:color w:val="000000"/>
              </w:rPr>
            </w:pPr>
            <w:r>
              <w:rPr>
                <w:color w:val="000000"/>
              </w:rPr>
              <w:t>3713</w:t>
            </w:r>
          </w:p>
        </w:tc>
        <w:tc>
          <w:tcPr>
            <w:tcW w:w="80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3957BB8">
            <w:pPr>
              <w:pStyle w:val="10"/>
              <w:bidi w:val="0"/>
              <w:jc w:val="center"/>
              <w:rPr>
                <w:color w:val="000000"/>
              </w:rPr>
            </w:pPr>
            <w:r>
              <w:rPr>
                <w:color w:val="000000"/>
              </w:rPr>
              <w:t>7.2</w:t>
            </w:r>
          </w:p>
        </w:tc>
        <w:tc>
          <w:tcPr>
            <w:tcW w:w="70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EF4B94D">
            <w:pPr>
              <w:pStyle w:val="10"/>
              <w:bidi w:val="0"/>
              <w:jc w:val="center"/>
              <w:rPr>
                <w:color w:val="000000"/>
              </w:rPr>
            </w:pPr>
            <w:r>
              <w:rPr>
                <w:color w:val="000000"/>
              </w:rPr>
              <w:t>284</w:t>
            </w:r>
          </w:p>
        </w:tc>
        <w:tc>
          <w:tcPr>
            <w:tcW w:w="899" w:type="pct"/>
            <w:tcBorders>
              <w:top w:val="single" w:color="000000" w:sz="8" w:space="0"/>
              <w:left w:val="single" w:color="000000" w:sz="8" w:space="0"/>
              <w:bottom w:val="single" w:color="000000" w:sz="8" w:space="0"/>
            </w:tcBorders>
            <w:shd w:val="clear" w:color="auto" w:fill="FFFFFF"/>
            <w:noWrap w:val="0"/>
            <w:vAlign w:val="center"/>
          </w:tcPr>
          <w:p w14:paraId="5E48A37B">
            <w:pPr>
              <w:pStyle w:val="10"/>
              <w:bidi w:val="0"/>
              <w:jc w:val="center"/>
              <w:rPr>
                <w:color w:val="000000"/>
              </w:rPr>
            </w:pPr>
            <w:r>
              <w:rPr>
                <w:color w:val="000000"/>
              </w:rPr>
              <w:t>353</w:t>
            </w:r>
          </w:p>
        </w:tc>
      </w:tr>
      <w:tr w14:paraId="7AD4DD7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5" w:type="dxa"/>
            <w:bottom w:w="0" w:type="dxa"/>
            <w:right w:w="15" w:type="dxa"/>
          </w:tblCellMar>
        </w:tblPrEx>
        <w:trPr>
          <w:trHeight w:val="285" w:hRule="atLeast"/>
        </w:trPr>
        <w:tc>
          <w:tcPr>
            <w:tcW w:w="329" w:type="pct"/>
            <w:tcBorders>
              <w:top w:val="single" w:color="000000" w:sz="8" w:space="0"/>
              <w:bottom w:val="single" w:color="000000" w:sz="8" w:space="0"/>
              <w:right w:val="single" w:color="000000" w:sz="8" w:space="0"/>
            </w:tcBorders>
            <w:shd w:val="clear" w:color="auto" w:fill="FFFFFF"/>
            <w:noWrap w:val="0"/>
            <w:vAlign w:val="center"/>
          </w:tcPr>
          <w:p w14:paraId="3E468429">
            <w:pPr>
              <w:pStyle w:val="10"/>
              <w:bidi w:val="0"/>
              <w:jc w:val="center"/>
              <w:rPr>
                <w:color w:val="000000"/>
              </w:rPr>
            </w:pPr>
            <w:r>
              <w:rPr>
                <w:color w:val="000000"/>
              </w:rPr>
              <w:t>2</w:t>
            </w:r>
          </w:p>
        </w:tc>
        <w:tc>
          <w:tcPr>
            <w:tcW w:w="86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C78CFEE">
            <w:pPr>
              <w:pStyle w:val="10"/>
              <w:bidi w:val="0"/>
              <w:jc w:val="center"/>
              <w:rPr>
                <w:color w:val="000000"/>
              </w:rPr>
            </w:pPr>
            <w:r>
              <w:rPr>
                <w:color w:val="000000"/>
              </w:rPr>
              <w:t>新湖村</w:t>
            </w:r>
          </w:p>
        </w:tc>
        <w:tc>
          <w:tcPr>
            <w:tcW w:w="37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3978BE2">
            <w:pPr>
              <w:pStyle w:val="10"/>
              <w:bidi w:val="0"/>
              <w:jc w:val="center"/>
              <w:rPr>
                <w:color w:val="000000"/>
              </w:rPr>
            </w:pPr>
            <w:r>
              <w:rPr>
                <w:color w:val="000000"/>
              </w:rPr>
              <w:t>6</w:t>
            </w:r>
          </w:p>
        </w:tc>
        <w:tc>
          <w:tcPr>
            <w:tcW w:w="48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F687A77">
            <w:pPr>
              <w:pStyle w:val="10"/>
              <w:bidi w:val="0"/>
              <w:jc w:val="center"/>
              <w:rPr>
                <w:color w:val="000000"/>
              </w:rPr>
            </w:pPr>
            <w:r>
              <w:rPr>
                <w:color w:val="000000"/>
              </w:rPr>
              <w:t>782</w:t>
            </w:r>
          </w:p>
        </w:tc>
        <w:tc>
          <w:tcPr>
            <w:tcW w:w="5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9592282">
            <w:pPr>
              <w:pStyle w:val="10"/>
              <w:bidi w:val="0"/>
              <w:jc w:val="center"/>
              <w:rPr>
                <w:color w:val="000000"/>
              </w:rPr>
            </w:pPr>
            <w:r>
              <w:rPr>
                <w:color w:val="000000"/>
              </w:rPr>
              <w:t>3201</w:t>
            </w:r>
          </w:p>
        </w:tc>
        <w:tc>
          <w:tcPr>
            <w:tcW w:w="80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87ABB7A">
            <w:pPr>
              <w:pStyle w:val="10"/>
              <w:bidi w:val="0"/>
              <w:jc w:val="center"/>
              <w:rPr>
                <w:color w:val="000000"/>
              </w:rPr>
            </w:pPr>
            <w:r>
              <w:rPr>
                <w:color w:val="000000"/>
              </w:rPr>
              <w:t>5.8</w:t>
            </w:r>
          </w:p>
        </w:tc>
        <w:tc>
          <w:tcPr>
            <w:tcW w:w="70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16386FF">
            <w:pPr>
              <w:pStyle w:val="10"/>
              <w:bidi w:val="0"/>
              <w:jc w:val="center"/>
              <w:rPr>
                <w:color w:val="000000"/>
              </w:rPr>
            </w:pPr>
            <w:r>
              <w:rPr>
                <w:color w:val="000000"/>
              </w:rPr>
              <w:t>207</w:t>
            </w:r>
          </w:p>
        </w:tc>
        <w:tc>
          <w:tcPr>
            <w:tcW w:w="899" w:type="pct"/>
            <w:tcBorders>
              <w:top w:val="single" w:color="000000" w:sz="8" w:space="0"/>
              <w:left w:val="single" w:color="000000" w:sz="8" w:space="0"/>
              <w:bottom w:val="single" w:color="000000" w:sz="8" w:space="0"/>
            </w:tcBorders>
            <w:shd w:val="clear" w:color="auto" w:fill="FFFFFF"/>
            <w:noWrap w:val="0"/>
            <w:vAlign w:val="center"/>
          </w:tcPr>
          <w:p w14:paraId="37E4C4E1">
            <w:pPr>
              <w:pStyle w:val="10"/>
              <w:bidi w:val="0"/>
              <w:jc w:val="center"/>
              <w:rPr>
                <w:color w:val="000000"/>
              </w:rPr>
            </w:pPr>
            <w:r>
              <w:rPr>
                <w:color w:val="000000"/>
              </w:rPr>
              <w:t>199</w:t>
            </w:r>
          </w:p>
        </w:tc>
      </w:tr>
      <w:tr w14:paraId="2FEB812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5" w:type="dxa"/>
            <w:bottom w:w="0" w:type="dxa"/>
            <w:right w:w="15" w:type="dxa"/>
          </w:tblCellMar>
        </w:tblPrEx>
        <w:trPr>
          <w:trHeight w:val="285" w:hRule="atLeast"/>
        </w:trPr>
        <w:tc>
          <w:tcPr>
            <w:tcW w:w="329" w:type="pct"/>
            <w:tcBorders>
              <w:top w:val="single" w:color="000000" w:sz="8" w:space="0"/>
              <w:bottom w:val="single" w:color="000000" w:sz="8" w:space="0"/>
              <w:right w:val="single" w:color="000000" w:sz="8" w:space="0"/>
            </w:tcBorders>
            <w:shd w:val="clear" w:color="auto" w:fill="FFFFFF"/>
            <w:noWrap w:val="0"/>
            <w:vAlign w:val="center"/>
          </w:tcPr>
          <w:p w14:paraId="660A7F20">
            <w:pPr>
              <w:pStyle w:val="10"/>
              <w:bidi w:val="0"/>
              <w:jc w:val="center"/>
              <w:rPr>
                <w:color w:val="000000"/>
              </w:rPr>
            </w:pPr>
            <w:r>
              <w:rPr>
                <w:color w:val="000000"/>
              </w:rPr>
              <w:t>3</w:t>
            </w:r>
          </w:p>
        </w:tc>
        <w:tc>
          <w:tcPr>
            <w:tcW w:w="86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B95231A">
            <w:pPr>
              <w:pStyle w:val="10"/>
              <w:bidi w:val="0"/>
              <w:jc w:val="center"/>
              <w:rPr>
                <w:color w:val="000000"/>
              </w:rPr>
            </w:pPr>
            <w:r>
              <w:rPr>
                <w:color w:val="000000"/>
              </w:rPr>
              <w:t>湖口村</w:t>
            </w:r>
          </w:p>
        </w:tc>
        <w:tc>
          <w:tcPr>
            <w:tcW w:w="37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6EF719D">
            <w:pPr>
              <w:pStyle w:val="10"/>
              <w:bidi w:val="0"/>
              <w:jc w:val="center"/>
              <w:rPr>
                <w:color w:val="000000"/>
              </w:rPr>
            </w:pPr>
            <w:r>
              <w:rPr>
                <w:color w:val="000000"/>
              </w:rPr>
              <w:t>22</w:t>
            </w:r>
          </w:p>
        </w:tc>
        <w:tc>
          <w:tcPr>
            <w:tcW w:w="48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0E7314A">
            <w:pPr>
              <w:pStyle w:val="10"/>
              <w:bidi w:val="0"/>
              <w:jc w:val="center"/>
              <w:rPr>
                <w:color w:val="000000"/>
              </w:rPr>
            </w:pPr>
            <w:r>
              <w:rPr>
                <w:color w:val="000000"/>
              </w:rPr>
              <w:t>1215</w:t>
            </w:r>
          </w:p>
        </w:tc>
        <w:tc>
          <w:tcPr>
            <w:tcW w:w="5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B116B68">
            <w:pPr>
              <w:pStyle w:val="10"/>
              <w:bidi w:val="0"/>
              <w:jc w:val="center"/>
              <w:rPr>
                <w:color w:val="000000"/>
              </w:rPr>
            </w:pPr>
            <w:r>
              <w:rPr>
                <w:color w:val="000000"/>
              </w:rPr>
              <w:t>5223</w:t>
            </w:r>
          </w:p>
        </w:tc>
        <w:tc>
          <w:tcPr>
            <w:tcW w:w="80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56DCEBC">
            <w:pPr>
              <w:pStyle w:val="10"/>
              <w:bidi w:val="0"/>
              <w:jc w:val="center"/>
              <w:rPr>
                <w:color w:val="000000"/>
              </w:rPr>
            </w:pPr>
            <w:r>
              <w:rPr>
                <w:color w:val="000000"/>
              </w:rPr>
              <w:t>5.2</w:t>
            </w:r>
          </w:p>
        </w:tc>
        <w:tc>
          <w:tcPr>
            <w:tcW w:w="70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DF2D411">
            <w:pPr>
              <w:pStyle w:val="10"/>
              <w:bidi w:val="0"/>
              <w:jc w:val="center"/>
              <w:rPr>
                <w:color w:val="000000"/>
              </w:rPr>
            </w:pPr>
            <w:r>
              <w:rPr>
                <w:color w:val="000000"/>
              </w:rPr>
              <w:t>379</w:t>
            </w:r>
          </w:p>
        </w:tc>
        <w:tc>
          <w:tcPr>
            <w:tcW w:w="899" w:type="pct"/>
            <w:tcBorders>
              <w:top w:val="single" w:color="000000" w:sz="8" w:space="0"/>
              <w:left w:val="single" w:color="000000" w:sz="8" w:space="0"/>
              <w:bottom w:val="single" w:color="000000" w:sz="8" w:space="0"/>
            </w:tcBorders>
            <w:shd w:val="clear" w:color="auto" w:fill="FFFFFF"/>
            <w:noWrap w:val="0"/>
            <w:vAlign w:val="center"/>
          </w:tcPr>
          <w:p w14:paraId="07A2574B">
            <w:pPr>
              <w:pStyle w:val="10"/>
              <w:bidi w:val="0"/>
              <w:jc w:val="center"/>
              <w:rPr>
                <w:color w:val="000000"/>
              </w:rPr>
            </w:pPr>
            <w:r>
              <w:rPr>
                <w:color w:val="000000"/>
              </w:rPr>
              <w:t>98</w:t>
            </w:r>
          </w:p>
        </w:tc>
      </w:tr>
      <w:tr w14:paraId="3AF4DDA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5" w:type="dxa"/>
            <w:bottom w:w="0" w:type="dxa"/>
            <w:right w:w="15" w:type="dxa"/>
          </w:tblCellMar>
        </w:tblPrEx>
        <w:trPr>
          <w:trHeight w:val="285" w:hRule="atLeast"/>
        </w:trPr>
        <w:tc>
          <w:tcPr>
            <w:tcW w:w="329" w:type="pct"/>
            <w:tcBorders>
              <w:top w:val="single" w:color="000000" w:sz="8" w:space="0"/>
              <w:bottom w:val="single" w:color="000000" w:sz="8" w:space="0"/>
              <w:right w:val="single" w:color="000000" w:sz="8" w:space="0"/>
            </w:tcBorders>
            <w:shd w:val="clear" w:color="auto" w:fill="FFFFFF"/>
            <w:noWrap w:val="0"/>
            <w:vAlign w:val="center"/>
          </w:tcPr>
          <w:p w14:paraId="586DDA2B">
            <w:pPr>
              <w:pStyle w:val="10"/>
              <w:bidi w:val="0"/>
              <w:jc w:val="center"/>
              <w:rPr>
                <w:color w:val="000000"/>
              </w:rPr>
            </w:pPr>
            <w:r>
              <w:rPr>
                <w:color w:val="000000"/>
              </w:rPr>
              <w:t>4</w:t>
            </w:r>
          </w:p>
        </w:tc>
        <w:tc>
          <w:tcPr>
            <w:tcW w:w="86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EC6C872">
            <w:pPr>
              <w:pStyle w:val="10"/>
              <w:bidi w:val="0"/>
              <w:jc w:val="center"/>
              <w:rPr>
                <w:color w:val="000000"/>
              </w:rPr>
            </w:pPr>
            <w:r>
              <w:rPr>
                <w:color w:val="000000"/>
              </w:rPr>
              <w:t>承平村</w:t>
            </w:r>
          </w:p>
        </w:tc>
        <w:tc>
          <w:tcPr>
            <w:tcW w:w="37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2AAE7BE">
            <w:pPr>
              <w:pStyle w:val="10"/>
              <w:bidi w:val="0"/>
              <w:jc w:val="center"/>
              <w:rPr>
                <w:color w:val="000000"/>
              </w:rPr>
            </w:pPr>
            <w:r>
              <w:rPr>
                <w:color w:val="000000"/>
              </w:rPr>
              <w:t>8</w:t>
            </w:r>
          </w:p>
        </w:tc>
        <w:tc>
          <w:tcPr>
            <w:tcW w:w="48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042D303">
            <w:pPr>
              <w:pStyle w:val="10"/>
              <w:bidi w:val="0"/>
              <w:jc w:val="center"/>
              <w:rPr>
                <w:color w:val="000000"/>
              </w:rPr>
            </w:pPr>
            <w:r>
              <w:rPr>
                <w:color w:val="000000"/>
              </w:rPr>
              <w:t>1006</w:t>
            </w:r>
          </w:p>
        </w:tc>
        <w:tc>
          <w:tcPr>
            <w:tcW w:w="5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888A4A5">
            <w:pPr>
              <w:pStyle w:val="10"/>
              <w:bidi w:val="0"/>
              <w:jc w:val="center"/>
              <w:rPr>
                <w:color w:val="000000"/>
              </w:rPr>
            </w:pPr>
            <w:r>
              <w:rPr>
                <w:color w:val="000000"/>
              </w:rPr>
              <w:t>4071</w:t>
            </w:r>
          </w:p>
        </w:tc>
        <w:tc>
          <w:tcPr>
            <w:tcW w:w="80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56E3B0F">
            <w:pPr>
              <w:pStyle w:val="10"/>
              <w:bidi w:val="0"/>
              <w:jc w:val="center"/>
              <w:rPr>
                <w:color w:val="000000"/>
              </w:rPr>
            </w:pPr>
            <w:r>
              <w:rPr>
                <w:color w:val="000000"/>
              </w:rPr>
              <w:t>4</w:t>
            </w:r>
          </w:p>
        </w:tc>
        <w:tc>
          <w:tcPr>
            <w:tcW w:w="70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C4B8528">
            <w:pPr>
              <w:pStyle w:val="10"/>
              <w:bidi w:val="0"/>
              <w:jc w:val="center"/>
              <w:rPr>
                <w:color w:val="000000"/>
              </w:rPr>
            </w:pPr>
            <w:r>
              <w:rPr>
                <w:color w:val="000000"/>
              </w:rPr>
              <w:t>324</w:t>
            </w:r>
          </w:p>
        </w:tc>
        <w:tc>
          <w:tcPr>
            <w:tcW w:w="899" w:type="pct"/>
            <w:tcBorders>
              <w:top w:val="single" w:color="000000" w:sz="8" w:space="0"/>
              <w:left w:val="single" w:color="000000" w:sz="8" w:space="0"/>
              <w:bottom w:val="single" w:color="000000" w:sz="8" w:space="0"/>
            </w:tcBorders>
            <w:shd w:val="clear" w:color="auto" w:fill="FFFFFF"/>
            <w:noWrap w:val="0"/>
            <w:vAlign w:val="center"/>
          </w:tcPr>
          <w:p w14:paraId="05930B31">
            <w:pPr>
              <w:pStyle w:val="10"/>
              <w:bidi w:val="0"/>
              <w:jc w:val="center"/>
              <w:rPr>
                <w:color w:val="000000"/>
              </w:rPr>
            </w:pPr>
            <w:r>
              <w:rPr>
                <w:color w:val="000000"/>
              </w:rPr>
              <w:t>152</w:t>
            </w:r>
          </w:p>
        </w:tc>
      </w:tr>
      <w:tr w14:paraId="0644D21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5" w:type="dxa"/>
            <w:bottom w:w="0" w:type="dxa"/>
            <w:right w:w="15" w:type="dxa"/>
          </w:tblCellMar>
        </w:tblPrEx>
        <w:trPr>
          <w:trHeight w:val="285" w:hRule="atLeast"/>
        </w:trPr>
        <w:tc>
          <w:tcPr>
            <w:tcW w:w="329" w:type="pct"/>
            <w:tcBorders>
              <w:top w:val="single" w:color="000000" w:sz="8" w:space="0"/>
              <w:bottom w:val="single" w:color="000000" w:sz="8" w:space="0"/>
              <w:right w:val="single" w:color="000000" w:sz="8" w:space="0"/>
            </w:tcBorders>
            <w:shd w:val="clear" w:color="auto" w:fill="FFFFFF"/>
            <w:noWrap w:val="0"/>
            <w:vAlign w:val="center"/>
          </w:tcPr>
          <w:p w14:paraId="4087475D">
            <w:pPr>
              <w:pStyle w:val="10"/>
              <w:bidi w:val="0"/>
              <w:jc w:val="center"/>
              <w:rPr>
                <w:color w:val="000000"/>
              </w:rPr>
            </w:pPr>
            <w:r>
              <w:rPr>
                <w:color w:val="000000"/>
              </w:rPr>
              <w:t>5</w:t>
            </w:r>
          </w:p>
        </w:tc>
        <w:tc>
          <w:tcPr>
            <w:tcW w:w="86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64A3F3C">
            <w:pPr>
              <w:pStyle w:val="10"/>
              <w:bidi w:val="0"/>
              <w:jc w:val="center"/>
              <w:rPr>
                <w:color w:val="000000"/>
              </w:rPr>
            </w:pPr>
            <w:r>
              <w:rPr>
                <w:color w:val="000000"/>
              </w:rPr>
              <w:t>三角村</w:t>
            </w:r>
          </w:p>
        </w:tc>
        <w:tc>
          <w:tcPr>
            <w:tcW w:w="37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B698ABE">
            <w:pPr>
              <w:pStyle w:val="10"/>
              <w:bidi w:val="0"/>
              <w:jc w:val="center"/>
              <w:rPr>
                <w:color w:val="000000"/>
              </w:rPr>
            </w:pPr>
            <w:r>
              <w:rPr>
                <w:color w:val="000000"/>
              </w:rPr>
              <w:t>16</w:t>
            </w:r>
          </w:p>
        </w:tc>
        <w:tc>
          <w:tcPr>
            <w:tcW w:w="48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A987617">
            <w:pPr>
              <w:pStyle w:val="10"/>
              <w:bidi w:val="0"/>
              <w:jc w:val="center"/>
              <w:rPr>
                <w:color w:val="000000"/>
              </w:rPr>
            </w:pPr>
            <w:r>
              <w:rPr>
                <w:color w:val="000000"/>
              </w:rPr>
              <w:t>514</w:t>
            </w:r>
          </w:p>
        </w:tc>
        <w:tc>
          <w:tcPr>
            <w:tcW w:w="5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FB8B666">
            <w:pPr>
              <w:pStyle w:val="10"/>
              <w:bidi w:val="0"/>
              <w:jc w:val="center"/>
              <w:rPr>
                <w:color w:val="000000"/>
              </w:rPr>
            </w:pPr>
            <w:r>
              <w:rPr>
                <w:color w:val="000000"/>
              </w:rPr>
              <w:t>2018</w:t>
            </w:r>
          </w:p>
        </w:tc>
        <w:tc>
          <w:tcPr>
            <w:tcW w:w="80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78CF7AA">
            <w:pPr>
              <w:pStyle w:val="10"/>
              <w:bidi w:val="0"/>
              <w:jc w:val="center"/>
              <w:rPr>
                <w:color w:val="000000"/>
              </w:rPr>
            </w:pPr>
            <w:r>
              <w:rPr>
                <w:color w:val="000000"/>
              </w:rPr>
              <w:t>2.7</w:t>
            </w:r>
          </w:p>
        </w:tc>
        <w:tc>
          <w:tcPr>
            <w:tcW w:w="70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B52E745">
            <w:pPr>
              <w:pStyle w:val="10"/>
              <w:bidi w:val="0"/>
              <w:jc w:val="center"/>
              <w:rPr>
                <w:color w:val="000000"/>
              </w:rPr>
            </w:pPr>
            <w:r>
              <w:rPr>
                <w:color w:val="000000"/>
              </w:rPr>
              <w:t>174</w:t>
            </w:r>
          </w:p>
        </w:tc>
        <w:tc>
          <w:tcPr>
            <w:tcW w:w="899" w:type="pct"/>
            <w:tcBorders>
              <w:top w:val="single" w:color="000000" w:sz="8" w:space="0"/>
              <w:left w:val="single" w:color="000000" w:sz="8" w:space="0"/>
              <w:bottom w:val="single" w:color="000000" w:sz="8" w:space="0"/>
            </w:tcBorders>
            <w:shd w:val="clear" w:color="auto" w:fill="FFFFFF"/>
            <w:noWrap w:val="0"/>
            <w:vAlign w:val="center"/>
          </w:tcPr>
          <w:p w14:paraId="0BC59289">
            <w:pPr>
              <w:pStyle w:val="10"/>
              <w:bidi w:val="0"/>
              <w:jc w:val="center"/>
              <w:rPr>
                <w:color w:val="000000"/>
              </w:rPr>
            </w:pPr>
            <w:r>
              <w:rPr>
                <w:color w:val="000000"/>
              </w:rPr>
              <w:t>62</w:t>
            </w:r>
          </w:p>
        </w:tc>
      </w:tr>
      <w:tr w14:paraId="685BF2B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5" w:type="dxa"/>
            <w:bottom w:w="0" w:type="dxa"/>
            <w:right w:w="15" w:type="dxa"/>
          </w:tblCellMar>
        </w:tblPrEx>
        <w:trPr>
          <w:trHeight w:val="285" w:hRule="atLeast"/>
        </w:trPr>
        <w:tc>
          <w:tcPr>
            <w:tcW w:w="329" w:type="pct"/>
            <w:tcBorders>
              <w:top w:val="single" w:color="000000" w:sz="8" w:space="0"/>
              <w:bottom w:val="single" w:color="000000" w:sz="8" w:space="0"/>
              <w:right w:val="single" w:color="000000" w:sz="8" w:space="0"/>
            </w:tcBorders>
            <w:shd w:val="clear" w:color="auto" w:fill="FFFFFF"/>
            <w:noWrap w:val="0"/>
            <w:vAlign w:val="center"/>
          </w:tcPr>
          <w:p w14:paraId="1C2882F7">
            <w:pPr>
              <w:pStyle w:val="10"/>
              <w:bidi w:val="0"/>
              <w:jc w:val="center"/>
              <w:rPr>
                <w:color w:val="000000"/>
              </w:rPr>
            </w:pPr>
            <w:r>
              <w:rPr>
                <w:color w:val="000000"/>
              </w:rPr>
              <w:t>6</w:t>
            </w:r>
          </w:p>
        </w:tc>
        <w:tc>
          <w:tcPr>
            <w:tcW w:w="86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1546164">
            <w:pPr>
              <w:pStyle w:val="10"/>
              <w:bidi w:val="0"/>
              <w:jc w:val="center"/>
              <w:rPr>
                <w:color w:val="000000"/>
              </w:rPr>
            </w:pPr>
            <w:r>
              <w:rPr>
                <w:color w:val="000000"/>
              </w:rPr>
              <w:t>长市村</w:t>
            </w:r>
          </w:p>
        </w:tc>
        <w:tc>
          <w:tcPr>
            <w:tcW w:w="37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9484077">
            <w:pPr>
              <w:pStyle w:val="10"/>
              <w:bidi w:val="0"/>
              <w:jc w:val="center"/>
              <w:rPr>
                <w:color w:val="000000"/>
              </w:rPr>
            </w:pPr>
            <w:r>
              <w:rPr>
                <w:color w:val="000000"/>
              </w:rPr>
              <w:t>9</w:t>
            </w:r>
          </w:p>
        </w:tc>
        <w:tc>
          <w:tcPr>
            <w:tcW w:w="48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324D19E">
            <w:pPr>
              <w:pStyle w:val="10"/>
              <w:bidi w:val="0"/>
              <w:jc w:val="center"/>
              <w:rPr>
                <w:color w:val="000000"/>
              </w:rPr>
            </w:pPr>
            <w:r>
              <w:rPr>
                <w:color w:val="000000"/>
              </w:rPr>
              <w:t>960</w:t>
            </w:r>
          </w:p>
        </w:tc>
        <w:tc>
          <w:tcPr>
            <w:tcW w:w="5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9422163">
            <w:pPr>
              <w:pStyle w:val="10"/>
              <w:bidi w:val="0"/>
              <w:jc w:val="center"/>
              <w:rPr>
                <w:color w:val="000000"/>
              </w:rPr>
            </w:pPr>
            <w:r>
              <w:rPr>
                <w:color w:val="000000"/>
              </w:rPr>
              <w:t>3815</w:t>
            </w:r>
          </w:p>
        </w:tc>
        <w:tc>
          <w:tcPr>
            <w:tcW w:w="80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A9F81FB">
            <w:pPr>
              <w:pStyle w:val="10"/>
              <w:bidi w:val="0"/>
              <w:jc w:val="center"/>
              <w:rPr>
                <w:color w:val="000000"/>
              </w:rPr>
            </w:pPr>
            <w:r>
              <w:rPr>
                <w:color w:val="000000"/>
              </w:rPr>
              <w:t>2.6</w:t>
            </w:r>
          </w:p>
        </w:tc>
        <w:tc>
          <w:tcPr>
            <w:tcW w:w="70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EE43F2B">
            <w:pPr>
              <w:pStyle w:val="10"/>
              <w:bidi w:val="0"/>
              <w:jc w:val="center"/>
              <w:rPr>
                <w:color w:val="000000"/>
              </w:rPr>
            </w:pPr>
            <w:r>
              <w:rPr>
                <w:color w:val="000000"/>
              </w:rPr>
              <w:t>283</w:t>
            </w:r>
          </w:p>
        </w:tc>
        <w:tc>
          <w:tcPr>
            <w:tcW w:w="899" w:type="pct"/>
            <w:tcBorders>
              <w:top w:val="single" w:color="000000" w:sz="8" w:space="0"/>
              <w:left w:val="single" w:color="000000" w:sz="8" w:space="0"/>
              <w:bottom w:val="single" w:color="000000" w:sz="8" w:space="0"/>
            </w:tcBorders>
            <w:shd w:val="clear" w:color="auto" w:fill="FFFFFF"/>
            <w:noWrap w:val="0"/>
            <w:vAlign w:val="center"/>
          </w:tcPr>
          <w:p w14:paraId="7C1671A0">
            <w:pPr>
              <w:pStyle w:val="10"/>
              <w:bidi w:val="0"/>
              <w:jc w:val="center"/>
              <w:rPr>
                <w:color w:val="000000"/>
              </w:rPr>
            </w:pPr>
            <w:r>
              <w:rPr>
                <w:color w:val="000000"/>
              </w:rPr>
              <w:t>236</w:t>
            </w:r>
          </w:p>
        </w:tc>
      </w:tr>
      <w:tr w14:paraId="11DA1E6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5" w:type="dxa"/>
            <w:bottom w:w="0" w:type="dxa"/>
            <w:right w:w="15" w:type="dxa"/>
          </w:tblCellMar>
        </w:tblPrEx>
        <w:trPr>
          <w:trHeight w:val="285" w:hRule="atLeast"/>
        </w:trPr>
        <w:tc>
          <w:tcPr>
            <w:tcW w:w="329" w:type="pct"/>
            <w:tcBorders>
              <w:top w:val="single" w:color="000000" w:sz="8" w:space="0"/>
              <w:bottom w:val="single" w:color="000000" w:sz="8" w:space="0"/>
              <w:right w:val="single" w:color="000000" w:sz="8" w:space="0"/>
            </w:tcBorders>
            <w:shd w:val="clear" w:color="auto" w:fill="FFFFFF"/>
            <w:noWrap w:val="0"/>
            <w:vAlign w:val="center"/>
          </w:tcPr>
          <w:p w14:paraId="4AEBE7C0">
            <w:pPr>
              <w:pStyle w:val="10"/>
              <w:bidi w:val="0"/>
              <w:jc w:val="center"/>
              <w:rPr>
                <w:color w:val="000000"/>
              </w:rPr>
            </w:pPr>
            <w:r>
              <w:rPr>
                <w:color w:val="000000"/>
              </w:rPr>
              <w:t>7</w:t>
            </w:r>
          </w:p>
        </w:tc>
        <w:tc>
          <w:tcPr>
            <w:tcW w:w="86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43AEC47">
            <w:pPr>
              <w:pStyle w:val="10"/>
              <w:bidi w:val="0"/>
              <w:jc w:val="center"/>
              <w:rPr>
                <w:color w:val="000000"/>
              </w:rPr>
            </w:pPr>
            <w:r>
              <w:rPr>
                <w:color w:val="000000"/>
              </w:rPr>
              <w:t>太和村</w:t>
            </w:r>
          </w:p>
        </w:tc>
        <w:tc>
          <w:tcPr>
            <w:tcW w:w="37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B124636">
            <w:pPr>
              <w:pStyle w:val="10"/>
              <w:bidi w:val="0"/>
              <w:jc w:val="center"/>
              <w:rPr>
                <w:color w:val="000000"/>
              </w:rPr>
            </w:pPr>
            <w:r>
              <w:rPr>
                <w:color w:val="000000"/>
              </w:rPr>
              <w:t>10</w:t>
            </w:r>
          </w:p>
        </w:tc>
        <w:tc>
          <w:tcPr>
            <w:tcW w:w="48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1FE2312">
            <w:pPr>
              <w:pStyle w:val="10"/>
              <w:bidi w:val="0"/>
              <w:jc w:val="center"/>
              <w:rPr>
                <w:color w:val="000000"/>
              </w:rPr>
            </w:pPr>
            <w:r>
              <w:rPr>
                <w:color w:val="000000"/>
              </w:rPr>
              <w:t>506</w:t>
            </w:r>
          </w:p>
        </w:tc>
        <w:tc>
          <w:tcPr>
            <w:tcW w:w="5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B20E4FA">
            <w:pPr>
              <w:pStyle w:val="10"/>
              <w:bidi w:val="0"/>
              <w:jc w:val="center"/>
              <w:rPr>
                <w:color w:val="000000"/>
              </w:rPr>
            </w:pPr>
            <w:r>
              <w:rPr>
                <w:color w:val="000000"/>
              </w:rPr>
              <w:t>2022</w:t>
            </w:r>
          </w:p>
        </w:tc>
        <w:tc>
          <w:tcPr>
            <w:tcW w:w="80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9234FC1">
            <w:pPr>
              <w:pStyle w:val="10"/>
              <w:bidi w:val="0"/>
              <w:jc w:val="center"/>
              <w:rPr>
                <w:color w:val="000000"/>
              </w:rPr>
            </w:pPr>
            <w:r>
              <w:rPr>
                <w:color w:val="000000"/>
              </w:rPr>
              <w:t>2.5</w:t>
            </w:r>
          </w:p>
        </w:tc>
        <w:tc>
          <w:tcPr>
            <w:tcW w:w="70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C2A46A2">
            <w:pPr>
              <w:pStyle w:val="10"/>
              <w:bidi w:val="0"/>
              <w:jc w:val="center"/>
              <w:rPr>
                <w:color w:val="000000"/>
              </w:rPr>
            </w:pPr>
            <w:r>
              <w:rPr>
                <w:color w:val="000000"/>
              </w:rPr>
              <w:t>192</w:t>
            </w:r>
          </w:p>
        </w:tc>
        <w:tc>
          <w:tcPr>
            <w:tcW w:w="899" w:type="pct"/>
            <w:tcBorders>
              <w:top w:val="single" w:color="000000" w:sz="8" w:space="0"/>
              <w:left w:val="single" w:color="000000" w:sz="8" w:space="0"/>
              <w:bottom w:val="single" w:color="000000" w:sz="8" w:space="0"/>
            </w:tcBorders>
            <w:shd w:val="clear" w:color="auto" w:fill="FFFFFF"/>
            <w:noWrap w:val="0"/>
            <w:vAlign w:val="center"/>
          </w:tcPr>
          <w:p w14:paraId="176F6788">
            <w:pPr>
              <w:pStyle w:val="10"/>
              <w:bidi w:val="0"/>
              <w:jc w:val="center"/>
              <w:rPr>
                <w:color w:val="000000"/>
              </w:rPr>
            </w:pPr>
            <w:r>
              <w:rPr>
                <w:color w:val="000000"/>
              </w:rPr>
              <w:t>104</w:t>
            </w:r>
          </w:p>
        </w:tc>
      </w:tr>
      <w:tr w14:paraId="7259E0F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5" w:type="dxa"/>
            <w:bottom w:w="0" w:type="dxa"/>
            <w:right w:w="15" w:type="dxa"/>
          </w:tblCellMar>
        </w:tblPrEx>
        <w:trPr>
          <w:trHeight w:val="285" w:hRule="atLeast"/>
        </w:trPr>
        <w:tc>
          <w:tcPr>
            <w:tcW w:w="329" w:type="pct"/>
            <w:tcBorders>
              <w:top w:val="single" w:color="000000" w:sz="8" w:space="0"/>
              <w:bottom w:val="single" w:color="000000" w:sz="8" w:space="0"/>
              <w:right w:val="single" w:color="000000" w:sz="8" w:space="0"/>
            </w:tcBorders>
            <w:shd w:val="clear" w:color="auto" w:fill="FFFFFF"/>
            <w:noWrap w:val="0"/>
            <w:vAlign w:val="center"/>
          </w:tcPr>
          <w:p w14:paraId="0EF196DB">
            <w:pPr>
              <w:pStyle w:val="10"/>
              <w:bidi w:val="0"/>
              <w:jc w:val="center"/>
              <w:rPr>
                <w:color w:val="000000"/>
              </w:rPr>
            </w:pPr>
            <w:r>
              <w:rPr>
                <w:color w:val="000000"/>
              </w:rPr>
              <w:t>8</w:t>
            </w:r>
          </w:p>
        </w:tc>
        <w:tc>
          <w:tcPr>
            <w:tcW w:w="86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D39C47E">
            <w:pPr>
              <w:pStyle w:val="10"/>
              <w:bidi w:val="0"/>
              <w:jc w:val="center"/>
              <w:rPr>
                <w:color w:val="000000"/>
              </w:rPr>
            </w:pPr>
            <w:r>
              <w:rPr>
                <w:color w:val="000000"/>
              </w:rPr>
              <w:t>岗围村</w:t>
            </w:r>
          </w:p>
        </w:tc>
        <w:tc>
          <w:tcPr>
            <w:tcW w:w="37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555D63D">
            <w:pPr>
              <w:pStyle w:val="10"/>
              <w:bidi w:val="0"/>
              <w:jc w:val="center"/>
              <w:rPr>
                <w:color w:val="000000"/>
              </w:rPr>
            </w:pPr>
            <w:r>
              <w:rPr>
                <w:color w:val="000000"/>
              </w:rPr>
              <w:t>8</w:t>
            </w:r>
          </w:p>
        </w:tc>
        <w:tc>
          <w:tcPr>
            <w:tcW w:w="48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70C830E">
            <w:pPr>
              <w:pStyle w:val="10"/>
              <w:bidi w:val="0"/>
              <w:jc w:val="center"/>
              <w:rPr>
                <w:color w:val="000000"/>
              </w:rPr>
            </w:pPr>
            <w:r>
              <w:rPr>
                <w:color w:val="000000"/>
              </w:rPr>
              <w:t>385</w:t>
            </w:r>
          </w:p>
        </w:tc>
        <w:tc>
          <w:tcPr>
            <w:tcW w:w="5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0A5E49E">
            <w:pPr>
              <w:pStyle w:val="10"/>
              <w:bidi w:val="0"/>
              <w:jc w:val="center"/>
              <w:rPr>
                <w:color w:val="000000"/>
              </w:rPr>
            </w:pPr>
            <w:r>
              <w:rPr>
                <w:color w:val="000000"/>
              </w:rPr>
              <w:t>1634</w:t>
            </w:r>
          </w:p>
        </w:tc>
        <w:tc>
          <w:tcPr>
            <w:tcW w:w="80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1BD1DE2">
            <w:pPr>
              <w:pStyle w:val="10"/>
              <w:bidi w:val="0"/>
              <w:jc w:val="center"/>
              <w:rPr>
                <w:color w:val="000000"/>
              </w:rPr>
            </w:pPr>
            <w:r>
              <w:rPr>
                <w:color w:val="000000"/>
              </w:rPr>
              <w:t>2.4</w:t>
            </w:r>
          </w:p>
        </w:tc>
        <w:tc>
          <w:tcPr>
            <w:tcW w:w="70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AD4EC32">
            <w:pPr>
              <w:pStyle w:val="10"/>
              <w:bidi w:val="0"/>
              <w:jc w:val="center"/>
              <w:rPr>
                <w:color w:val="000000"/>
              </w:rPr>
            </w:pPr>
            <w:r>
              <w:rPr>
                <w:color w:val="000000"/>
              </w:rPr>
              <w:t>112</w:t>
            </w:r>
          </w:p>
        </w:tc>
        <w:tc>
          <w:tcPr>
            <w:tcW w:w="899" w:type="pct"/>
            <w:tcBorders>
              <w:top w:val="single" w:color="000000" w:sz="8" w:space="0"/>
              <w:left w:val="single" w:color="000000" w:sz="8" w:space="0"/>
              <w:bottom w:val="single" w:color="000000" w:sz="8" w:space="0"/>
            </w:tcBorders>
            <w:shd w:val="clear" w:color="auto" w:fill="FFFFFF"/>
            <w:noWrap w:val="0"/>
            <w:vAlign w:val="center"/>
          </w:tcPr>
          <w:p w14:paraId="4F725A46">
            <w:pPr>
              <w:pStyle w:val="10"/>
              <w:bidi w:val="0"/>
              <w:jc w:val="center"/>
              <w:rPr>
                <w:color w:val="000000"/>
              </w:rPr>
            </w:pPr>
            <w:r>
              <w:rPr>
                <w:color w:val="000000"/>
              </w:rPr>
              <w:t>15</w:t>
            </w:r>
          </w:p>
        </w:tc>
      </w:tr>
      <w:tr w14:paraId="3ECDB1B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5" w:type="dxa"/>
            <w:bottom w:w="0" w:type="dxa"/>
            <w:right w:w="15" w:type="dxa"/>
          </w:tblCellMar>
        </w:tblPrEx>
        <w:trPr>
          <w:trHeight w:val="285" w:hRule="atLeast"/>
        </w:trPr>
        <w:tc>
          <w:tcPr>
            <w:tcW w:w="329" w:type="pct"/>
            <w:tcBorders>
              <w:top w:val="single" w:color="000000" w:sz="8" w:space="0"/>
              <w:bottom w:val="single" w:color="000000" w:sz="8" w:space="0"/>
              <w:right w:val="single" w:color="000000" w:sz="8" w:space="0"/>
            </w:tcBorders>
            <w:shd w:val="clear" w:color="auto" w:fill="FFFFFF"/>
            <w:noWrap w:val="0"/>
            <w:vAlign w:val="center"/>
          </w:tcPr>
          <w:p w14:paraId="4E8C6B44">
            <w:pPr>
              <w:pStyle w:val="10"/>
              <w:bidi w:val="0"/>
              <w:jc w:val="center"/>
              <w:rPr>
                <w:color w:val="000000"/>
              </w:rPr>
            </w:pPr>
            <w:r>
              <w:rPr>
                <w:color w:val="000000"/>
              </w:rPr>
              <w:t>9</w:t>
            </w:r>
          </w:p>
        </w:tc>
        <w:tc>
          <w:tcPr>
            <w:tcW w:w="86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A6F9841">
            <w:pPr>
              <w:pStyle w:val="10"/>
              <w:bidi w:val="0"/>
              <w:jc w:val="center"/>
              <w:rPr>
                <w:color w:val="000000"/>
              </w:rPr>
            </w:pPr>
            <w:r>
              <w:rPr>
                <w:color w:val="000000"/>
              </w:rPr>
              <w:t>积塔村</w:t>
            </w:r>
          </w:p>
        </w:tc>
        <w:tc>
          <w:tcPr>
            <w:tcW w:w="37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CE964EC">
            <w:pPr>
              <w:pStyle w:val="10"/>
              <w:bidi w:val="0"/>
              <w:jc w:val="center"/>
              <w:rPr>
                <w:color w:val="000000"/>
              </w:rPr>
            </w:pPr>
            <w:r>
              <w:rPr>
                <w:color w:val="000000"/>
              </w:rPr>
              <w:t>5</w:t>
            </w:r>
          </w:p>
        </w:tc>
        <w:tc>
          <w:tcPr>
            <w:tcW w:w="48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A09D5AB">
            <w:pPr>
              <w:pStyle w:val="10"/>
              <w:bidi w:val="0"/>
              <w:jc w:val="center"/>
              <w:rPr>
                <w:color w:val="000000"/>
              </w:rPr>
            </w:pPr>
            <w:r>
              <w:rPr>
                <w:color w:val="000000"/>
              </w:rPr>
              <w:t>340</w:t>
            </w:r>
          </w:p>
        </w:tc>
        <w:tc>
          <w:tcPr>
            <w:tcW w:w="5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210138B">
            <w:pPr>
              <w:pStyle w:val="10"/>
              <w:bidi w:val="0"/>
              <w:jc w:val="center"/>
              <w:rPr>
                <w:color w:val="000000"/>
              </w:rPr>
            </w:pPr>
            <w:r>
              <w:rPr>
                <w:color w:val="000000"/>
              </w:rPr>
              <w:t>1361</w:t>
            </w:r>
          </w:p>
        </w:tc>
        <w:tc>
          <w:tcPr>
            <w:tcW w:w="80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F4D4141">
            <w:pPr>
              <w:pStyle w:val="10"/>
              <w:bidi w:val="0"/>
              <w:jc w:val="center"/>
              <w:rPr>
                <w:color w:val="000000"/>
              </w:rPr>
            </w:pPr>
            <w:r>
              <w:rPr>
                <w:color w:val="000000"/>
              </w:rPr>
              <w:t>2.1</w:t>
            </w:r>
          </w:p>
        </w:tc>
        <w:tc>
          <w:tcPr>
            <w:tcW w:w="70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DF375C2">
            <w:pPr>
              <w:pStyle w:val="10"/>
              <w:bidi w:val="0"/>
              <w:jc w:val="center"/>
              <w:rPr>
                <w:color w:val="000000"/>
              </w:rPr>
            </w:pPr>
            <w:r>
              <w:rPr>
                <w:color w:val="000000"/>
              </w:rPr>
              <w:t>105</w:t>
            </w:r>
          </w:p>
        </w:tc>
        <w:tc>
          <w:tcPr>
            <w:tcW w:w="899" w:type="pct"/>
            <w:tcBorders>
              <w:top w:val="single" w:color="000000" w:sz="8" w:space="0"/>
              <w:left w:val="single" w:color="000000" w:sz="8" w:space="0"/>
              <w:bottom w:val="single" w:color="000000" w:sz="8" w:space="0"/>
            </w:tcBorders>
            <w:shd w:val="clear" w:color="auto" w:fill="FFFFFF"/>
            <w:noWrap w:val="0"/>
            <w:vAlign w:val="center"/>
          </w:tcPr>
          <w:p w14:paraId="4D0B326E">
            <w:pPr>
              <w:pStyle w:val="10"/>
              <w:bidi w:val="0"/>
              <w:jc w:val="center"/>
              <w:rPr>
                <w:color w:val="000000"/>
              </w:rPr>
            </w:pPr>
            <w:r>
              <w:rPr>
                <w:color w:val="000000"/>
              </w:rPr>
              <w:t>36</w:t>
            </w:r>
          </w:p>
        </w:tc>
      </w:tr>
      <w:tr w14:paraId="6D37280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5" w:type="dxa"/>
            <w:bottom w:w="0" w:type="dxa"/>
            <w:right w:w="15" w:type="dxa"/>
          </w:tblCellMar>
        </w:tblPrEx>
        <w:trPr>
          <w:trHeight w:val="285" w:hRule="atLeast"/>
        </w:trPr>
        <w:tc>
          <w:tcPr>
            <w:tcW w:w="329" w:type="pct"/>
            <w:tcBorders>
              <w:top w:val="single" w:color="000000" w:sz="8" w:space="0"/>
              <w:bottom w:val="single" w:color="000000" w:sz="8" w:space="0"/>
              <w:right w:val="single" w:color="000000" w:sz="8" w:space="0"/>
            </w:tcBorders>
            <w:shd w:val="clear" w:color="auto" w:fill="FFFFFF"/>
            <w:noWrap w:val="0"/>
            <w:vAlign w:val="center"/>
          </w:tcPr>
          <w:p w14:paraId="6091FF8F">
            <w:pPr>
              <w:pStyle w:val="10"/>
              <w:bidi w:val="0"/>
              <w:jc w:val="center"/>
              <w:rPr>
                <w:color w:val="000000"/>
              </w:rPr>
            </w:pPr>
            <w:r>
              <w:rPr>
                <w:color w:val="000000"/>
              </w:rPr>
              <w:t>10</w:t>
            </w:r>
          </w:p>
        </w:tc>
        <w:tc>
          <w:tcPr>
            <w:tcW w:w="86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870E604">
            <w:pPr>
              <w:pStyle w:val="10"/>
              <w:bidi w:val="0"/>
              <w:jc w:val="center"/>
              <w:rPr>
                <w:color w:val="000000"/>
              </w:rPr>
            </w:pPr>
            <w:r>
              <w:rPr>
                <w:color w:val="000000"/>
              </w:rPr>
              <w:t>新迳村</w:t>
            </w:r>
          </w:p>
        </w:tc>
        <w:tc>
          <w:tcPr>
            <w:tcW w:w="37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497552E">
            <w:pPr>
              <w:pStyle w:val="10"/>
              <w:bidi w:val="0"/>
              <w:jc w:val="center"/>
              <w:rPr>
                <w:color w:val="000000"/>
              </w:rPr>
            </w:pPr>
            <w:r>
              <w:rPr>
                <w:color w:val="000000"/>
              </w:rPr>
              <w:t>11</w:t>
            </w:r>
          </w:p>
        </w:tc>
        <w:tc>
          <w:tcPr>
            <w:tcW w:w="48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017D8F6">
            <w:pPr>
              <w:pStyle w:val="10"/>
              <w:bidi w:val="0"/>
              <w:jc w:val="center"/>
              <w:rPr>
                <w:color w:val="000000"/>
              </w:rPr>
            </w:pPr>
            <w:r>
              <w:rPr>
                <w:color w:val="000000"/>
              </w:rPr>
              <w:t>521</w:t>
            </w:r>
          </w:p>
        </w:tc>
        <w:tc>
          <w:tcPr>
            <w:tcW w:w="5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A540108">
            <w:pPr>
              <w:pStyle w:val="10"/>
              <w:bidi w:val="0"/>
              <w:jc w:val="center"/>
              <w:rPr>
                <w:color w:val="000000"/>
              </w:rPr>
            </w:pPr>
            <w:r>
              <w:rPr>
                <w:color w:val="000000"/>
              </w:rPr>
              <w:t>2135</w:t>
            </w:r>
          </w:p>
        </w:tc>
        <w:tc>
          <w:tcPr>
            <w:tcW w:w="80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7CFF47D">
            <w:pPr>
              <w:pStyle w:val="10"/>
              <w:bidi w:val="0"/>
              <w:jc w:val="center"/>
              <w:rPr>
                <w:color w:val="000000"/>
              </w:rPr>
            </w:pPr>
            <w:r>
              <w:rPr>
                <w:color w:val="000000"/>
              </w:rPr>
              <w:t>1.2</w:t>
            </w:r>
          </w:p>
        </w:tc>
        <w:tc>
          <w:tcPr>
            <w:tcW w:w="70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9CC60EE">
            <w:pPr>
              <w:pStyle w:val="10"/>
              <w:bidi w:val="0"/>
              <w:jc w:val="center"/>
              <w:rPr>
                <w:color w:val="000000"/>
              </w:rPr>
            </w:pPr>
            <w:r>
              <w:rPr>
                <w:color w:val="000000"/>
              </w:rPr>
              <w:t>165</w:t>
            </w:r>
          </w:p>
        </w:tc>
        <w:tc>
          <w:tcPr>
            <w:tcW w:w="899" w:type="pct"/>
            <w:tcBorders>
              <w:top w:val="single" w:color="000000" w:sz="8" w:space="0"/>
              <w:left w:val="single" w:color="000000" w:sz="8" w:space="0"/>
              <w:bottom w:val="single" w:color="000000" w:sz="8" w:space="0"/>
            </w:tcBorders>
            <w:shd w:val="clear" w:color="auto" w:fill="FFFFFF"/>
            <w:noWrap w:val="0"/>
            <w:vAlign w:val="center"/>
          </w:tcPr>
          <w:p w14:paraId="079ABDBA">
            <w:pPr>
              <w:pStyle w:val="10"/>
              <w:bidi w:val="0"/>
              <w:jc w:val="center"/>
              <w:rPr>
                <w:color w:val="000000"/>
              </w:rPr>
            </w:pPr>
            <w:r>
              <w:rPr>
                <w:color w:val="000000"/>
              </w:rPr>
              <w:t>200</w:t>
            </w:r>
          </w:p>
        </w:tc>
      </w:tr>
      <w:tr w14:paraId="4D79FF3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5" w:type="dxa"/>
            <w:bottom w:w="0" w:type="dxa"/>
            <w:right w:w="15" w:type="dxa"/>
          </w:tblCellMar>
        </w:tblPrEx>
        <w:trPr>
          <w:trHeight w:val="285" w:hRule="atLeast"/>
        </w:trPr>
        <w:tc>
          <w:tcPr>
            <w:tcW w:w="329" w:type="pct"/>
            <w:tcBorders>
              <w:top w:val="single" w:color="000000" w:sz="8" w:space="0"/>
              <w:bottom w:val="single" w:color="000000" w:sz="8" w:space="0"/>
              <w:right w:val="single" w:color="000000" w:sz="8" w:space="0"/>
            </w:tcBorders>
            <w:shd w:val="clear" w:color="auto" w:fill="FFFFFF"/>
            <w:noWrap w:val="0"/>
            <w:vAlign w:val="center"/>
          </w:tcPr>
          <w:p w14:paraId="5FCD50C9">
            <w:pPr>
              <w:pStyle w:val="10"/>
              <w:bidi w:val="0"/>
              <w:jc w:val="center"/>
              <w:rPr>
                <w:color w:val="000000"/>
              </w:rPr>
            </w:pPr>
            <w:r>
              <w:rPr>
                <w:color w:val="000000"/>
              </w:rPr>
              <w:t>11</w:t>
            </w:r>
          </w:p>
        </w:tc>
        <w:tc>
          <w:tcPr>
            <w:tcW w:w="86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B8B0E9C">
            <w:pPr>
              <w:pStyle w:val="10"/>
              <w:bidi w:val="0"/>
              <w:jc w:val="center"/>
              <w:rPr>
                <w:color w:val="000000"/>
              </w:rPr>
            </w:pPr>
            <w:r>
              <w:rPr>
                <w:color w:val="000000"/>
              </w:rPr>
              <w:t>三水村</w:t>
            </w:r>
          </w:p>
        </w:tc>
        <w:tc>
          <w:tcPr>
            <w:tcW w:w="37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849032C">
            <w:pPr>
              <w:pStyle w:val="10"/>
              <w:bidi w:val="0"/>
              <w:jc w:val="center"/>
              <w:rPr>
                <w:color w:val="000000"/>
              </w:rPr>
            </w:pPr>
            <w:r>
              <w:rPr>
                <w:color w:val="000000"/>
              </w:rPr>
              <w:t>4</w:t>
            </w:r>
          </w:p>
        </w:tc>
        <w:tc>
          <w:tcPr>
            <w:tcW w:w="48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9AC6753">
            <w:pPr>
              <w:pStyle w:val="10"/>
              <w:bidi w:val="0"/>
              <w:jc w:val="center"/>
              <w:rPr>
                <w:color w:val="000000"/>
              </w:rPr>
            </w:pPr>
            <w:r>
              <w:rPr>
                <w:color w:val="000000"/>
              </w:rPr>
              <w:t>305</w:t>
            </w:r>
          </w:p>
        </w:tc>
        <w:tc>
          <w:tcPr>
            <w:tcW w:w="5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CF2F792">
            <w:pPr>
              <w:pStyle w:val="10"/>
              <w:bidi w:val="0"/>
              <w:jc w:val="center"/>
              <w:rPr>
                <w:color w:val="000000"/>
              </w:rPr>
            </w:pPr>
            <w:r>
              <w:rPr>
                <w:color w:val="000000"/>
              </w:rPr>
              <w:t>1228</w:t>
            </w:r>
          </w:p>
        </w:tc>
        <w:tc>
          <w:tcPr>
            <w:tcW w:w="80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587FA8E">
            <w:pPr>
              <w:pStyle w:val="10"/>
              <w:bidi w:val="0"/>
              <w:jc w:val="center"/>
              <w:rPr>
                <w:color w:val="000000"/>
              </w:rPr>
            </w:pPr>
            <w:r>
              <w:rPr>
                <w:color w:val="000000"/>
              </w:rPr>
              <w:t>0.9</w:t>
            </w:r>
          </w:p>
        </w:tc>
        <w:tc>
          <w:tcPr>
            <w:tcW w:w="70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983F05B">
            <w:pPr>
              <w:pStyle w:val="10"/>
              <w:bidi w:val="0"/>
              <w:jc w:val="center"/>
              <w:rPr>
                <w:color w:val="000000"/>
              </w:rPr>
            </w:pPr>
            <w:r>
              <w:rPr>
                <w:color w:val="000000"/>
              </w:rPr>
              <w:t>101</w:t>
            </w:r>
          </w:p>
        </w:tc>
        <w:tc>
          <w:tcPr>
            <w:tcW w:w="899" w:type="pct"/>
            <w:tcBorders>
              <w:top w:val="single" w:color="000000" w:sz="8" w:space="0"/>
              <w:left w:val="single" w:color="000000" w:sz="8" w:space="0"/>
              <w:bottom w:val="single" w:color="000000" w:sz="8" w:space="0"/>
            </w:tcBorders>
            <w:shd w:val="clear" w:color="auto" w:fill="FFFFFF"/>
            <w:noWrap w:val="0"/>
            <w:vAlign w:val="center"/>
          </w:tcPr>
          <w:p w14:paraId="0972F18C">
            <w:pPr>
              <w:pStyle w:val="10"/>
              <w:bidi w:val="0"/>
              <w:jc w:val="center"/>
              <w:rPr>
                <w:color w:val="000000"/>
              </w:rPr>
            </w:pPr>
            <w:r>
              <w:rPr>
                <w:color w:val="000000"/>
              </w:rPr>
              <w:t>25</w:t>
            </w:r>
          </w:p>
        </w:tc>
      </w:tr>
      <w:tr w14:paraId="166C134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5" w:type="dxa"/>
            <w:bottom w:w="0" w:type="dxa"/>
            <w:right w:w="15" w:type="dxa"/>
          </w:tblCellMar>
        </w:tblPrEx>
        <w:trPr>
          <w:trHeight w:val="285" w:hRule="atLeast"/>
        </w:trPr>
        <w:tc>
          <w:tcPr>
            <w:tcW w:w="329" w:type="pct"/>
            <w:tcBorders>
              <w:top w:val="single" w:color="000000" w:sz="8" w:space="0"/>
              <w:bottom w:val="single" w:color="000000" w:sz="8" w:space="0"/>
              <w:right w:val="single" w:color="000000" w:sz="8" w:space="0"/>
            </w:tcBorders>
            <w:shd w:val="clear" w:color="auto" w:fill="FFFFFF"/>
            <w:noWrap w:val="0"/>
            <w:vAlign w:val="center"/>
          </w:tcPr>
          <w:p w14:paraId="78BEBE8E">
            <w:pPr>
              <w:pStyle w:val="10"/>
              <w:bidi w:val="0"/>
              <w:jc w:val="center"/>
              <w:rPr>
                <w:color w:val="000000"/>
              </w:rPr>
            </w:pPr>
            <w:r>
              <w:rPr>
                <w:color w:val="000000"/>
              </w:rPr>
              <w:t>12</w:t>
            </w:r>
          </w:p>
        </w:tc>
        <w:tc>
          <w:tcPr>
            <w:tcW w:w="86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2FB01DB">
            <w:pPr>
              <w:pStyle w:val="10"/>
              <w:bidi w:val="0"/>
              <w:jc w:val="center"/>
              <w:rPr>
                <w:color w:val="000000"/>
              </w:rPr>
            </w:pPr>
            <w:r>
              <w:rPr>
                <w:color w:val="000000"/>
              </w:rPr>
              <w:t>矿石村</w:t>
            </w:r>
          </w:p>
        </w:tc>
        <w:tc>
          <w:tcPr>
            <w:tcW w:w="37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8BD56E1">
            <w:pPr>
              <w:pStyle w:val="10"/>
              <w:bidi w:val="0"/>
              <w:jc w:val="center"/>
              <w:rPr>
                <w:color w:val="000000"/>
              </w:rPr>
            </w:pPr>
            <w:r>
              <w:rPr>
                <w:color w:val="000000"/>
              </w:rPr>
              <w:t>9</w:t>
            </w:r>
          </w:p>
        </w:tc>
        <w:tc>
          <w:tcPr>
            <w:tcW w:w="48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0A02629">
            <w:pPr>
              <w:pStyle w:val="10"/>
              <w:bidi w:val="0"/>
              <w:jc w:val="center"/>
              <w:rPr>
                <w:color w:val="000000"/>
              </w:rPr>
            </w:pPr>
            <w:r>
              <w:rPr>
                <w:color w:val="000000"/>
              </w:rPr>
              <w:t>292</w:t>
            </w:r>
          </w:p>
        </w:tc>
        <w:tc>
          <w:tcPr>
            <w:tcW w:w="5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1197352">
            <w:pPr>
              <w:pStyle w:val="10"/>
              <w:bidi w:val="0"/>
              <w:jc w:val="center"/>
              <w:rPr>
                <w:color w:val="000000"/>
              </w:rPr>
            </w:pPr>
            <w:r>
              <w:rPr>
                <w:color w:val="000000"/>
              </w:rPr>
              <w:t>1112</w:t>
            </w:r>
          </w:p>
        </w:tc>
        <w:tc>
          <w:tcPr>
            <w:tcW w:w="80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D7E6BE4">
            <w:pPr>
              <w:pStyle w:val="10"/>
              <w:bidi w:val="0"/>
              <w:jc w:val="center"/>
              <w:rPr>
                <w:color w:val="000000"/>
              </w:rPr>
            </w:pPr>
            <w:r>
              <w:rPr>
                <w:color w:val="000000"/>
              </w:rPr>
              <w:t>0.9</w:t>
            </w:r>
          </w:p>
        </w:tc>
        <w:tc>
          <w:tcPr>
            <w:tcW w:w="70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E70F044">
            <w:pPr>
              <w:pStyle w:val="10"/>
              <w:bidi w:val="0"/>
              <w:jc w:val="center"/>
              <w:rPr>
                <w:color w:val="000000"/>
              </w:rPr>
            </w:pPr>
            <w:r>
              <w:rPr>
                <w:color w:val="000000"/>
              </w:rPr>
              <w:t>102</w:t>
            </w:r>
          </w:p>
        </w:tc>
        <w:tc>
          <w:tcPr>
            <w:tcW w:w="899" w:type="pct"/>
            <w:tcBorders>
              <w:top w:val="single" w:color="000000" w:sz="8" w:space="0"/>
              <w:left w:val="single" w:color="000000" w:sz="8" w:space="0"/>
              <w:bottom w:val="single" w:color="000000" w:sz="8" w:space="0"/>
            </w:tcBorders>
            <w:shd w:val="clear" w:color="auto" w:fill="FFFFFF"/>
            <w:noWrap w:val="0"/>
            <w:vAlign w:val="center"/>
          </w:tcPr>
          <w:p w14:paraId="4A472DC1">
            <w:pPr>
              <w:pStyle w:val="10"/>
              <w:bidi w:val="0"/>
              <w:jc w:val="center"/>
              <w:rPr>
                <w:color w:val="000000"/>
              </w:rPr>
            </w:pPr>
            <w:r>
              <w:rPr>
                <w:color w:val="000000"/>
              </w:rPr>
              <w:t>70</w:t>
            </w:r>
          </w:p>
        </w:tc>
      </w:tr>
      <w:tr w14:paraId="109C1A2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5" w:type="dxa"/>
            <w:bottom w:w="0" w:type="dxa"/>
            <w:right w:w="15" w:type="dxa"/>
          </w:tblCellMar>
        </w:tblPrEx>
        <w:trPr>
          <w:trHeight w:val="285" w:hRule="atLeast"/>
        </w:trPr>
        <w:tc>
          <w:tcPr>
            <w:tcW w:w="329" w:type="pct"/>
            <w:tcBorders>
              <w:top w:val="single" w:color="000000" w:sz="8" w:space="0"/>
              <w:bottom w:val="single" w:color="000000" w:sz="8" w:space="0"/>
              <w:right w:val="single" w:color="000000" w:sz="8" w:space="0"/>
            </w:tcBorders>
            <w:shd w:val="clear" w:color="auto" w:fill="FFFFFF"/>
            <w:noWrap w:val="0"/>
            <w:vAlign w:val="center"/>
          </w:tcPr>
          <w:p w14:paraId="104CBD81">
            <w:pPr>
              <w:pStyle w:val="10"/>
              <w:bidi w:val="0"/>
              <w:jc w:val="center"/>
              <w:rPr>
                <w:color w:val="000000"/>
              </w:rPr>
            </w:pPr>
            <w:r>
              <w:rPr>
                <w:color w:val="000000"/>
              </w:rPr>
              <w:t>13</w:t>
            </w:r>
          </w:p>
        </w:tc>
        <w:tc>
          <w:tcPr>
            <w:tcW w:w="86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852AA9F">
            <w:pPr>
              <w:pStyle w:val="10"/>
              <w:bidi w:val="0"/>
              <w:jc w:val="center"/>
              <w:rPr>
                <w:color w:val="000000"/>
              </w:rPr>
            </w:pPr>
            <w:r>
              <w:rPr>
                <w:color w:val="000000"/>
              </w:rPr>
              <w:t>居委会</w:t>
            </w:r>
          </w:p>
        </w:tc>
        <w:tc>
          <w:tcPr>
            <w:tcW w:w="37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C623DB5">
            <w:pPr>
              <w:pStyle w:val="10"/>
              <w:bidi w:val="0"/>
              <w:jc w:val="center"/>
              <w:rPr>
                <w:color w:val="000000"/>
              </w:rPr>
            </w:pPr>
          </w:p>
        </w:tc>
        <w:tc>
          <w:tcPr>
            <w:tcW w:w="48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B106858">
            <w:pPr>
              <w:pStyle w:val="10"/>
              <w:bidi w:val="0"/>
              <w:jc w:val="center"/>
              <w:rPr>
                <w:color w:val="000000"/>
              </w:rPr>
            </w:pPr>
            <w:r>
              <w:rPr>
                <w:color w:val="000000"/>
              </w:rPr>
              <w:t>612</w:t>
            </w:r>
          </w:p>
        </w:tc>
        <w:tc>
          <w:tcPr>
            <w:tcW w:w="5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7A1DEFC">
            <w:pPr>
              <w:pStyle w:val="10"/>
              <w:bidi w:val="0"/>
              <w:jc w:val="center"/>
              <w:rPr>
                <w:color w:val="000000"/>
              </w:rPr>
            </w:pPr>
            <w:r>
              <w:rPr>
                <w:color w:val="000000"/>
              </w:rPr>
              <w:t>2538</w:t>
            </w:r>
          </w:p>
        </w:tc>
        <w:tc>
          <w:tcPr>
            <w:tcW w:w="80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4F6ABDC">
            <w:pPr>
              <w:pStyle w:val="10"/>
              <w:bidi w:val="0"/>
              <w:jc w:val="center"/>
              <w:rPr>
                <w:color w:val="000000"/>
              </w:rPr>
            </w:pPr>
            <w:r>
              <w:rPr>
                <w:color w:val="000000"/>
              </w:rPr>
              <w:t>2</w:t>
            </w:r>
          </w:p>
        </w:tc>
        <w:tc>
          <w:tcPr>
            <w:tcW w:w="70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6F7F750">
            <w:pPr>
              <w:pStyle w:val="10"/>
              <w:bidi w:val="0"/>
              <w:jc w:val="center"/>
              <w:rPr>
                <w:color w:val="000000"/>
              </w:rPr>
            </w:pPr>
          </w:p>
        </w:tc>
        <w:tc>
          <w:tcPr>
            <w:tcW w:w="899" w:type="pct"/>
            <w:tcBorders>
              <w:top w:val="single" w:color="000000" w:sz="8" w:space="0"/>
              <w:left w:val="single" w:color="000000" w:sz="8" w:space="0"/>
              <w:bottom w:val="single" w:color="000000" w:sz="8" w:space="0"/>
            </w:tcBorders>
            <w:shd w:val="clear" w:color="auto" w:fill="FFFFFF"/>
            <w:noWrap w:val="0"/>
            <w:vAlign w:val="center"/>
          </w:tcPr>
          <w:p w14:paraId="30E57E83">
            <w:pPr>
              <w:pStyle w:val="10"/>
              <w:bidi w:val="0"/>
              <w:jc w:val="center"/>
              <w:rPr>
                <w:color w:val="000000"/>
              </w:rPr>
            </w:pPr>
          </w:p>
        </w:tc>
      </w:tr>
      <w:tr w14:paraId="3F24AF2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5" w:type="dxa"/>
            <w:bottom w:w="0" w:type="dxa"/>
            <w:right w:w="15" w:type="dxa"/>
          </w:tblCellMar>
        </w:tblPrEx>
        <w:trPr>
          <w:trHeight w:val="285" w:hRule="atLeast"/>
        </w:trPr>
        <w:tc>
          <w:tcPr>
            <w:tcW w:w="329" w:type="pct"/>
            <w:tcBorders>
              <w:top w:val="single" w:color="000000" w:sz="8" w:space="0"/>
              <w:bottom w:val="single" w:color="000000" w:sz="8" w:space="0"/>
              <w:right w:val="single" w:color="000000" w:sz="8" w:space="0"/>
            </w:tcBorders>
            <w:shd w:val="clear" w:color="auto" w:fill="FFFFFF"/>
            <w:noWrap w:val="0"/>
            <w:vAlign w:val="center"/>
          </w:tcPr>
          <w:p w14:paraId="0AD38870">
            <w:pPr>
              <w:pStyle w:val="10"/>
              <w:bidi w:val="0"/>
              <w:jc w:val="center"/>
              <w:rPr>
                <w:color w:val="000000"/>
              </w:rPr>
            </w:pPr>
            <w:r>
              <w:rPr>
                <w:color w:val="000000"/>
              </w:rPr>
              <w:t>14</w:t>
            </w:r>
          </w:p>
        </w:tc>
        <w:tc>
          <w:tcPr>
            <w:tcW w:w="86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2DE374D">
            <w:pPr>
              <w:pStyle w:val="10"/>
              <w:bidi w:val="0"/>
              <w:jc w:val="center"/>
              <w:rPr>
                <w:color w:val="000000"/>
              </w:rPr>
            </w:pPr>
            <w:r>
              <w:rPr>
                <w:color w:val="000000"/>
              </w:rPr>
              <w:t>合计</w:t>
            </w:r>
          </w:p>
        </w:tc>
        <w:tc>
          <w:tcPr>
            <w:tcW w:w="37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96A068D">
            <w:pPr>
              <w:pStyle w:val="10"/>
              <w:bidi w:val="0"/>
              <w:jc w:val="center"/>
              <w:rPr>
                <w:color w:val="000000"/>
              </w:rPr>
            </w:pPr>
            <w:r>
              <w:rPr>
                <w:color w:val="000000"/>
              </w:rPr>
              <w:t>130</w:t>
            </w:r>
          </w:p>
        </w:tc>
        <w:tc>
          <w:tcPr>
            <w:tcW w:w="48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A8361B4">
            <w:pPr>
              <w:pStyle w:val="10"/>
              <w:bidi w:val="0"/>
              <w:jc w:val="center"/>
              <w:rPr>
                <w:color w:val="000000"/>
              </w:rPr>
            </w:pPr>
            <w:r>
              <w:rPr>
                <w:color w:val="000000"/>
              </w:rPr>
              <w:t>8344</w:t>
            </w:r>
          </w:p>
        </w:tc>
        <w:tc>
          <w:tcPr>
            <w:tcW w:w="5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6D34E07">
            <w:pPr>
              <w:pStyle w:val="10"/>
              <w:bidi w:val="0"/>
              <w:jc w:val="center"/>
              <w:rPr>
                <w:color w:val="000000"/>
              </w:rPr>
            </w:pPr>
            <w:r>
              <w:rPr>
                <w:color w:val="000000"/>
              </w:rPr>
              <w:t>34071</w:t>
            </w:r>
          </w:p>
        </w:tc>
        <w:tc>
          <w:tcPr>
            <w:tcW w:w="80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302302D">
            <w:pPr>
              <w:pStyle w:val="10"/>
              <w:bidi w:val="0"/>
              <w:jc w:val="center"/>
              <w:rPr>
                <w:color w:val="000000"/>
              </w:rPr>
            </w:pPr>
            <w:r>
              <w:rPr>
                <w:color w:val="000000"/>
              </w:rPr>
              <w:t>39.5</w:t>
            </w:r>
          </w:p>
        </w:tc>
        <w:tc>
          <w:tcPr>
            <w:tcW w:w="70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075B8D5">
            <w:pPr>
              <w:pStyle w:val="10"/>
              <w:bidi w:val="0"/>
              <w:jc w:val="center"/>
              <w:rPr>
                <w:color w:val="000000"/>
              </w:rPr>
            </w:pPr>
            <w:r>
              <w:rPr>
                <w:rFonts w:hint="eastAsia"/>
                <w:color w:val="000000"/>
              </w:rPr>
              <w:t>2428</w:t>
            </w:r>
          </w:p>
        </w:tc>
        <w:tc>
          <w:tcPr>
            <w:tcW w:w="899" w:type="pct"/>
            <w:tcBorders>
              <w:top w:val="single" w:color="000000" w:sz="8" w:space="0"/>
              <w:left w:val="single" w:color="000000" w:sz="8" w:space="0"/>
              <w:bottom w:val="single" w:color="000000" w:sz="8" w:space="0"/>
            </w:tcBorders>
            <w:shd w:val="clear" w:color="auto" w:fill="FFFFFF"/>
            <w:noWrap w:val="0"/>
            <w:vAlign w:val="center"/>
          </w:tcPr>
          <w:p w14:paraId="37470ACE">
            <w:pPr>
              <w:pStyle w:val="10"/>
              <w:bidi w:val="0"/>
              <w:jc w:val="center"/>
              <w:rPr>
                <w:color w:val="000000"/>
              </w:rPr>
            </w:pPr>
            <w:r>
              <w:rPr>
                <w:rFonts w:hint="eastAsia"/>
                <w:color w:val="000000"/>
              </w:rPr>
              <w:t>1550</w:t>
            </w:r>
          </w:p>
        </w:tc>
      </w:tr>
    </w:tbl>
    <w:p w14:paraId="08EC8C7F">
      <w:pPr>
        <w:pStyle w:val="10"/>
        <w:bidi w:val="0"/>
        <w:rPr>
          <w:b/>
          <w:bCs/>
        </w:rPr>
      </w:pPr>
      <w:r>
        <w:rPr>
          <w:rFonts w:hint="eastAsia"/>
          <w:b/>
          <w:bCs/>
        </w:rPr>
        <w:t>附：</w:t>
      </w:r>
      <w:r>
        <w:rPr>
          <w:b/>
          <w:bCs/>
        </w:rPr>
        <w:t>2013年湖口镇领导班子成员名单</w:t>
      </w:r>
    </w:p>
    <w:p w14:paraId="5EB07CA4">
      <w:pPr>
        <w:pStyle w:val="10"/>
        <w:bidi w:val="0"/>
        <w:rPr>
          <w:rFonts w:hint="eastAsia"/>
          <w:lang w:eastAsia="zh-CN"/>
        </w:rPr>
      </w:pPr>
      <w:r>
        <w:rPr>
          <w:rFonts w:hint="eastAsia"/>
          <w:b/>
          <w:bCs/>
        </w:rPr>
        <w:t>党委书记、人大主席：</w:t>
      </w:r>
      <w:r>
        <w:rPr>
          <w:rFonts w:hint="eastAsia"/>
        </w:rPr>
        <w:t>李新明（任至</w:t>
      </w:r>
      <w:r>
        <w:t>9月</w:t>
      </w:r>
      <w:r>
        <w:rPr>
          <w:rFonts w:hint="eastAsia"/>
          <w:lang w:eastAsia="zh-CN"/>
        </w:rPr>
        <w:t>）</w:t>
      </w:r>
    </w:p>
    <w:p w14:paraId="521C7E7F">
      <w:pPr>
        <w:pStyle w:val="10"/>
        <w:bidi w:val="0"/>
        <w:ind w:firstLine="2100" w:firstLineChars="1000"/>
      </w:pPr>
      <w:r>
        <w:rPr>
          <w:rFonts w:hint="eastAsia"/>
        </w:rPr>
        <w:t>朱运通（</w:t>
      </w:r>
      <w:r>
        <w:t>9月任）</w:t>
      </w:r>
    </w:p>
    <w:p w14:paraId="364FA187">
      <w:pPr>
        <w:pStyle w:val="10"/>
        <w:bidi w:val="0"/>
        <w:rPr>
          <w:rFonts w:hint="eastAsia"/>
        </w:rPr>
      </w:pPr>
      <w:r>
        <w:rPr>
          <w:rFonts w:hint="eastAsia"/>
          <w:b/>
          <w:bCs/>
        </w:rPr>
        <w:t>党委副书记、镇长</w:t>
      </w:r>
      <w:r>
        <w:rPr>
          <w:rFonts w:hint="eastAsia"/>
        </w:rPr>
        <w:t>：雷清荣</w:t>
      </w:r>
    </w:p>
    <w:p w14:paraId="3BDBBB82">
      <w:pPr>
        <w:pStyle w:val="10"/>
        <w:bidi w:val="0"/>
        <w:rPr>
          <w:rFonts w:hint="eastAsia"/>
        </w:rPr>
      </w:pPr>
      <w:r>
        <w:rPr>
          <w:rFonts w:hint="eastAsia"/>
          <w:b/>
          <w:bCs/>
        </w:rPr>
        <w:t>党委副书记：</w:t>
      </w:r>
      <w:r>
        <w:rPr>
          <w:rFonts w:hint="eastAsia"/>
        </w:rPr>
        <w:t>钟小娟</w:t>
      </w:r>
    </w:p>
    <w:p w14:paraId="13D06622">
      <w:pPr>
        <w:pStyle w:val="10"/>
        <w:bidi w:val="0"/>
        <w:rPr>
          <w:rFonts w:hint="eastAsia"/>
        </w:rPr>
      </w:pPr>
      <w:r>
        <w:rPr>
          <w:rFonts w:hint="eastAsia"/>
          <w:b/>
          <w:bCs/>
        </w:rPr>
        <w:t>纪委书记：</w:t>
      </w:r>
      <w:r>
        <w:rPr>
          <w:rFonts w:hint="eastAsia"/>
        </w:rPr>
        <w:t>邓玉良</w:t>
      </w:r>
    </w:p>
    <w:p w14:paraId="366D2E72">
      <w:pPr>
        <w:pStyle w:val="10"/>
        <w:bidi w:val="0"/>
        <w:rPr>
          <w:rFonts w:hint="eastAsia"/>
        </w:rPr>
      </w:pPr>
      <w:r>
        <w:rPr>
          <w:rFonts w:hint="eastAsia"/>
          <w:b/>
          <w:bCs/>
        </w:rPr>
        <w:t>组织委员：</w:t>
      </w:r>
      <w:r>
        <w:rPr>
          <w:rFonts w:hint="eastAsia"/>
        </w:rPr>
        <w:t>王玉杰</w:t>
      </w:r>
    </w:p>
    <w:p w14:paraId="27899B31">
      <w:pPr>
        <w:pStyle w:val="10"/>
        <w:bidi w:val="0"/>
        <w:rPr>
          <w:rFonts w:hint="eastAsia"/>
        </w:rPr>
      </w:pPr>
      <w:r>
        <w:rPr>
          <w:rFonts w:hint="eastAsia"/>
          <w:b/>
          <w:bCs/>
        </w:rPr>
        <w:t>宣传委员：</w:t>
      </w:r>
      <w:r>
        <w:rPr>
          <w:rFonts w:hint="eastAsia"/>
        </w:rPr>
        <w:t>钟伦红</w:t>
      </w:r>
    </w:p>
    <w:p w14:paraId="73ABD1B8">
      <w:pPr>
        <w:pStyle w:val="10"/>
        <w:bidi w:val="0"/>
        <w:rPr>
          <w:rFonts w:hint="eastAsia"/>
        </w:rPr>
      </w:pPr>
      <w:r>
        <w:rPr>
          <w:rFonts w:hint="eastAsia"/>
          <w:b/>
          <w:bCs/>
        </w:rPr>
        <w:t>人大副主席</w:t>
      </w:r>
      <w:r>
        <w:rPr>
          <w:rFonts w:hint="eastAsia"/>
        </w:rPr>
        <w:t>：张涛</w:t>
      </w:r>
    </w:p>
    <w:p w14:paraId="20D237EE">
      <w:pPr>
        <w:pStyle w:val="10"/>
        <w:bidi w:val="0"/>
        <w:rPr>
          <w:rFonts w:hint="eastAsia"/>
        </w:rPr>
      </w:pPr>
      <w:r>
        <w:rPr>
          <w:rFonts w:hint="eastAsia"/>
          <w:b/>
          <w:bCs/>
        </w:rPr>
        <w:t>武装部长</w:t>
      </w:r>
      <w:r>
        <w:rPr>
          <w:rFonts w:hint="eastAsia"/>
        </w:rPr>
        <w:t>：刘光佑</w:t>
      </w:r>
    </w:p>
    <w:p w14:paraId="215B207A">
      <w:pPr>
        <w:pStyle w:val="10"/>
        <w:bidi w:val="0"/>
        <w:rPr>
          <w:rFonts w:hint="eastAsia"/>
        </w:rPr>
      </w:pPr>
      <w:r>
        <w:rPr>
          <w:rFonts w:hint="eastAsia"/>
          <w:b/>
          <w:bCs/>
        </w:rPr>
        <w:t>综治办专职副主任：</w:t>
      </w:r>
      <w:r>
        <w:rPr>
          <w:rFonts w:hint="eastAsia"/>
        </w:rPr>
        <w:t>黄永红</w:t>
      </w:r>
    </w:p>
    <w:p w14:paraId="22D37282">
      <w:pPr>
        <w:pStyle w:val="10"/>
        <w:bidi w:val="0"/>
      </w:pPr>
      <w:r>
        <w:rPr>
          <w:rFonts w:hint="eastAsia"/>
          <w:b/>
          <w:bCs/>
        </w:rPr>
        <w:t>副镇长：</w:t>
      </w:r>
      <w:r>
        <w:rPr>
          <w:rFonts w:hint="eastAsia"/>
        </w:rPr>
        <w:t>钟礼来</w:t>
      </w:r>
      <w:r>
        <w:rPr>
          <w:rFonts w:hint="eastAsia"/>
          <w:lang w:val="en-US" w:eastAsia="zh-CN"/>
        </w:rPr>
        <w:t xml:space="preserve">   </w:t>
      </w:r>
      <w:r>
        <w:rPr>
          <w:rFonts w:hint="eastAsia"/>
        </w:rPr>
        <w:t>林勋文</w:t>
      </w:r>
      <w:r>
        <w:rPr>
          <w:rFonts w:hint="eastAsia"/>
          <w:lang w:val="en-US" w:eastAsia="zh-CN"/>
        </w:rPr>
        <w:t xml:space="preserve">   </w:t>
      </w:r>
      <w:r>
        <w:rPr>
          <w:rFonts w:hint="eastAsia"/>
        </w:rPr>
        <w:t>孔明华（任至</w:t>
      </w:r>
      <w:r>
        <w:t>12月）</w:t>
      </w:r>
    </w:p>
    <w:p w14:paraId="65FC7E71">
      <w:pPr>
        <w:pStyle w:val="3"/>
        <w:bidi w:val="0"/>
      </w:pPr>
      <w:r>
        <w:rPr>
          <w:rFonts w:hint="eastAsia"/>
        </w:rPr>
        <w:t>乌迳镇</w:t>
      </w:r>
    </w:p>
    <w:p w14:paraId="7D641D88">
      <w:pPr>
        <w:pStyle w:val="4"/>
        <w:bidi w:val="0"/>
        <w:rPr>
          <w:rFonts w:hint="eastAsia"/>
        </w:rPr>
      </w:pPr>
      <w:r>
        <w:rPr>
          <w:rFonts w:hint="eastAsia"/>
          <w:lang w:eastAsia="zh-CN"/>
        </w:rPr>
        <w:t>【</w:t>
      </w:r>
      <w:r>
        <w:rPr>
          <w:rFonts w:hint="eastAsia"/>
        </w:rPr>
        <w:t>概况】</w:t>
      </w:r>
    </w:p>
    <w:p w14:paraId="5AB2B2EC">
      <w:pPr>
        <w:rPr>
          <w:rFonts w:hint="eastAsia" w:eastAsia="宋体"/>
          <w:lang w:eastAsia="zh-CN"/>
        </w:rPr>
      </w:pPr>
      <w:r>
        <w:rPr>
          <w:rFonts w:hint="eastAsia"/>
        </w:rPr>
        <w:t>乌迳镇地处广东省南雄市东北部，毗邻江西省信丰县。面积</w:t>
      </w:r>
      <w:r>
        <w:t>157.5平方公里，辖21个村</w:t>
      </w:r>
      <w:r>
        <w:rPr>
          <w:rFonts w:hint="eastAsia"/>
        </w:rPr>
        <w:t>委会，</w:t>
      </w:r>
      <w:r>
        <w:t>1个居委会，人口约5万人，是南雄市最大</w:t>
      </w:r>
      <w:r>
        <w:rPr>
          <w:rFonts w:hint="eastAsia"/>
        </w:rPr>
        <w:t>的乡镇，属革命老区。</w:t>
      </w:r>
      <w:r>
        <w:t>2002年被省政府列为广东省268个中心镇之一。乌迳镇交通便利，北距江西省</w:t>
      </w:r>
      <w:r>
        <w:rPr>
          <w:rFonts w:hint="eastAsia"/>
        </w:rPr>
        <w:t>信丰县及</w:t>
      </w:r>
      <w:r>
        <w:t>105国道和京九铁路42公里，距</w:t>
      </w:r>
      <w:r>
        <w:rPr>
          <w:rFonts w:hint="eastAsia"/>
          <w:lang w:eastAsia="zh-CN"/>
        </w:rPr>
        <w:t>粤</w:t>
      </w:r>
      <w:r>
        <w:t>赣高</w:t>
      </w:r>
      <w:r>
        <w:rPr>
          <w:rFonts w:hint="eastAsia"/>
        </w:rPr>
        <w:t>速公路</w:t>
      </w:r>
      <w:r>
        <w:t>21公里。南离南雄市区、韶赣高速、韶赣</w:t>
      </w:r>
      <w:r>
        <w:rPr>
          <w:rFonts w:hint="eastAsia"/>
        </w:rPr>
        <w:t>铁路及</w:t>
      </w:r>
      <w:r>
        <w:t>323国道31公里，省道S342线贯穿全镇</w:t>
      </w:r>
      <w:r>
        <w:rPr>
          <w:rFonts w:hint="eastAsia"/>
          <w:lang w:eastAsia="zh-CN"/>
        </w:rPr>
        <w:t>。</w:t>
      </w:r>
    </w:p>
    <w:p w14:paraId="0C170EC2">
      <w:r>
        <w:rPr>
          <w:rFonts w:hint="eastAsia"/>
        </w:rPr>
        <w:t>在历史上，乌迳镇有中原南迁第一镇之说，而乌迳镇最古老的村落杜屋围村却有迁徙南雄第一村之称，自西晋建村至今已有</w:t>
      </w:r>
      <w:r>
        <w:t>1691年历史之久。</w:t>
      </w:r>
    </w:p>
    <w:p w14:paraId="6D3EB594">
      <w:pPr>
        <w:pStyle w:val="4"/>
        <w:bidi w:val="0"/>
        <w:rPr>
          <w:rFonts w:hint="eastAsia"/>
        </w:rPr>
      </w:pPr>
      <w:r>
        <w:rPr>
          <w:rFonts w:hint="eastAsia"/>
        </w:rPr>
        <w:t>【经济发展】</w:t>
      </w:r>
    </w:p>
    <w:p w14:paraId="7B188656">
      <w:pPr>
        <w:rPr>
          <w:rFonts w:hint="eastAsia"/>
        </w:rPr>
      </w:pPr>
      <w:r>
        <w:rPr>
          <w:rFonts w:hint="eastAsia"/>
        </w:rPr>
        <w:t>国内生产总值及国民收入：</w:t>
      </w:r>
      <w:r>
        <w:t>2013年</w:t>
      </w:r>
      <w:r>
        <w:rPr>
          <w:rFonts w:hint="eastAsia"/>
        </w:rPr>
        <w:t>全年乌迳镇完成农村经济总收入</w:t>
      </w:r>
      <w:r>
        <w:t>6.5亿元，同比增</w:t>
      </w:r>
      <w:r>
        <w:rPr>
          <w:rFonts w:hint="eastAsia"/>
        </w:rPr>
        <w:t>长</w:t>
      </w:r>
      <w:r>
        <w:t>12%；农民人均纯收入7167元，同比增长17%，</w:t>
      </w:r>
      <w:r>
        <w:rPr>
          <w:rFonts w:hint="eastAsia"/>
        </w:rPr>
        <w:t>实现了全镇经济发展的预期目标。</w:t>
      </w:r>
      <w:r>
        <w:t>2013年，乌迳镇</w:t>
      </w:r>
      <w:r>
        <w:rPr>
          <w:rFonts w:hint="eastAsia"/>
        </w:rPr>
        <w:t>获得南雄市镇（街道）经济社会科学发展考核第五名，三等奖。</w:t>
      </w:r>
    </w:p>
    <w:p w14:paraId="417D15F7">
      <w:pPr>
        <w:pStyle w:val="4"/>
        <w:bidi w:val="0"/>
        <w:rPr>
          <w:rFonts w:hint="eastAsia"/>
        </w:rPr>
      </w:pPr>
      <w:r>
        <w:rPr>
          <w:rFonts w:hint="eastAsia"/>
        </w:rPr>
        <w:t>【黄烟产销】</w:t>
      </w:r>
    </w:p>
    <w:p w14:paraId="3532DFC2">
      <w:pPr>
        <w:rPr>
          <w:rFonts w:hint="eastAsia"/>
        </w:rPr>
      </w:pPr>
      <w:r>
        <w:rPr>
          <w:rFonts w:hint="eastAsia"/>
        </w:rPr>
        <w:t>乌迳镇按照</w:t>
      </w:r>
      <w:r>
        <w:t>2012年制定的工作目</w:t>
      </w:r>
      <w:r>
        <w:rPr>
          <w:rFonts w:hint="eastAsia"/>
        </w:rPr>
        <w:t>标，确保全镇完成合同签订任务</w:t>
      </w:r>
      <w:r>
        <w:t>7470亩，收购烟</w:t>
      </w:r>
      <w:r>
        <w:rPr>
          <w:rFonts w:hint="eastAsia"/>
        </w:rPr>
        <w:t>叶</w:t>
      </w:r>
      <w:r>
        <w:t>21037担，超额完成收购任务。乌迳镇还特抽调</w:t>
      </w:r>
      <w:r>
        <w:rPr>
          <w:rFonts w:hint="eastAsia"/>
        </w:rPr>
        <w:t>镇干部组成一支缉私小组，派驻辖内种烟大村黄塘村进行长期驻扎并巡视，从而维护全镇烟叶专卖秩序。</w:t>
      </w:r>
    </w:p>
    <w:p w14:paraId="30652473">
      <w:pPr>
        <w:pStyle w:val="4"/>
        <w:bidi w:val="0"/>
        <w:rPr>
          <w:rFonts w:hint="eastAsia"/>
        </w:rPr>
      </w:pPr>
      <w:r>
        <w:rPr>
          <w:rFonts w:hint="eastAsia"/>
        </w:rPr>
        <w:t>【粮食产销】</w:t>
      </w:r>
    </w:p>
    <w:p w14:paraId="485E2A2C">
      <w:r>
        <w:rPr>
          <w:rFonts w:hint="eastAsia"/>
        </w:rPr>
        <w:t>乌迳镇种植业主要以水稻、黄烟</w:t>
      </w:r>
      <w:r>
        <w:rPr>
          <w:rFonts w:hint="eastAsia"/>
          <w:lang w:eastAsia="zh-CN"/>
        </w:rPr>
        <w:t>、</w:t>
      </w:r>
      <w:r>
        <w:rPr>
          <w:rFonts w:hint="eastAsia"/>
        </w:rPr>
        <w:t>花生、辣椒为主。</w:t>
      </w:r>
      <w:r>
        <w:t>2013年克服雨水多、害虫多等困</w:t>
      </w:r>
      <w:r>
        <w:rPr>
          <w:rFonts w:hint="eastAsia"/>
        </w:rPr>
        <w:t>难，完成粮食种植</w:t>
      </w:r>
      <w:r>
        <w:t>42000亩；完成粮食收购20800</w:t>
      </w:r>
      <w:r>
        <w:rPr>
          <w:rFonts w:hint="eastAsia"/>
        </w:rPr>
        <w:t>吨，粮食产量创历史新高，同时全面落实惠农政策，完成粮田补贴</w:t>
      </w:r>
      <w:r>
        <w:t>9023户，共计补贴370多万元。</w:t>
      </w:r>
    </w:p>
    <w:p w14:paraId="749E7339">
      <w:pPr>
        <w:pStyle w:val="4"/>
        <w:bidi w:val="0"/>
        <w:rPr>
          <w:rFonts w:hint="eastAsia"/>
        </w:rPr>
      </w:pPr>
      <w:r>
        <w:rPr>
          <w:rFonts w:hint="eastAsia"/>
        </w:rPr>
        <w:t>【其他农作物】</w:t>
      </w:r>
    </w:p>
    <w:p w14:paraId="46B5D8F6">
      <w:r>
        <w:rPr>
          <w:rFonts w:hint="eastAsia"/>
        </w:rPr>
        <w:t>花生种植面积</w:t>
      </w:r>
      <w:r>
        <w:t>1.2万亩，总产量2939吨，完成花生补贴6608户，共计12万多元。</w:t>
      </w:r>
      <w:r>
        <w:rPr>
          <w:rFonts w:hint="eastAsia"/>
        </w:rPr>
        <w:t>辣椒种植面积</w:t>
      </w:r>
      <w:r>
        <w:t>1650亩，总产量为8100吨。</w:t>
      </w:r>
    </w:p>
    <w:p w14:paraId="711C7BF6">
      <w:pPr>
        <w:pStyle w:val="4"/>
        <w:bidi w:val="0"/>
        <w:rPr>
          <w:rFonts w:hint="eastAsia"/>
        </w:rPr>
      </w:pPr>
      <w:r>
        <w:rPr>
          <w:rFonts w:hint="eastAsia"/>
        </w:rPr>
        <w:t>【城镇化建设】</w:t>
      </w:r>
    </w:p>
    <w:p w14:paraId="587E9E2F">
      <w:pPr>
        <w:rPr>
          <w:rFonts w:hint="eastAsia"/>
        </w:rPr>
      </w:pPr>
      <w:r>
        <w:t>2013年是乌迳中心镇实施城镇化</w:t>
      </w:r>
      <w:r>
        <w:rPr>
          <w:rFonts w:hint="eastAsia"/>
        </w:rPr>
        <w:t>建设的起步之年。这一年，为打好开年之战，乌迳镇多措并举：</w:t>
      </w:r>
    </w:p>
    <w:p w14:paraId="01F7C725">
      <w:r>
        <w:rPr>
          <w:rFonts w:hint="eastAsia"/>
          <w:lang w:val="en-US" w:eastAsia="zh-CN"/>
        </w:rPr>
        <w:t>一</w:t>
      </w:r>
      <w:r>
        <w:rPr>
          <w:rFonts w:hint="eastAsia"/>
        </w:rPr>
        <w:t>是道路硬化。采取住户门前自己硬化，公共空地镇政府硬化的方式，投资</w:t>
      </w:r>
      <w:r>
        <w:t>40多万元对总长2.5</w:t>
      </w:r>
      <w:r>
        <w:rPr>
          <w:rFonts w:hint="eastAsia"/>
        </w:rPr>
        <w:t>公里的主街道（</w:t>
      </w:r>
      <w:r>
        <w:t>S342省道乌迳墟段）的空地进行</w:t>
      </w:r>
      <w:r>
        <w:rPr>
          <w:rFonts w:hint="eastAsia"/>
        </w:rPr>
        <w:t>了硬化。与此同时，结合一事一议项目，投入资金</w:t>
      </w:r>
      <w:r>
        <w:t>400多万元完成白胜等4个村道路硬化、文化小广</w:t>
      </w:r>
      <w:r>
        <w:rPr>
          <w:rFonts w:hint="eastAsia"/>
        </w:rPr>
        <w:t>场等</w:t>
      </w:r>
      <w:r>
        <w:t>4个建设项目，受益农户1200余户，受益人</w:t>
      </w:r>
      <w:r>
        <w:rPr>
          <w:rFonts w:hint="eastAsia"/>
        </w:rPr>
        <w:t>口合计</w:t>
      </w:r>
      <w:r>
        <w:t>4235人。</w:t>
      </w:r>
    </w:p>
    <w:p w14:paraId="228B2AA5">
      <w:r>
        <w:rPr>
          <w:rFonts w:hint="eastAsia"/>
        </w:rPr>
        <w:t>二是道路绿化。投资</w:t>
      </w:r>
      <w:r>
        <w:t>10多万元种植了一大批</w:t>
      </w:r>
      <w:r>
        <w:rPr>
          <w:rFonts w:hint="eastAsia"/>
        </w:rPr>
        <w:t>小叶榕、樟树；利用植树节时机植树</w:t>
      </w:r>
      <w:r>
        <w:t>3000多株</w:t>
      </w:r>
      <w:r>
        <w:rPr>
          <w:rFonts w:hint="eastAsia"/>
          <w:lang w:eastAsia="zh-CN"/>
        </w:rPr>
        <w:t>；</w:t>
      </w:r>
      <w:r>
        <w:rPr>
          <w:rFonts w:hint="eastAsia"/>
        </w:rPr>
        <w:t>通过“万村绿”和“道路绿化、美化”活动植树</w:t>
      </w:r>
      <w:r>
        <w:t>3700多棵。</w:t>
      </w:r>
    </w:p>
    <w:p w14:paraId="12556836">
      <w:pPr>
        <w:rPr>
          <w:rFonts w:hint="eastAsia"/>
        </w:rPr>
      </w:pPr>
      <w:r>
        <w:rPr>
          <w:rFonts w:hint="eastAsia"/>
        </w:rPr>
        <w:t>三是整治“两违”建筑。</w:t>
      </w:r>
      <w:r>
        <w:t>2013年，</w:t>
      </w:r>
      <w:r>
        <w:rPr>
          <w:rFonts w:hint="eastAsia"/>
          <w:lang w:eastAsia="zh-CN"/>
        </w:rPr>
        <w:t>乌</w:t>
      </w:r>
      <w:r>
        <w:t>迳镇拆</w:t>
      </w:r>
      <w:r>
        <w:rPr>
          <w:rFonts w:hint="eastAsia"/>
        </w:rPr>
        <w:t>除违建</w:t>
      </w:r>
      <w:r>
        <w:t>480平方米，收缴钢筋2吨、电动机11台</w:t>
      </w:r>
      <w:r>
        <w:rPr>
          <w:rFonts w:hint="eastAsia"/>
          <w:lang w:eastAsia="zh-CN"/>
        </w:rPr>
        <w:t>、</w:t>
      </w:r>
      <w:r>
        <w:rPr>
          <w:rFonts w:hint="eastAsia"/>
        </w:rPr>
        <w:t>搅拌机</w:t>
      </w:r>
      <w:r>
        <w:t>3台，其他工具一批，使全镇尤其是墟镇规</w:t>
      </w:r>
      <w:r>
        <w:rPr>
          <w:rFonts w:hint="eastAsia"/>
        </w:rPr>
        <w:t>划区内违建势头得到遏制。</w:t>
      </w:r>
    </w:p>
    <w:p w14:paraId="6F0D3F94">
      <w:r>
        <w:rPr>
          <w:rFonts w:hint="eastAsia"/>
        </w:rPr>
        <w:t>四是实施自来水工程和环卫工程。</w:t>
      </w:r>
      <w:r>
        <w:t>2013年，乌</w:t>
      </w:r>
      <w:r>
        <w:rPr>
          <w:rFonts w:hint="eastAsia"/>
        </w:rPr>
        <w:t>迳镇对墟镇的下水道进行了全面的清理，并积极争取上级支持，拟在新田村建设一座污水处理厂；另外投入了</w:t>
      </w:r>
      <w:r>
        <w:t>540多万元新建自来水扩建工程，解决用</w:t>
      </w:r>
      <w:r>
        <w:rPr>
          <w:rFonts w:hint="eastAsia"/>
        </w:rPr>
        <w:t>水问题；同时还加大环卫基础设施建设投入力度，在全镇新建</w:t>
      </w:r>
      <w:r>
        <w:t>65个垃圾池，添置1辆小铲车、2辆垃</w:t>
      </w:r>
      <w:r>
        <w:rPr>
          <w:rFonts w:hint="eastAsia"/>
        </w:rPr>
        <w:t>圾运输车、</w:t>
      </w:r>
      <w:r>
        <w:t>1辆小金钢垃圾中转运输车。</w:t>
      </w:r>
    </w:p>
    <w:p w14:paraId="330C52DE">
      <w:pPr>
        <w:pStyle w:val="4"/>
        <w:bidi w:val="0"/>
        <w:rPr>
          <w:rFonts w:hint="eastAsia"/>
        </w:rPr>
      </w:pPr>
      <w:r>
        <w:rPr>
          <w:rFonts w:hint="eastAsia"/>
        </w:rPr>
        <w:t>【民生社会</w:t>
      </w:r>
      <w:r>
        <w:rPr>
          <w:rFonts w:hint="eastAsia"/>
          <w:lang w:val="en-US" w:eastAsia="zh-CN"/>
        </w:rPr>
        <w:t>事</w:t>
      </w:r>
      <w:r>
        <w:rPr>
          <w:rFonts w:hint="eastAsia"/>
        </w:rPr>
        <w:t>业】</w:t>
      </w:r>
    </w:p>
    <w:p w14:paraId="788091C8">
      <w:pPr>
        <w:rPr>
          <w:rFonts w:hint="eastAsia"/>
          <w:lang w:eastAsia="zh-CN"/>
        </w:rPr>
      </w:pPr>
      <w:r>
        <w:rPr>
          <w:rFonts w:hint="eastAsia"/>
        </w:rPr>
        <w:t>一是继续完善基础设施。</w:t>
      </w:r>
      <w:r>
        <w:t>2013</w:t>
      </w:r>
      <w:r>
        <w:rPr>
          <w:rFonts w:hint="eastAsia"/>
        </w:rPr>
        <w:t>年，争取上级资金，加大基础设施建设，共计投入</w:t>
      </w:r>
      <w:r>
        <w:t>7000多万元。主要的大项目有：投入1000多万元</w:t>
      </w:r>
      <w:r>
        <w:rPr>
          <w:rFonts w:hint="eastAsia"/>
        </w:rPr>
        <w:t>完善白龙村桥背坑提灌站沟渠、孔塘窑排机耕路等</w:t>
      </w:r>
      <w:r>
        <w:t>27个烟基建设；投入700万元完善电力改造；投入1000多万元建设污水处理厂，2013年已完成征地21亩，并已完成三通一平，投大资金200万元，占</w:t>
      </w:r>
      <w:r>
        <w:rPr>
          <w:rFonts w:hint="eastAsia"/>
        </w:rPr>
        <w:t>总投资额</w:t>
      </w:r>
      <w:r>
        <w:t>20%，占年度计划50%；投资960多万元</w:t>
      </w:r>
      <w:r>
        <w:rPr>
          <w:rFonts w:hint="eastAsia"/>
        </w:rPr>
        <w:t>完善中、小学的基础设施建设；投入</w:t>
      </w:r>
      <w:r>
        <w:t>700多万元完</w:t>
      </w:r>
      <w:r>
        <w:rPr>
          <w:rFonts w:hint="eastAsia"/>
        </w:rPr>
        <w:t>善水利建设</w:t>
      </w:r>
      <w:r>
        <w:rPr>
          <w:rFonts w:hint="eastAsia"/>
          <w:lang w:eastAsia="zh-CN"/>
        </w:rPr>
        <w:t>。</w:t>
      </w:r>
    </w:p>
    <w:p w14:paraId="74AC5B72">
      <w:pPr>
        <w:pStyle w:val="4"/>
        <w:bidi w:val="0"/>
        <w:rPr>
          <w:rFonts w:hint="eastAsia"/>
        </w:rPr>
      </w:pPr>
      <w:r>
        <w:rPr>
          <w:rFonts w:hint="eastAsia"/>
        </w:rPr>
        <w:t>【人口计生】</w:t>
      </w:r>
    </w:p>
    <w:p w14:paraId="484DE146">
      <w:pPr>
        <w:rPr>
          <w:rFonts w:hint="eastAsia"/>
        </w:rPr>
      </w:pPr>
      <w:r>
        <w:rPr>
          <w:rFonts w:hint="eastAsia"/>
        </w:rPr>
        <w:t>人口计生工作。</w:t>
      </w:r>
      <w:r>
        <w:t>2013年1月至12月</w:t>
      </w:r>
      <w:r>
        <w:rPr>
          <w:rFonts w:hint="eastAsia"/>
        </w:rPr>
        <w:t>全镇共出生</w:t>
      </w:r>
      <w:r>
        <w:t>774人，其中一孩443人（政策内435</w:t>
      </w:r>
      <w:r>
        <w:rPr>
          <w:rFonts w:hint="eastAsia"/>
        </w:rPr>
        <w:t>人），二孩</w:t>
      </w:r>
      <w:r>
        <w:t>302人（政策内228人），多孩29人</w:t>
      </w:r>
      <w:r>
        <w:rPr>
          <w:rFonts w:hint="eastAsia"/>
        </w:rPr>
        <w:t>（政策内</w:t>
      </w:r>
      <w:r>
        <w:t>9人）；政策生育率86.82%，出生人口性</w:t>
      </w:r>
      <w:r>
        <w:rPr>
          <w:rFonts w:hint="eastAsia"/>
        </w:rPr>
        <w:t>别比</w:t>
      </w:r>
      <w:r>
        <w:t>105.85，政策外多孩率为2.58%。在2012年</w:t>
      </w:r>
      <w:r>
        <w:rPr>
          <w:rFonts w:hint="eastAsia"/>
        </w:rPr>
        <w:t>顺利通过省考核的基础上，</w:t>
      </w:r>
      <w:r>
        <w:t>2013年建设计生文</w:t>
      </w:r>
      <w:r>
        <w:rPr>
          <w:rFonts w:hint="eastAsia"/>
        </w:rPr>
        <w:t>化园。</w:t>
      </w:r>
    </w:p>
    <w:p w14:paraId="25FE7163">
      <w:pPr>
        <w:pStyle w:val="4"/>
        <w:bidi w:val="0"/>
        <w:rPr>
          <w:rFonts w:hint="eastAsia"/>
        </w:rPr>
      </w:pPr>
      <w:r>
        <w:rPr>
          <w:rFonts w:hint="eastAsia"/>
        </w:rPr>
        <w:t>【扶贫双倒】</w:t>
      </w:r>
    </w:p>
    <w:p w14:paraId="6EA7641F">
      <w:pPr>
        <w:rPr>
          <w:rFonts w:hint="eastAsia"/>
          <w:lang w:eastAsia="zh-CN"/>
        </w:rPr>
      </w:pPr>
      <w:r>
        <w:rPr>
          <w:rFonts w:hint="eastAsia"/>
        </w:rPr>
        <w:t>开展新一轮扶贫“双到”工作。</w:t>
      </w:r>
      <w:r>
        <w:t>2012年圆满完成省级贫困村孔江村、水松村、兰坵</w:t>
      </w:r>
      <w:r>
        <w:rPr>
          <w:rFonts w:hint="eastAsia"/>
        </w:rPr>
        <w:t>村完成脱贫的任务。</w:t>
      </w:r>
      <w:r>
        <w:t>2013年又确定3个重点扶贫村</w:t>
      </w:r>
      <w:r>
        <w:rPr>
          <w:rFonts w:hint="eastAsia"/>
        </w:rPr>
        <w:t>庙前、白胜、白龙村委会，已做好贫困村和贫困户</w:t>
      </w:r>
      <w:r>
        <w:rPr>
          <w:rFonts w:hint="eastAsia"/>
          <w:lang w:val="en-US" w:eastAsia="zh-CN"/>
        </w:rPr>
        <w:t>三</w:t>
      </w:r>
      <w:r>
        <w:rPr>
          <w:rFonts w:hint="eastAsia"/>
        </w:rPr>
        <w:t>年帮扶规划和本年度工作计划</w:t>
      </w:r>
      <w:r>
        <w:rPr>
          <w:rFonts w:hint="eastAsia"/>
          <w:lang w:eastAsia="zh-CN"/>
        </w:rPr>
        <w:t>。</w:t>
      </w:r>
    </w:p>
    <w:p w14:paraId="3676F59B">
      <w:pPr>
        <w:pStyle w:val="4"/>
        <w:bidi w:val="0"/>
        <w:rPr>
          <w:rFonts w:hint="eastAsia"/>
        </w:rPr>
      </w:pPr>
      <w:r>
        <w:rPr>
          <w:rFonts w:hint="eastAsia"/>
        </w:rPr>
        <w:t>【新农保新农合】</w:t>
      </w:r>
    </w:p>
    <w:p w14:paraId="11FF75A6">
      <w:r>
        <w:rPr>
          <w:rFonts w:hint="eastAsia"/>
        </w:rPr>
        <w:t>实现新农保、新农合全覆盖。当年，乌迳镇人力资源和社会保障服务大楼落成并投入使用。新农保总参保人数为</w:t>
      </w:r>
      <w:r>
        <w:t>16712人，完成市</w:t>
      </w:r>
      <w:r>
        <w:rPr>
          <w:rFonts w:hint="eastAsia"/>
        </w:rPr>
        <w:t>下达指标的</w:t>
      </w:r>
      <w:r>
        <w:t>103.93%；城乡居民医疗保险参保人数</w:t>
      </w:r>
      <w:r>
        <w:rPr>
          <w:rFonts w:hint="eastAsia"/>
        </w:rPr>
        <w:t>为</w:t>
      </w:r>
      <w:r>
        <w:t>34627人，完成市下达任务的99.88%；完成社</w:t>
      </w:r>
      <w:r>
        <w:rPr>
          <w:rFonts w:hint="eastAsia"/>
        </w:rPr>
        <w:t>保扩面</w:t>
      </w:r>
      <w:r>
        <w:t>65人，完成农村劳动力实际转移就业人数950人，为本市企业招工人数390人，培训农村劳</w:t>
      </w:r>
      <w:r>
        <w:rPr>
          <w:rFonts w:hint="eastAsia"/>
        </w:rPr>
        <w:t>动力</w:t>
      </w:r>
      <w:r>
        <w:t>208人，完成上级交办的各项任务。</w:t>
      </w:r>
    </w:p>
    <w:p w14:paraId="064F907B">
      <w:pPr>
        <w:pStyle w:val="4"/>
        <w:bidi w:val="0"/>
        <w:rPr>
          <w:rFonts w:hint="eastAsia"/>
        </w:rPr>
      </w:pPr>
      <w:r>
        <w:rPr>
          <w:rFonts w:hint="eastAsia"/>
          <w:lang w:eastAsia="zh-CN"/>
        </w:rPr>
        <w:t>【</w:t>
      </w:r>
      <w:r>
        <w:rPr>
          <w:rFonts w:hint="eastAsia"/>
        </w:rPr>
        <w:t>维稳】</w:t>
      </w:r>
    </w:p>
    <w:p w14:paraId="227A61BB">
      <w:pPr>
        <w:rPr>
          <w:rFonts w:hint="eastAsia"/>
        </w:rPr>
      </w:pPr>
      <w:r>
        <w:rPr>
          <w:rFonts w:hint="eastAsia"/>
        </w:rPr>
        <w:t>推进社会综合治理。狠打乱砍滥伐、放松香等破坏生态的行为，确保当年未发生较大的乱砍滥伐、滥采行为。实行严格土地执法，打击违法违章抢建小产权房和盗采稀土矿行为。山地滑坡</w:t>
      </w:r>
      <w:r>
        <w:rPr>
          <w:rFonts w:hint="eastAsia"/>
          <w:lang w:eastAsia="zh-CN"/>
        </w:rPr>
        <w:t>、</w:t>
      </w:r>
      <w:r>
        <w:rPr>
          <w:rFonts w:hint="eastAsia"/>
        </w:rPr>
        <w:t>泥石流等自然灾害预防措施得到完善、基本农田保护措施到位。</w:t>
      </w:r>
    </w:p>
    <w:p w14:paraId="23D09DCC">
      <w:pPr>
        <w:pStyle w:val="4"/>
        <w:bidi w:val="0"/>
        <w:rPr>
          <w:rFonts w:hint="eastAsia"/>
        </w:rPr>
      </w:pPr>
      <w:r>
        <w:rPr>
          <w:rFonts w:hint="eastAsia"/>
        </w:rPr>
        <w:t>【征兵】</w:t>
      </w:r>
    </w:p>
    <w:p w14:paraId="5E68FD90">
      <w:pPr>
        <w:rPr>
          <w:rFonts w:hint="eastAsia"/>
        </w:rPr>
      </w:pPr>
      <w:r>
        <w:t>2013年选拔13名优秀青年参军入伍，</w:t>
      </w:r>
      <w:r>
        <w:rPr>
          <w:rFonts w:hint="eastAsia"/>
        </w:rPr>
        <w:t>完成征兵任务。</w:t>
      </w:r>
    </w:p>
    <w:p w14:paraId="6CDFA733">
      <w:pPr>
        <w:pStyle w:val="4"/>
        <w:bidi w:val="0"/>
        <w:rPr>
          <w:rFonts w:hint="eastAsia"/>
        </w:rPr>
      </w:pPr>
      <w:r>
        <w:rPr>
          <w:rFonts w:hint="eastAsia"/>
        </w:rPr>
        <w:t>【旅游资源】</w:t>
      </w:r>
    </w:p>
    <w:p w14:paraId="10F8D23A">
      <w:pPr>
        <w:rPr>
          <w:rFonts w:hint="eastAsia"/>
          <w:lang w:eastAsia="zh-CN"/>
        </w:rPr>
      </w:pPr>
      <w:r>
        <w:rPr>
          <w:rFonts w:hint="eastAsia"/>
        </w:rPr>
        <w:t>乌迳旅游资源丰富。孔江国家湿地公园、新田古村落、观音山等是小有名气的观光、休闲或缅怀历史的好去处</w:t>
      </w:r>
      <w:r>
        <w:rPr>
          <w:rFonts w:hint="eastAsia"/>
          <w:lang w:eastAsia="zh-CN"/>
        </w:rPr>
        <w:t>。</w:t>
      </w:r>
    </w:p>
    <w:p w14:paraId="4235B0C9">
      <w:pPr>
        <w:pStyle w:val="4"/>
        <w:bidi w:val="0"/>
        <w:rPr>
          <w:rFonts w:hint="eastAsia"/>
        </w:rPr>
      </w:pPr>
      <w:r>
        <w:rPr>
          <w:rFonts w:hint="eastAsia"/>
        </w:rPr>
        <w:t>【党风</w:t>
      </w:r>
      <w:r>
        <w:rPr>
          <w:rFonts w:hint="eastAsia"/>
          <w:lang w:val="en-US" w:eastAsia="zh-CN"/>
        </w:rPr>
        <w:t>廉</w:t>
      </w:r>
      <w:r>
        <w:rPr>
          <w:rFonts w:hint="eastAsia"/>
        </w:rPr>
        <w:t>政】</w:t>
      </w:r>
    </w:p>
    <w:p w14:paraId="4F81419B">
      <w:pPr>
        <w:rPr>
          <w:rFonts w:hint="eastAsia"/>
        </w:rPr>
      </w:pPr>
      <w:r>
        <w:rPr>
          <w:rFonts w:hint="eastAsia"/>
        </w:rPr>
        <w:t>一是抓作风建设，提高反腐倡廉能力。严格落实中央八项规定，开展“面向基层、整顿作风、服务群众”活动。一方面从抓学习入手。利用每周二晚上的全体干部职工学习会和远程教育网络及“领导带学”工程，组织广大镇村（居）干部集中学习，提高干部为人民服务的本领。另一方面从抓制度入手。结合全镇的实际，制定</w:t>
      </w:r>
      <w:r>
        <w:rPr>
          <w:rFonts w:hint="eastAsia"/>
          <w:lang w:val="en-US" w:eastAsia="zh-CN"/>
        </w:rPr>
        <w:t>一</w:t>
      </w:r>
      <w:r>
        <w:rPr>
          <w:rFonts w:hint="eastAsia"/>
        </w:rPr>
        <w:t>系列请销假、指纹考勤、领导干部驻村、村“两委”干部轮值、量化考核实施方案等制度。通过参加市预防职务犯罪教育基地举办的“以身边事教育身边人”活动，开展“一把手”讲党课活动、会员卡专项清理活动、“手机短信</w:t>
      </w:r>
      <w:r>
        <w:t>+问卷调</w:t>
      </w:r>
      <w:r>
        <w:rPr>
          <w:rFonts w:hint="eastAsia"/>
          <w:lang w:eastAsia="zh-CN"/>
        </w:rPr>
        <w:t>查</w:t>
      </w:r>
      <w:r>
        <w:t>”结合评</w:t>
      </w:r>
      <w:r>
        <w:rPr>
          <w:rFonts w:hint="eastAsia"/>
        </w:rPr>
        <w:t>议工作作风活动等，打造为民务实清廉的干部队伍。同时，指导各村成立村务公开监督委员会和“会计代理中心”，实现村组财务电脑记账、专人管理，促进村务公开和民主管理。</w:t>
      </w:r>
    </w:p>
    <w:p w14:paraId="47E5FB5E">
      <w:r>
        <w:rPr>
          <w:rFonts w:hint="eastAsia"/>
        </w:rPr>
        <w:t>二是抓载体建设，确保党建工作取得实效。建立健全党员管理机制、教育机制和党员联系群众机制。一是加强支部建设，重点抓好田心村的整治和新田党建示范点的各项建设，建成新田村党代表工作站和便民服务站。二是加大发展党员的力度，</w:t>
      </w:r>
      <w:r>
        <w:t>2013年发展党员19名。三是弘扬主旋律，增强党</w:t>
      </w:r>
      <w:r>
        <w:rPr>
          <w:rFonts w:hint="eastAsia"/>
        </w:rPr>
        <w:t>员的使命感和责任感。</w:t>
      </w:r>
      <w:r>
        <w:t>2013年“七一”乌迳镇投</w:t>
      </w:r>
      <w:r>
        <w:rPr>
          <w:rFonts w:hint="eastAsia"/>
        </w:rPr>
        <w:t>入</w:t>
      </w:r>
      <w:r>
        <w:t>4万多元表彰8个先进支部和65名优秀共产党</w:t>
      </w:r>
      <w:r>
        <w:rPr>
          <w:rFonts w:hint="eastAsia"/>
        </w:rPr>
        <w:t>员，慰问困难党员、老党员</w:t>
      </w:r>
      <w:r>
        <w:t>36名。</w:t>
      </w:r>
    </w:p>
    <w:p w14:paraId="1D9F6717">
      <w:pPr>
        <w:pStyle w:val="4"/>
        <w:bidi w:val="0"/>
        <w:rPr>
          <w:rFonts w:hint="eastAsia"/>
        </w:rPr>
      </w:pPr>
      <w:r>
        <w:rPr>
          <w:rFonts w:hint="eastAsia"/>
        </w:rPr>
        <w:t>【金泰源酒店建设】</w:t>
      </w:r>
    </w:p>
    <w:p w14:paraId="21BD0FC2">
      <w:pPr>
        <w:rPr>
          <w:rFonts w:hint="eastAsia"/>
        </w:rPr>
      </w:pPr>
      <w:r>
        <w:rPr>
          <w:rFonts w:hint="eastAsia"/>
        </w:rPr>
        <w:t>重点项目是四星级宾馆金泰源酒店，位于乌迳镇政府对面，占地</w:t>
      </w:r>
      <w:r>
        <w:t>1100多平方</w:t>
      </w:r>
      <w:r>
        <w:rPr>
          <w:rFonts w:hint="eastAsia"/>
        </w:rPr>
        <w:t>米，属续建项目，已投入资金</w:t>
      </w:r>
      <w:r>
        <w:t>510万元，占年度投</w:t>
      </w:r>
      <w:r>
        <w:rPr>
          <w:rFonts w:hint="eastAsia"/>
        </w:rPr>
        <w:t>资任务</w:t>
      </w:r>
      <w:r>
        <w:t>102%，如期完成投资任务，这将更好的发</w:t>
      </w:r>
      <w:r>
        <w:rPr>
          <w:rFonts w:hint="eastAsia"/>
        </w:rPr>
        <w:t>挥广场的辐射作用。</w:t>
      </w:r>
    </w:p>
    <w:p w14:paraId="4D9E0992">
      <w:pPr>
        <w:pStyle w:val="4"/>
        <w:bidi w:val="0"/>
        <w:rPr>
          <w:rFonts w:hint="eastAsia"/>
        </w:rPr>
      </w:pPr>
      <w:r>
        <w:rPr>
          <w:rFonts w:hint="eastAsia"/>
        </w:rPr>
        <w:t>【计生宣传】</w:t>
      </w:r>
    </w:p>
    <w:p w14:paraId="224E1A65">
      <w:pPr>
        <w:rPr>
          <w:rFonts w:hint="eastAsia"/>
        </w:rPr>
      </w:pPr>
      <w:r>
        <w:rPr>
          <w:rFonts w:hint="eastAsia"/>
        </w:rPr>
        <w:t>由韶关市人口计生局和计划生育协会主办、南雄市人口计生局和计划生育协会承办的</w:t>
      </w:r>
      <w:r>
        <w:rPr>
          <w:rFonts w:hint="eastAsia"/>
          <w:lang w:eastAsia="zh-CN"/>
        </w:rPr>
        <w:t>“</w:t>
      </w:r>
      <w:r>
        <w:t>7-11世界人口日</w:t>
      </w:r>
      <w:r>
        <w:rPr>
          <w:rFonts w:hint="eastAsia" w:ascii="宋体" w:hAnsi="宋体" w:cs="宋体"/>
        </w:rPr>
        <w:t>”</w:t>
      </w:r>
      <w:r>
        <w:t>大型宣传服务活动。现场派</w:t>
      </w:r>
      <w:r>
        <w:rPr>
          <w:rFonts w:hint="eastAsia"/>
        </w:rPr>
        <w:t>发宣传资料</w:t>
      </w:r>
      <w:r>
        <w:t>1200多份、宝塔糖1200多盒、药具400多件，接受咨询310人次。当晚还举行了丰富</w:t>
      </w:r>
      <w:r>
        <w:rPr>
          <w:rFonts w:hint="eastAsia"/>
        </w:rPr>
        <w:t>多彩的计生宣传文艺演出。</w:t>
      </w:r>
    </w:p>
    <w:p w14:paraId="39A660E6">
      <w:pPr>
        <w:pStyle w:val="4"/>
        <w:bidi w:val="0"/>
        <w:rPr>
          <w:rFonts w:hint="eastAsia"/>
        </w:rPr>
      </w:pPr>
      <w:r>
        <w:rPr>
          <w:rFonts w:hint="eastAsia"/>
        </w:rPr>
        <w:t>【干部夜校】</w:t>
      </w:r>
    </w:p>
    <w:p w14:paraId="1A316805">
      <w:pPr>
        <w:rPr>
          <w:rFonts w:hint="eastAsia"/>
        </w:rPr>
      </w:pPr>
      <w:r>
        <w:rPr>
          <w:rFonts w:hint="eastAsia"/>
        </w:rPr>
        <w:t>为提高干部服务群众能力，乌迳镇每周二晚上都组织全体镇干部集体学习有关农村发展和农民致富等方面的理论、技能和经验，并由党政主要领导亲自授课、亲自点评，“夜校”已持续“办学”一年有余。</w:t>
      </w:r>
    </w:p>
    <w:p w14:paraId="1644AADA">
      <w:pPr>
        <w:pStyle w:val="4"/>
        <w:bidi w:val="0"/>
        <w:rPr>
          <w:rFonts w:hint="eastAsia"/>
        </w:rPr>
      </w:pPr>
      <w:r>
        <w:rPr>
          <w:rFonts w:hint="eastAsia"/>
        </w:rPr>
        <w:t>【各村（居）委会基本情况】</w:t>
      </w:r>
    </w:p>
    <w:p w14:paraId="009827B0">
      <w:pPr>
        <w:pStyle w:val="10"/>
        <w:bidi w:val="0"/>
        <w:jc w:val="center"/>
        <w:rPr>
          <w:rFonts w:hint="eastAsia"/>
          <w:b/>
          <w:bCs/>
        </w:rPr>
      </w:pPr>
      <w:r>
        <w:rPr>
          <w:rFonts w:hint="eastAsia"/>
          <w:b/>
          <w:bCs/>
        </w:rPr>
        <w:t>2013年乌迳镇各村（居）委会基本情况表</w:t>
      </w:r>
    </w:p>
    <w:p w14:paraId="4ACD2B41">
      <w:pPr>
        <w:bidi w:val="0"/>
        <w:rPr>
          <w:rFonts w:hint="default" w:eastAsia="宋体"/>
          <w:lang w:val="en-US" w:eastAsia="zh-CN"/>
        </w:rPr>
      </w:pPr>
      <w:r>
        <w:rPr>
          <w:rFonts w:hint="eastAsia"/>
          <w:lang w:val="en-US" w:eastAsia="zh-CN"/>
        </w:rPr>
        <w:t>表36</w:t>
      </w:r>
    </w:p>
    <w:tbl>
      <w:tblPr>
        <w:tblStyle w:val="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8"/>
        <w:gridCol w:w="1442"/>
        <w:gridCol w:w="911"/>
        <w:gridCol w:w="808"/>
        <w:gridCol w:w="831"/>
        <w:gridCol w:w="704"/>
        <w:gridCol w:w="900"/>
        <w:gridCol w:w="761"/>
        <w:gridCol w:w="670"/>
        <w:gridCol w:w="980"/>
        <w:gridCol w:w="937"/>
      </w:tblGrid>
      <w:tr w14:paraId="0CE784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9" w:hRule="atLeast"/>
        </w:trPr>
        <w:tc>
          <w:tcPr>
            <w:tcW w:w="510" w:type="pct"/>
            <w:vMerge w:val="restart"/>
            <w:tcBorders>
              <w:top w:val="single" w:color="000000" w:sz="8" w:space="0"/>
              <w:left w:val="nil"/>
              <w:bottom w:val="single" w:color="000000" w:sz="8" w:space="0"/>
              <w:right w:val="single" w:color="000000" w:sz="8" w:space="0"/>
            </w:tcBorders>
            <w:shd w:val="clear" w:color="auto" w:fill="FFFFFF"/>
            <w:vAlign w:val="center"/>
          </w:tcPr>
          <w:p w14:paraId="7837D8EC">
            <w:pPr>
              <w:pStyle w:val="10"/>
              <w:bidi w:val="0"/>
              <w:jc w:val="center"/>
              <w:rPr>
                <w:rFonts w:hint="eastAsia"/>
                <w:b/>
                <w:bCs/>
                <w:color w:val="000000"/>
              </w:rPr>
            </w:pPr>
            <w:r>
              <w:rPr>
                <w:rFonts w:hint="eastAsia"/>
                <w:b/>
                <w:bCs/>
                <w:color w:val="000000"/>
              </w:rPr>
              <w:t>村名</w:t>
            </w:r>
          </w:p>
        </w:tc>
        <w:tc>
          <w:tcPr>
            <w:tcW w:w="723" w:type="pct"/>
            <w:vMerge w:val="restart"/>
            <w:tcBorders>
              <w:top w:val="single" w:color="000000" w:sz="8" w:space="0"/>
              <w:left w:val="single" w:color="000000" w:sz="8" w:space="0"/>
              <w:bottom w:val="single" w:color="000000" w:sz="8" w:space="0"/>
              <w:right w:val="single" w:color="000000" w:sz="8" w:space="0"/>
            </w:tcBorders>
            <w:shd w:val="clear" w:color="auto" w:fill="FFFFFF"/>
            <w:vAlign w:val="center"/>
          </w:tcPr>
          <w:p w14:paraId="6DF28EC1">
            <w:pPr>
              <w:pStyle w:val="10"/>
              <w:bidi w:val="0"/>
              <w:jc w:val="center"/>
              <w:rPr>
                <w:rFonts w:hint="eastAsia"/>
                <w:b/>
                <w:bCs/>
                <w:color w:val="000000"/>
              </w:rPr>
            </w:pPr>
            <w:r>
              <w:rPr>
                <w:rFonts w:hint="eastAsia"/>
                <w:b/>
                <w:bCs/>
                <w:color w:val="000000"/>
              </w:rPr>
              <w:t>区域面积</w:t>
            </w:r>
          </w:p>
          <w:p w14:paraId="072329D4">
            <w:pPr>
              <w:pStyle w:val="10"/>
              <w:bidi w:val="0"/>
              <w:jc w:val="center"/>
              <w:rPr>
                <w:rFonts w:hint="eastAsia"/>
                <w:b/>
                <w:bCs/>
                <w:color w:val="000000"/>
              </w:rPr>
            </w:pPr>
            <w:r>
              <w:rPr>
                <w:rFonts w:hint="eastAsia"/>
                <w:b/>
                <w:bCs/>
                <w:color w:val="000000"/>
              </w:rPr>
              <w:t>（平方公里）</w:t>
            </w:r>
          </w:p>
        </w:tc>
        <w:tc>
          <w:tcPr>
            <w:tcW w:w="457" w:type="pct"/>
            <w:vMerge w:val="restart"/>
            <w:tcBorders>
              <w:top w:val="single" w:color="000000" w:sz="8" w:space="0"/>
              <w:left w:val="single" w:color="000000" w:sz="8" w:space="0"/>
              <w:bottom w:val="single" w:color="000000" w:sz="8" w:space="0"/>
              <w:right w:val="single" w:color="000000" w:sz="8" w:space="0"/>
            </w:tcBorders>
            <w:shd w:val="clear" w:color="auto" w:fill="FFFFFF"/>
            <w:vAlign w:val="center"/>
          </w:tcPr>
          <w:p w14:paraId="166C7D3C">
            <w:pPr>
              <w:pStyle w:val="10"/>
              <w:bidi w:val="0"/>
              <w:jc w:val="center"/>
              <w:rPr>
                <w:rFonts w:hint="eastAsia"/>
                <w:b/>
                <w:bCs/>
                <w:color w:val="000000"/>
              </w:rPr>
            </w:pPr>
            <w:r>
              <w:rPr>
                <w:rFonts w:hint="eastAsia"/>
                <w:b/>
                <w:bCs/>
                <w:color w:val="000000"/>
              </w:rPr>
              <w:t>村小组数(个）</w:t>
            </w:r>
          </w:p>
        </w:tc>
        <w:tc>
          <w:tcPr>
            <w:tcW w:w="405" w:type="pct"/>
            <w:vMerge w:val="restart"/>
            <w:tcBorders>
              <w:top w:val="single" w:color="000000" w:sz="8" w:space="0"/>
              <w:left w:val="single" w:color="000000" w:sz="8" w:space="0"/>
              <w:bottom w:val="single" w:color="000000" w:sz="8" w:space="0"/>
              <w:right w:val="single" w:color="000000" w:sz="8" w:space="0"/>
            </w:tcBorders>
            <w:shd w:val="clear" w:color="auto" w:fill="FFFFFF"/>
            <w:vAlign w:val="center"/>
          </w:tcPr>
          <w:p w14:paraId="29EE9697">
            <w:pPr>
              <w:pStyle w:val="10"/>
              <w:bidi w:val="0"/>
              <w:jc w:val="center"/>
              <w:rPr>
                <w:rFonts w:hint="eastAsia"/>
                <w:b/>
                <w:bCs/>
                <w:color w:val="000000"/>
              </w:rPr>
            </w:pPr>
            <w:r>
              <w:rPr>
                <w:rFonts w:hint="eastAsia"/>
                <w:b/>
                <w:bCs/>
                <w:color w:val="000000"/>
              </w:rPr>
              <w:t>户数</w:t>
            </w:r>
          </w:p>
        </w:tc>
        <w:tc>
          <w:tcPr>
            <w:tcW w:w="417" w:type="pct"/>
            <w:vMerge w:val="restart"/>
            <w:tcBorders>
              <w:top w:val="single" w:color="000000" w:sz="8" w:space="0"/>
              <w:left w:val="single" w:color="000000" w:sz="8" w:space="0"/>
              <w:bottom w:val="single" w:color="000000" w:sz="8" w:space="0"/>
              <w:right w:val="single" w:color="000000" w:sz="8" w:space="0"/>
            </w:tcBorders>
            <w:shd w:val="clear" w:color="auto" w:fill="FFFFFF"/>
            <w:vAlign w:val="center"/>
          </w:tcPr>
          <w:p w14:paraId="2F7ED4C0">
            <w:pPr>
              <w:pStyle w:val="10"/>
              <w:bidi w:val="0"/>
              <w:jc w:val="center"/>
              <w:rPr>
                <w:rFonts w:hint="eastAsia"/>
                <w:b/>
                <w:bCs/>
                <w:color w:val="000000"/>
              </w:rPr>
            </w:pPr>
            <w:r>
              <w:rPr>
                <w:rFonts w:hint="eastAsia"/>
                <w:b/>
                <w:bCs/>
                <w:color w:val="000000"/>
              </w:rPr>
              <w:t>人口</w:t>
            </w:r>
          </w:p>
        </w:tc>
        <w:tc>
          <w:tcPr>
            <w:tcW w:w="353" w:type="pct"/>
            <w:vMerge w:val="restart"/>
            <w:tcBorders>
              <w:top w:val="single" w:color="000000" w:sz="8" w:space="0"/>
              <w:left w:val="single" w:color="000000" w:sz="8" w:space="0"/>
              <w:bottom w:val="single" w:color="000000" w:sz="8" w:space="0"/>
              <w:right w:val="single" w:color="000000" w:sz="8" w:space="0"/>
            </w:tcBorders>
            <w:shd w:val="clear" w:color="auto" w:fill="FFFFFF"/>
            <w:vAlign w:val="center"/>
          </w:tcPr>
          <w:p w14:paraId="73934947">
            <w:pPr>
              <w:pStyle w:val="10"/>
              <w:bidi w:val="0"/>
              <w:jc w:val="center"/>
              <w:rPr>
                <w:rFonts w:hint="eastAsia"/>
                <w:b/>
                <w:bCs/>
                <w:color w:val="000000"/>
              </w:rPr>
            </w:pPr>
            <w:r>
              <w:rPr>
                <w:rFonts w:hint="eastAsia"/>
                <w:b/>
                <w:bCs/>
                <w:color w:val="000000"/>
              </w:rPr>
              <w:t>外出人口</w:t>
            </w:r>
          </w:p>
        </w:tc>
        <w:tc>
          <w:tcPr>
            <w:tcW w:w="451" w:type="pct"/>
            <w:vMerge w:val="restart"/>
            <w:tcBorders>
              <w:top w:val="single" w:color="000000" w:sz="8" w:space="0"/>
              <w:left w:val="single" w:color="000000" w:sz="8" w:space="0"/>
              <w:bottom w:val="single" w:color="000000" w:sz="8" w:space="0"/>
              <w:right w:val="single" w:color="000000" w:sz="8" w:space="0"/>
            </w:tcBorders>
            <w:shd w:val="clear" w:color="auto" w:fill="FFFFFF"/>
            <w:vAlign w:val="center"/>
          </w:tcPr>
          <w:p w14:paraId="039351D5">
            <w:pPr>
              <w:pStyle w:val="10"/>
              <w:bidi w:val="0"/>
              <w:jc w:val="center"/>
              <w:rPr>
                <w:rFonts w:hint="eastAsia"/>
                <w:b/>
                <w:bCs/>
                <w:color w:val="000000"/>
              </w:rPr>
            </w:pPr>
            <w:r>
              <w:rPr>
                <w:rFonts w:hint="eastAsia"/>
                <w:b/>
                <w:bCs/>
                <w:color w:val="000000"/>
              </w:rPr>
              <w:t>耕地面积(亩)</w:t>
            </w:r>
          </w:p>
        </w:tc>
        <w:tc>
          <w:tcPr>
            <w:tcW w:w="718" w:type="pct"/>
            <w:gridSpan w:val="2"/>
            <w:tcBorders>
              <w:top w:val="single" w:color="000000" w:sz="8" w:space="0"/>
              <w:left w:val="single" w:color="000000" w:sz="8" w:space="0"/>
              <w:bottom w:val="single" w:color="000000" w:sz="8" w:space="0"/>
              <w:right w:val="single" w:color="000000" w:sz="8" w:space="0"/>
            </w:tcBorders>
            <w:shd w:val="clear" w:color="auto" w:fill="FFFFFF"/>
            <w:vAlign w:val="center"/>
          </w:tcPr>
          <w:p w14:paraId="670F65BB">
            <w:pPr>
              <w:pStyle w:val="10"/>
              <w:bidi w:val="0"/>
              <w:jc w:val="center"/>
              <w:rPr>
                <w:rFonts w:hint="eastAsia"/>
                <w:b/>
                <w:bCs/>
                <w:color w:val="000000"/>
              </w:rPr>
            </w:pPr>
            <w:r>
              <w:rPr>
                <w:rFonts w:hint="eastAsia"/>
                <w:b/>
                <w:bCs/>
                <w:color w:val="000000"/>
              </w:rPr>
              <w:t>其中</w:t>
            </w:r>
          </w:p>
        </w:tc>
        <w:tc>
          <w:tcPr>
            <w:tcW w:w="491" w:type="pct"/>
            <w:vMerge w:val="restart"/>
            <w:tcBorders>
              <w:top w:val="single" w:color="000000" w:sz="8" w:space="0"/>
              <w:left w:val="single" w:color="000000" w:sz="8" w:space="0"/>
              <w:bottom w:val="single" w:color="000000" w:sz="8" w:space="0"/>
              <w:right w:val="single" w:color="000000" w:sz="8" w:space="0"/>
            </w:tcBorders>
            <w:shd w:val="clear" w:color="auto" w:fill="FFFFFF"/>
            <w:vAlign w:val="center"/>
          </w:tcPr>
          <w:p w14:paraId="60CAEAFB">
            <w:pPr>
              <w:pStyle w:val="10"/>
              <w:bidi w:val="0"/>
              <w:jc w:val="center"/>
              <w:rPr>
                <w:rFonts w:hint="eastAsia"/>
                <w:b/>
                <w:bCs/>
                <w:color w:val="000000"/>
              </w:rPr>
            </w:pPr>
            <w:r>
              <w:rPr>
                <w:rFonts w:hint="eastAsia"/>
                <w:b/>
                <w:bCs/>
                <w:color w:val="000000"/>
              </w:rPr>
              <w:t>经济总收入</w:t>
            </w:r>
          </w:p>
          <w:p w14:paraId="21E58890">
            <w:pPr>
              <w:pStyle w:val="10"/>
              <w:bidi w:val="0"/>
              <w:jc w:val="center"/>
              <w:rPr>
                <w:rFonts w:hint="eastAsia"/>
                <w:b/>
                <w:bCs/>
                <w:color w:val="000000"/>
              </w:rPr>
            </w:pPr>
            <w:r>
              <w:rPr>
                <w:rFonts w:hint="eastAsia"/>
                <w:b/>
                <w:bCs/>
                <w:color w:val="000000"/>
              </w:rPr>
              <w:t>（万元）</w:t>
            </w:r>
          </w:p>
        </w:tc>
        <w:tc>
          <w:tcPr>
            <w:tcW w:w="470" w:type="pct"/>
            <w:vMerge w:val="restart"/>
            <w:tcBorders>
              <w:top w:val="single" w:color="000000" w:sz="8" w:space="0"/>
              <w:left w:val="single" w:color="000000" w:sz="8" w:space="0"/>
              <w:bottom w:val="single" w:color="000000" w:sz="8" w:space="0"/>
              <w:right w:val="nil"/>
            </w:tcBorders>
            <w:shd w:val="clear" w:color="auto" w:fill="FFFFFF"/>
            <w:vAlign w:val="center"/>
          </w:tcPr>
          <w:p w14:paraId="14B445C2">
            <w:pPr>
              <w:pStyle w:val="10"/>
              <w:bidi w:val="0"/>
              <w:jc w:val="center"/>
              <w:rPr>
                <w:rFonts w:hint="eastAsia"/>
                <w:b/>
                <w:bCs/>
                <w:color w:val="000000"/>
              </w:rPr>
            </w:pPr>
            <w:r>
              <w:rPr>
                <w:rFonts w:hint="eastAsia"/>
                <w:b/>
                <w:bCs/>
                <w:color w:val="000000"/>
              </w:rPr>
              <w:t>人均纯收入（元）</w:t>
            </w:r>
          </w:p>
        </w:tc>
      </w:tr>
      <w:tr w14:paraId="160015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9" w:hRule="atLeast"/>
        </w:trPr>
        <w:tc>
          <w:tcPr>
            <w:tcW w:w="510" w:type="pct"/>
            <w:vMerge w:val="continue"/>
            <w:tcBorders>
              <w:top w:val="single" w:color="000000" w:sz="8" w:space="0"/>
              <w:left w:val="nil"/>
              <w:bottom w:val="single" w:color="000000" w:sz="8" w:space="0"/>
              <w:right w:val="single" w:color="000000" w:sz="8" w:space="0"/>
            </w:tcBorders>
            <w:shd w:val="clear" w:color="auto" w:fill="FFFFFF"/>
            <w:vAlign w:val="center"/>
          </w:tcPr>
          <w:p w14:paraId="4D3FDDC6">
            <w:pPr>
              <w:pStyle w:val="10"/>
              <w:bidi w:val="0"/>
              <w:jc w:val="center"/>
              <w:rPr>
                <w:color w:val="000000"/>
              </w:rPr>
            </w:pPr>
          </w:p>
        </w:tc>
        <w:tc>
          <w:tcPr>
            <w:tcW w:w="723" w:type="pct"/>
            <w:vMerge w:val="continue"/>
            <w:tcBorders>
              <w:top w:val="single" w:color="000000" w:sz="8" w:space="0"/>
              <w:left w:val="single" w:color="000000" w:sz="8" w:space="0"/>
              <w:bottom w:val="single" w:color="000000" w:sz="8" w:space="0"/>
              <w:right w:val="single" w:color="000000" w:sz="8" w:space="0"/>
            </w:tcBorders>
            <w:shd w:val="clear" w:color="auto" w:fill="FFFFFF"/>
            <w:vAlign w:val="center"/>
          </w:tcPr>
          <w:p w14:paraId="366D4EDB">
            <w:pPr>
              <w:pStyle w:val="10"/>
              <w:bidi w:val="0"/>
              <w:jc w:val="center"/>
              <w:rPr>
                <w:color w:val="000000"/>
              </w:rPr>
            </w:pPr>
          </w:p>
        </w:tc>
        <w:tc>
          <w:tcPr>
            <w:tcW w:w="457" w:type="pct"/>
            <w:vMerge w:val="continue"/>
            <w:tcBorders>
              <w:top w:val="single" w:color="000000" w:sz="8" w:space="0"/>
              <w:left w:val="single" w:color="000000" w:sz="8" w:space="0"/>
              <w:bottom w:val="single" w:color="000000" w:sz="8" w:space="0"/>
              <w:right w:val="single" w:color="000000" w:sz="8" w:space="0"/>
            </w:tcBorders>
            <w:shd w:val="clear" w:color="auto" w:fill="FFFFFF"/>
            <w:vAlign w:val="center"/>
          </w:tcPr>
          <w:p w14:paraId="322D2358">
            <w:pPr>
              <w:pStyle w:val="10"/>
              <w:bidi w:val="0"/>
              <w:jc w:val="center"/>
              <w:rPr>
                <w:color w:val="000000"/>
              </w:rPr>
            </w:pPr>
          </w:p>
        </w:tc>
        <w:tc>
          <w:tcPr>
            <w:tcW w:w="405" w:type="pct"/>
            <w:vMerge w:val="continue"/>
            <w:tcBorders>
              <w:top w:val="single" w:color="000000" w:sz="8" w:space="0"/>
              <w:left w:val="single" w:color="000000" w:sz="8" w:space="0"/>
              <w:bottom w:val="single" w:color="000000" w:sz="8" w:space="0"/>
              <w:right w:val="single" w:color="000000" w:sz="8" w:space="0"/>
            </w:tcBorders>
            <w:shd w:val="clear" w:color="auto" w:fill="FFFFFF"/>
            <w:vAlign w:val="center"/>
          </w:tcPr>
          <w:p w14:paraId="46DB8DEB">
            <w:pPr>
              <w:pStyle w:val="10"/>
              <w:bidi w:val="0"/>
              <w:jc w:val="center"/>
              <w:rPr>
                <w:color w:val="000000"/>
              </w:rPr>
            </w:pPr>
          </w:p>
        </w:tc>
        <w:tc>
          <w:tcPr>
            <w:tcW w:w="417" w:type="pct"/>
            <w:vMerge w:val="continue"/>
            <w:tcBorders>
              <w:top w:val="single" w:color="000000" w:sz="8" w:space="0"/>
              <w:left w:val="single" w:color="000000" w:sz="8" w:space="0"/>
              <w:bottom w:val="single" w:color="000000" w:sz="8" w:space="0"/>
              <w:right w:val="single" w:color="000000" w:sz="8" w:space="0"/>
            </w:tcBorders>
            <w:shd w:val="clear" w:color="auto" w:fill="FFFFFF"/>
            <w:vAlign w:val="center"/>
          </w:tcPr>
          <w:p w14:paraId="09068EBD">
            <w:pPr>
              <w:pStyle w:val="10"/>
              <w:bidi w:val="0"/>
              <w:jc w:val="center"/>
              <w:rPr>
                <w:color w:val="000000"/>
              </w:rPr>
            </w:pPr>
          </w:p>
        </w:tc>
        <w:tc>
          <w:tcPr>
            <w:tcW w:w="353" w:type="pct"/>
            <w:vMerge w:val="continue"/>
            <w:tcBorders>
              <w:top w:val="single" w:color="000000" w:sz="8" w:space="0"/>
              <w:left w:val="single" w:color="000000" w:sz="8" w:space="0"/>
              <w:bottom w:val="single" w:color="000000" w:sz="8" w:space="0"/>
              <w:right w:val="single" w:color="000000" w:sz="8" w:space="0"/>
            </w:tcBorders>
            <w:shd w:val="clear" w:color="auto" w:fill="FFFFFF"/>
            <w:vAlign w:val="center"/>
          </w:tcPr>
          <w:p w14:paraId="59305D6A">
            <w:pPr>
              <w:pStyle w:val="10"/>
              <w:bidi w:val="0"/>
              <w:jc w:val="center"/>
              <w:rPr>
                <w:color w:val="000000"/>
              </w:rPr>
            </w:pPr>
          </w:p>
        </w:tc>
        <w:tc>
          <w:tcPr>
            <w:tcW w:w="451" w:type="pct"/>
            <w:vMerge w:val="continue"/>
            <w:tcBorders>
              <w:top w:val="single" w:color="000000" w:sz="8" w:space="0"/>
              <w:left w:val="single" w:color="000000" w:sz="8" w:space="0"/>
              <w:bottom w:val="single" w:color="000000" w:sz="8" w:space="0"/>
              <w:right w:val="single" w:color="000000" w:sz="8" w:space="0"/>
            </w:tcBorders>
            <w:shd w:val="clear" w:color="auto" w:fill="FFFFFF"/>
            <w:vAlign w:val="center"/>
          </w:tcPr>
          <w:p w14:paraId="2B546321">
            <w:pPr>
              <w:pStyle w:val="10"/>
              <w:bidi w:val="0"/>
              <w:jc w:val="center"/>
              <w:rPr>
                <w:color w:val="000000"/>
              </w:rPr>
            </w:pPr>
          </w:p>
        </w:tc>
        <w:tc>
          <w:tcPr>
            <w:tcW w:w="38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6339F97">
            <w:pPr>
              <w:pStyle w:val="10"/>
              <w:bidi w:val="0"/>
              <w:jc w:val="center"/>
              <w:rPr>
                <w:rFonts w:hint="eastAsia"/>
                <w:b/>
                <w:bCs/>
                <w:color w:val="000000"/>
              </w:rPr>
            </w:pPr>
            <w:r>
              <w:rPr>
                <w:rFonts w:hint="eastAsia"/>
                <w:b/>
                <w:bCs/>
                <w:color w:val="000000"/>
              </w:rPr>
              <w:t>水田</w:t>
            </w:r>
          </w:p>
        </w:tc>
        <w:tc>
          <w:tcPr>
            <w:tcW w:w="33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98F1693">
            <w:pPr>
              <w:pStyle w:val="10"/>
              <w:bidi w:val="0"/>
              <w:jc w:val="center"/>
              <w:rPr>
                <w:rFonts w:hint="eastAsia"/>
                <w:b/>
                <w:bCs/>
                <w:color w:val="000000"/>
              </w:rPr>
            </w:pPr>
            <w:r>
              <w:rPr>
                <w:rFonts w:hint="eastAsia"/>
                <w:b/>
                <w:bCs/>
                <w:color w:val="000000"/>
              </w:rPr>
              <w:t>旱地</w:t>
            </w:r>
          </w:p>
        </w:tc>
        <w:tc>
          <w:tcPr>
            <w:tcW w:w="491" w:type="pct"/>
            <w:vMerge w:val="continue"/>
            <w:tcBorders>
              <w:top w:val="single" w:color="000000" w:sz="8" w:space="0"/>
              <w:left w:val="single" w:color="000000" w:sz="8" w:space="0"/>
              <w:bottom w:val="single" w:color="000000" w:sz="8" w:space="0"/>
              <w:right w:val="single" w:color="000000" w:sz="8" w:space="0"/>
            </w:tcBorders>
            <w:shd w:val="clear" w:color="auto" w:fill="FFFFFF"/>
            <w:vAlign w:val="center"/>
          </w:tcPr>
          <w:p w14:paraId="5FD6B913">
            <w:pPr>
              <w:pStyle w:val="10"/>
              <w:bidi w:val="0"/>
              <w:jc w:val="center"/>
              <w:rPr>
                <w:rFonts w:hint="eastAsia"/>
                <w:color w:val="000000"/>
              </w:rPr>
            </w:pPr>
          </w:p>
        </w:tc>
        <w:tc>
          <w:tcPr>
            <w:tcW w:w="470" w:type="pct"/>
            <w:vMerge w:val="continue"/>
            <w:tcBorders>
              <w:top w:val="single" w:color="000000" w:sz="8" w:space="0"/>
              <w:left w:val="single" w:color="000000" w:sz="8" w:space="0"/>
              <w:bottom w:val="single" w:color="000000" w:sz="8" w:space="0"/>
              <w:right w:val="nil"/>
            </w:tcBorders>
            <w:shd w:val="clear" w:color="auto" w:fill="FFFFFF"/>
            <w:vAlign w:val="center"/>
          </w:tcPr>
          <w:p w14:paraId="12A1E5A3">
            <w:pPr>
              <w:pStyle w:val="10"/>
              <w:bidi w:val="0"/>
              <w:jc w:val="center"/>
              <w:rPr>
                <w:rFonts w:hint="eastAsia"/>
                <w:color w:val="000000"/>
              </w:rPr>
            </w:pPr>
          </w:p>
        </w:tc>
      </w:tr>
      <w:tr w14:paraId="3D9511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 w:type="pct"/>
            <w:tcBorders>
              <w:top w:val="single" w:color="000000" w:sz="8" w:space="0"/>
              <w:left w:val="nil"/>
              <w:bottom w:val="single" w:color="000000" w:sz="8" w:space="0"/>
              <w:right w:val="single" w:color="000000" w:sz="8" w:space="0"/>
            </w:tcBorders>
            <w:shd w:val="clear" w:color="auto" w:fill="FFFFFF"/>
            <w:vAlign w:val="center"/>
          </w:tcPr>
          <w:p w14:paraId="25E8B6DF">
            <w:pPr>
              <w:pStyle w:val="10"/>
              <w:bidi w:val="0"/>
              <w:jc w:val="center"/>
              <w:rPr>
                <w:rFonts w:hint="eastAsia"/>
                <w:color w:val="000000"/>
              </w:rPr>
            </w:pPr>
            <w:r>
              <w:rPr>
                <w:rFonts w:hint="eastAsia"/>
                <w:color w:val="000000"/>
              </w:rPr>
              <w:t>居委会</w:t>
            </w:r>
          </w:p>
        </w:tc>
        <w:tc>
          <w:tcPr>
            <w:tcW w:w="72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F7140EC">
            <w:pPr>
              <w:pStyle w:val="10"/>
              <w:bidi w:val="0"/>
              <w:jc w:val="center"/>
              <w:rPr>
                <w:rFonts w:hint="eastAsia"/>
                <w:color w:val="000000"/>
              </w:rPr>
            </w:pPr>
          </w:p>
        </w:tc>
        <w:tc>
          <w:tcPr>
            <w:tcW w:w="45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8E1A0D8">
            <w:pPr>
              <w:pStyle w:val="10"/>
              <w:bidi w:val="0"/>
              <w:jc w:val="center"/>
              <w:rPr>
                <w:rFonts w:hint="eastAsia"/>
                <w:color w:val="000000"/>
              </w:rPr>
            </w:pPr>
          </w:p>
        </w:tc>
        <w:tc>
          <w:tcPr>
            <w:tcW w:w="40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EB31E3F">
            <w:pPr>
              <w:pStyle w:val="10"/>
              <w:bidi w:val="0"/>
              <w:jc w:val="center"/>
              <w:rPr>
                <w:rFonts w:hint="eastAsia"/>
                <w:color w:val="000000"/>
              </w:rPr>
            </w:pPr>
            <w:r>
              <w:rPr>
                <w:rFonts w:hint="eastAsia"/>
                <w:color w:val="000000"/>
              </w:rPr>
              <w:t>891</w:t>
            </w:r>
          </w:p>
        </w:tc>
        <w:tc>
          <w:tcPr>
            <w:tcW w:w="41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0958EB6">
            <w:pPr>
              <w:pStyle w:val="10"/>
              <w:bidi w:val="0"/>
              <w:jc w:val="center"/>
              <w:rPr>
                <w:rFonts w:hint="eastAsia"/>
                <w:color w:val="000000"/>
              </w:rPr>
            </w:pPr>
            <w:r>
              <w:rPr>
                <w:rFonts w:hint="eastAsia"/>
                <w:color w:val="000000"/>
              </w:rPr>
              <w:t>4135</w:t>
            </w:r>
          </w:p>
        </w:tc>
        <w:tc>
          <w:tcPr>
            <w:tcW w:w="35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FC0AE00">
            <w:pPr>
              <w:pStyle w:val="10"/>
              <w:bidi w:val="0"/>
              <w:jc w:val="center"/>
              <w:rPr>
                <w:rFonts w:hint="eastAsia"/>
                <w:color w:val="000000"/>
              </w:rPr>
            </w:pPr>
            <w:r>
              <w:rPr>
                <w:rFonts w:hint="eastAsia"/>
                <w:color w:val="000000"/>
              </w:rPr>
              <w:t>808</w:t>
            </w:r>
          </w:p>
        </w:tc>
        <w:tc>
          <w:tcPr>
            <w:tcW w:w="45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055E690">
            <w:pPr>
              <w:pStyle w:val="10"/>
              <w:bidi w:val="0"/>
              <w:jc w:val="center"/>
              <w:rPr>
                <w:rFonts w:hint="eastAsia"/>
                <w:color w:val="000000"/>
              </w:rPr>
            </w:pPr>
          </w:p>
        </w:tc>
        <w:tc>
          <w:tcPr>
            <w:tcW w:w="38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9778294">
            <w:pPr>
              <w:pStyle w:val="10"/>
              <w:bidi w:val="0"/>
              <w:jc w:val="center"/>
              <w:rPr>
                <w:rFonts w:hint="eastAsia"/>
                <w:color w:val="000000"/>
              </w:rPr>
            </w:pPr>
          </w:p>
        </w:tc>
        <w:tc>
          <w:tcPr>
            <w:tcW w:w="33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3F1404D">
            <w:pPr>
              <w:pStyle w:val="10"/>
              <w:bidi w:val="0"/>
              <w:jc w:val="center"/>
              <w:rPr>
                <w:rFonts w:hint="eastAsia"/>
                <w:color w:val="000000"/>
              </w:rPr>
            </w:pPr>
          </w:p>
        </w:tc>
        <w:tc>
          <w:tcPr>
            <w:tcW w:w="49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15A3082">
            <w:pPr>
              <w:pStyle w:val="10"/>
              <w:bidi w:val="0"/>
              <w:jc w:val="center"/>
              <w:rPr>
                <w:rFonts w:hint="eastAsia"/>
                <w:color w:val="000000"/>
              </w:rPr>
            </w:pPr>
          </w:p>
        </w:tc>
        <w:tc>
          <w:tcPr>
            <w:tcW w:w="470" w:type="pct"/>
            <w:tcBorders>
              <w:top w:val="single" w:color="000000" w:sz="8" w:space="0"/>
              <w:left w:val="single" w:color="000000" w:sz="8" w:space="0"/>
              <w:bottom w:val="single" w:color="000000" w:sz="8" w:space="0"/>
              <w:right w:val="nil"/>
            </w:tcBorders>
            <w:shd w:val="clear" w:color="auto" w:fill="FFFFFF"/>
            <w:vAlign w:val="center"/>
          </w:tcPr>
          <w:p w14:paraId="64D44F30">
            <w:pPr>
              <w:pStyle w:val="10"/>
              <w:bidi w:val="0"/>
              <w:jc w:val="center"/>
              <w:rPr>
                <w:rFonts w:hint="eastAsia"/>
                <w:color w:val="000000"/>
              </w:rPr>
            </w:pPr>
          </w:p>
        </w:tc>
      </w:tr>
      <w:tr w14:paraId="5F8CCB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 w:type="pct"/>
            <w:tcBorders>
              <w:top w:val="single" w:color="000000" w:sz="8" w:space="0"/>
              <w:left w:val="nil"/>
              <w:bottom w:val="single" w:color="000000" w:sz="8" w:space="0"/>
              <w:right w:val="single" w:color="000000" w:sz="8" w:space="0"/>
            </w:tcBorders>
            <w:shd w:val="clear" w:color="auto" w:fill="FFFFFF"/>
            <w:vAlign w:val="center"/>
          </w:tcPr>
          <w:p w14:paraId="1DECAECC">
            <w:pPr>
              <w:pStyle w:val="10"/>
              <w:bidi w:val="0"/>
              <w:jc w:val="center"/>
              <w:rPr>
                <w:rFonts w:hint="eastAsia"/>
                <w:color w:val="000000"/>
              </w:rPr>
            </w:pPr>
            <w:r>
              <w:rPr>
                <w:rFonts w:hint="eastAsia"/>
                <w:color w:val="000000"/>
              </w:rPr>
              <w:t>乌迳</w:t>
            </w:r>
          </w:p>
        </w:tc>
        <w:tc>
          <w:tcPr>
            <w:tcW w:w="72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0C4978E">
            <w:pPr>
              <w:pStyle w:val="10"/>
              <w:bidi w:val="0"/>
              <w:jc w:val="center"/>
              <w:rPr>
                <w:rFonts w:hint="eastAsia"/>
                <w:color w:val="000000"/>
              </w:rPr>
            </w:pPr>
            <w:r>
              <w:rPr>
                <w:rFonts w:hint="eastAsia"/>
                <w:color w:val="000000"/>
              </w:rPr>
              <w:t>3.16</w:t>
            </w:r>
          </w:p>
        </w:tc>
        <w:tc>
          <w:tcPr>
            <w:tcW w:w="45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1C84D34">
            <w:pPr>
              <w:pStyle w:val="10"/>
              <w:bidi w:val="0"/>
              <w:jc w:val="center"/>
              <w:rPr>
                <w:rFonts w:hint="eastAsia"/>
                <w:color w:val="000000"/>
              </w:rPr>
            </w:pPr>
            <w:r>
              <w:rPr>
                <w:rFonts w:hint="eastAsia"/>
                <w:color w:val="000000"/>
              </w:rPr>
              <w:t>5</w:t>
            </w:r>
          </w:p>
        </w:tc>
        <w:tc>
          <w:tcPr>
            <w:tcW w:w="40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1198168">
            <w:pPr>
              <w:pStyle w:val="10"/>
              <w:bidi w:val="0"/>
              <w:jc w:val="center"/>
              <w:rPr>
                <w:rFonts w:hint="eastAsia"/>
                <w:color w:val="000000"/>
              </w:rPr>
            </w:pPr>
            <w:r>
              <w:rPr>
                <w:color w:val="000000"/>
              </w:rPr>
              <w:t>450</w:t>
            </w:r>
          </w:p>
        </w:tc>
        <w:tc>
          <w:tcPr>
            <w:tcW w:w="41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B4403E2">
            <w:pPr>
              <w:pStyle w:val="10"/>
              <w:bidi w:val="0"/>
              <w:jc w:val="center"/>
              <w:rPr>
                <w:rFonts w:hint="eastAsia"/>
                <w:color w:val="000000"/>
              </w:rPr>
            </w:pPr>
            <w:r>
              <w:rPr>
                <w:color w:val="000000"/>
              </w:rPr>
              <w:t>2300</w:t>
            </w:r>
          </w:p>
        </w:tc>
        <w:tc>
          <w:tcPr>
            <w:tcW w:w="35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1CC325B">
            <w:pPr>
              <w:pStyle w:val="10"/>
              <w:bidi w:val="0"/>
              <w:jc w:val="center"/>
              <w:rPr>
                <w:rFonts w:hint="eastAsia"/>
                <w:color w:val="000000"/>
              </w:rPr>
            </w:pPr>
            <w:r>
              <w:rPr>
                <w:color w:val="000000"/>
              </w:rPr>
              <w:t>707</w:t>
            </w:r>
          </w:p>
        </w:tc>
        <w:tc>
          <w:tcPr>
            <w:tcW w:w="45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5A3A47C">
            <w:pPr>
              <w:pStyle w:val="10"/>
              <w:bidi w:val="0"/>
              <w:jc w:val="center"/>
              <w:rPr>
                <w:rFonts w:hint="eastAsia"/>
                <w:color w:val="000000"/>
              </w:rPr>
            </w:pPr>
            <w:r>
              <w:rPr>
                <w:rFonts w:hint="eastAsia"/>
                <w:color w:val="000000"/>
              </w:rPr>
              <w:t>1825</w:t>
            </w:r>
          </w:p>
        </w:tc>
        <w:tc>
          <w:tcPr>
            <w:tcW w:w="38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33BCDD7">
            <w:pPr>
              <w:pStyle w:val="10"/>
              <w:bidi w:val="0"/>
              <w:jc w:val="center"/>
              <w:rPr>
                <w:rFonts w:hint="eastAsia"/>
                <w:color w:val="000000"/>
              </w:rPr>
            </w:pPr>
            <w:r>
              <w:rPr>
                <w:rFonts w:hint="eastAsia"/>
                <w:color w:val="000000"/>
              </w:rPr>
              <w:t>1118</w:t>
            </w:r>
          </w:p>
        </w:tc>
        <w:tc>
          <w:tcPr>
            <w:tcW w:w="33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C6A9F37">
            <w:pPr>
              <w:pStyle w:val="10"/>
              <w:bidi w:val="0"/>
              <w:jc w:val="center"/>
              <w:rPr>
                <w:rFonts w:hint="eastAsia"/>
                <w:color w:val="000000"/>
              </w:rPr>
            </w:pPr>
            <w:r>
              <w:rPr>
                <w:rFonts w:hint="eastAsia"/>
                <w:color w:val="000000"/>
              </w:rPr>
              <w:t>707</w:t>
            </w:r>
          </w:p>
        </w:tc>
        <w:tc>
          <w:tcPr>
            <w:tcW w:w="49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185913D">
            <w:pPr>
              <w:pStyle w:val="10"/>
              <w:bidi w:val="0"/>
              <w:jc w:val="center"/>
              <w:rPr>
                <w:rFonts w:hint="eastAsia"/>
                <w:color w:val="000000"/>
              </w:rPr>
            </w:pPr>
            <w:r>
              <w:rPr>
                <w:color w:val="000000"/>
              </w:rPr>
              <w:t>4074</w:t>
            </w:r>
          </w:p>
        </w:tc>
        <w:tc>
          <w:tcPr>
            <w:tcW w:w="470" w:type="pct"/>
            <w:tcBorders>
              <w:top w:val="single" w:color="000000" w:sz="8" w:space="0"/>
              <w:left w:val="single" w:color="000000" w:sz="8" w:space="0"/>
              <w:bottom w:val="single" w:color="000000" w:sz="8" w:space="0"/>
              <w:right w:val="nil"/>
            </w:tcBorders>
            <w:shd w:val="clear" w:color="auto" w:fill="FFFFFF"/>
            <w:vAlign w:val="center"/>
          </w:tcPr>
          <w:p w14:paraId="0180AE90">
            <w:pPr>
              <w:pStyle w:val="10"/>
              <w:bidi w:val="0"/>
              <w:jc w:val="center"/>
              <w:rPr>
                <w:rFonts w:hint="eastAsia"/>
                <w:color w:val="000000"/>
              </w:rPr>
            </w:pPr>
            <w:r>
              <w:rPr>
                <w:color w:val="000000"/>
              </w:rPr>
              <w:t>8914</w:t>
            </w:r>
          </w:p>
        </w:tc>
      </w:tr>
      <w:tr w14:paraId="390CE6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 w:type="pct"/>
            <w:tcBorders>
              <w:top w:val="single" w:color="000000" w:sz="8" w:space="0"/>
              <w:left w:val="nil"/>
              <w:bottom w:val="single" w:color="000000" w:sz="8" w:space="0"/>
              <w:right w:val="single" w:color="000000" w:sz="8" w:space="0"/>
            </w:tcBorders>
            <w:shd w:val="clear" w:color="auto" w:fill="FFFFFF"/>
            <w:vAlign w:val="center"/>
          </w:tcPr>
          <w:p w14:paraId="39D1A467">
            <w:pPr>
              <w:pStyle w:val="10"/>
              <w:bidi w:val="0"/>
              <w:jc w:val="center"/>
              <w:rPr>
                <w:rFonts w:hint="eastAsia"/>
                <w:color w:val="000000"/>
              </w:rPr>
            </w:pPr>
            <w:r>
              <w:rPr>
                <w:rFonts w:hint="eastAsia"/>
                <w:color w:val="000000"/>
              </w:rPr>
              <w:t>山下</w:t>
            </w:r>
          </w:p>
        </w:tc>
        <w:tc>
          <w:tcPr>
            <w:tcW w:w="72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FC3E952">
            <w:pPr>
              <w:pStyle w:val="10"/>
              <w:bidi w:val="0"/>
              <w:jc w:val="center"/>
              <w:rPr>
                <w:rFonts w:hint="eastAsia"/>
                <w:color w:val="000000"/>
              </w:rPr>
            </w:pPr>
            <w:r>
              <w:rPr>
                <w:rFonts w:hint="eastAsia"/>
                <w:color w:val="000000"/>
              </w:rPr>
              <w:t>3.8</w:t>
            </w:r>
          </w:p>
        </w:tc>
        <w:tc>
          <w:tcPr>
            <w:tcW w:w="45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1357990">
            <w:pPr>
              <w:pStyle w:val="10"/>
              <w:bidi w:val="0"/>
              <w:jc w:val="center"/>
              <w:rPr>
                <w:rFonts w:hint="eastAsia"/>
                <w:color w:val="000000"/>
              </w:rPr>
            </w:pPr>
            <w:r>
              <w:rPr>
                <w:rFonts w:hint="eastAsia"/>
                <w:color w:val="000000"/>
              </w:rPr>
              <w:t>4</w:t>
            </w:r>
          </w:p>
        </w:tc>
        <w:tc>
          <w:tcPr>
            <w:tcW w:w="40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4F7AD8B">
            <w:pPr>
              <w:pStyle w:val="10"/>
              <w:bidi w:val="0"/>
              <w:jc w:val="center"/>
              <w:rPr>
                <w:rFonts w:hint="eastAsia"/>
                <w:color w:val="000000"/>
              </w:rPr>
            </w:pPr>
            <w:r>
              <w:rPr>
                <w:color w:val="000000"/>
              </w:rPr>
              <w:t>568</w:t>
            </w:r>
          </w:p>
        </w:tc>
        <w:tc>
          <w:tcPr>
            <w:tcW w:w="41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6E532C0">
            <w:pPr>
              <w:pStyle w:val="10"/>
              <w:bidi w:val="0"/>
              <w:jc w:val="center"/>
              <w:rPr>
                <w:rFonts w:hint="eastAsia"/>
                <w:color w:val="000000"/>
              </w:rPr>
            </w:pPr>
            <w:r>
              <w:rPr>
                <w:color w:val="000000"/>
              </w:rPr>
              <w:t>2096</w:t>
            </w:r>
          </w:p>
        </w:tc>
        <w:tc>
          <w:tcPr>
            <w:tcW w:w="35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7757009">
            <w:pPr>
              <w:pStyle w:val="10"/>
              <w:bidi w:val="0"/>
              <w:jc w:val="center"/>
              <w:rPr>
                <w:rFonts w:hint="eastAsia"/>
                <w:color w:val="000000"/>
              </w:rPr>
            </w:pPr>
            <w:r>
              <w:rPr>
                <w:color w:val="000000"/>
              </w:rPr>
              <w:t>819</w:t>
            </w:r>
          </w:p>
        </w:tc>
        <w:tc>
          <w:tcPr>
            <w:tcW w:w="45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639DCB6">
            <w:pPr>
              <w:pStyle w:val="10"/>
              <w:bidi w:val="0"/>
              <w:jc w:val="center"/>
              <w:rPr>
                <w:rFonts w:hint="eastAsia"/>
                <w:color w:val="000000"/>
              </w:rPr>
            </w:pPr>
            <w:r>
              <w:rPr>
                <w:rFonts w:hint="eastAsia"/>
                <w:color w:val="000000"/>
              </w:rPr>
              <w:t>2263</w:t>
            </w:r>
          </w:p>
        </w:tc>
        <w:tc>
          <w:tcPr>
            <w:tcW w:w="38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12D6E97">
            <w:pPr>
              <w:pStyle w:val="10"/>
              <w:bidi w:val="0"/>
              <w:jc w:val="center"/>
              <w:rPr>
                <w:rFonts w:hint="eastAsia"/>
                <w:color w:val="000000"/>
              </w:rPr>
            </w:pPr>
            <w:r>
              <w:rPr>
                <w:rFonts w:hint="eastAsia"/>
                <w:color w:val="000000"/>
              </w:rPr>
              <w:t>1266</w:t>
            </w:r>
          </w:p>
        </w:tc>
        <w:tc>
          <w:tcPr>
            <w:tcW w:w="33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5686239">
            <w:pPr>
              <w:pStyle w:val="10"/>
              <w:bidi w:val="0"/>
              <w:jc w:val="center"/>
              <w:rPr>
                <w:rFonts w:hint="eastAsia"/>
                <w:color w:val="000000"/>
              </w:rPr>
            </w:pPr>
            <w:r>
              <w:rPr>
                <w:rFonts w:hint="eastAsia"/>
                <w:color w:val="000000"/>
              </w:rPr>
              <w:t>997</w:t>
            </w:r>
          </w:p>
        </w:tc>
        <w:tc>
          <w:tcPr>
            <w:tcW w:w="49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EB83A9B">
            <w:pPr>
              <w:pStyle w:val="10"/>
              <w:bidi w:val="0"/>
              <w:jc w:val="center"/>
              <w:rPr>
                <w:rFonts w:hint="eastAsia"/>
                <w:color w:val="000000"/>
              </w:rPr>
            </w:pPr>
            <w:r>
              <w:rPr>
                <w:color w:val="000000"/>
              </w:rPr>
              <w:t>3839</w:t>
            </w:r>
          </w:p>
        </w:tc>
        <w:tc>
          <w:tcPr>
            <w:tcW w:w="470" w:type="pct"/>
            <w:tcBorders>
              <w:top w:val="single" w:color="000000" w:sz="8" w:space="0"/>
              <w:left w:val="single" w:color="000000" w:sz="8" w:space="0"/>
              <w:bottom w:val="single" w:color="000000" w:sz="8" w:space="0"/>
              <w:right w:val="nil"/>
            </w:tcBorders>
            <w:shd w:val="clear" w:color="auto" w:fill="FFFFFF"/>
            <w:vAlign w:val="center"/>
          </w:tcPr>
          <w:p w14:paraId="73F9D0DE">
            <w:pPr>
              <w:pStyle w:val="10"/>
              <w:bidi w:val="0"/>
              <w:jc w:val="center"/>
              <w:rPr>
                <w:rFonts w:hint="eastAsia"/>
                <w:color w:val="000000"/>
              </w:rPr>
            </w:pPr>
            <w:r>
              <w:rPr>
                <w:color w:val="000000"/>
              </w:rPr>
              <w:t>8874</w:t>
            </w:r>
          </w:p>
        </w:tc>
      </w:tr>
      <w:tr w14:paraId="659F60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 w:type="pct"/>
            <w:tcBorders>
              <w:top w:val="single" w:color="000000" w:sz="8" w:space="0"/>
              <w:left w:val="nil"/>
              <w:bottom w:val="single" w:color="000000" w:sz="8" w:space="0"/>
              <w:right w:val="single" w:color="000000" w:sz="8" w:space="0"/>
            </w:tcBorders>
            <w:shd w:val="clear" w:color="auto" w:fill="FFFFFF"/>
            <w:vAlign w:val="center"/>
          </w:tcPr>
          <w:p w14:paraId="3EC48ED1">
            <w:pPr>
              <w:pStyle w:val="10"/>
              <w:bidi w:val="0"/>
              <w:jc w:val="center"/>
              <w:rPr>
                <w:rFonts w:hint="eastAsia"/>
                <w:color w:val="000000"/>
              </w:rPr>
            </w:pPr>
            <w:r>
              <w:rPr>
                <w:rFonts w:hint="eastAsia"/>
                <w:color w:val="000000"/>
              </w:rPr>
              <w:t>鱼塘</w:t>
            </w:r>
          </w:p>
        </w:tc>
        <w:tc>
          <w:tcPr>
            <w:tcW w:w="72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8A45620">
            <w:pPr>
              <w:pStyle w:val="10"/>
              <w:bidi w:val="0"/>
              <w:jc w:val="center"/>
              <w:rPr>
                <w:rFonts w:hint="eastAsia"/>
                <w:color w:val="000000"/>
              </w:rPr>
            </w:pPr>
            <w:r>
              <w:rPr>
                <w:rFonts w:hint="eastAsia"/>
                <w:color w:val="000000"/>
              </w:rPr>
              <w:t>9</w:t>
            </w:r>
          </w:p>
        </w:tc>
        <w:tc>
          <w:tcPr>
            <w:tcW w:w="45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C8B328A">
            <w:pPr>
              <w:pStyle w:val="10"/>
              <w:bidi w:val="0"/>
              <w:jc w:val="center"/>
              <w:rPr>
                <w:rFonts w:hint="eastAsia"/>
                <w:color w:val="000000"/>
              </w:rPr>
            </w:pPr>
            <w:r>
              <w:rPr>
                <w:rFonts w:hint="eastAsia"/>
                <w:color w:val="000000"/>
              </w:rPr>
              <w:t>16</w:t>
            </w:r>
          </w:p>
        </w:tc>
        <w:tc>
          <w:tcPr>
            <w:tcW w:w="40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4DB04C4">
            <w:pPr>
              <w:pStyle w:val="10"/>
              <w:bidi w:val="0"/>
              <w:jc w:val="center"/>
              <w:rPr>
                <w:rFonts w:hint="eastAsia"/>
                <w:color w:val="000000"/>
              </w:rPr>
            </w:pPr>
            <w:r>
              <w:rPr>
                <w:color w:val="000000"/>
              </w:rPr>
              <w:t>610</w:t>
            </w:r>
          </w:p>
        </w:tc>
        <w:tc>
          <w:tcPr>
            <w:tcW w:w="41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047A1CC">
            <w:pPr>
              <w:pStyle w:val="10"/>
              <w:bidi w:val="0"/>
              <w:jc w:val="center"/>
              <w:rPr>
                <w:rFonts w:hint="eastAsia"/>
                <w:color w:val="000000"/>
              </w:rPr>
            </w:pPr>
            <w:r>
              <w:rPr>
                <w:color w:val="000000"/>
              </w:rPr>
              <w:t>2330</w:t>
            </w:r>
          </w:p>
        </w:tc>
        <w:tc>
          <w:tcPr>
            <w:tcW w:w="35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927EA0B">
            <w:pPr>
              <w:pStyle w:val="10"/>
              <w:bidi w:val="0"/>
              <w:jc w:val="center"/>
              <w:rPr>
                <w:rFonts w:hint="eastAsia"/>
                <w:color w:val="000000"/>
              </w:rPr>
            </w:pPr>
            <w:r>
              <w:rPr>
                <w:color w:val="000000"/>
              </w:rPr>
              <w:t>1074</w:t>
            </w:r>
          </w:p>
        </w:tc>
        <w:tc>
          <w:tcPr>
            <w:tcW w:w="45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2020EE3">
            <w:pPr>
              <w:pStyle w:val="10"/>
              <w:bidi w:val="0"/>
              <w:jc w:val="center"/>
              <w:rPr>
                <w:rFonts w:hint="eastAsia"/>
                <w:color w:val="000000"/>
              </w:rPr>
            </w:pPr>
            <w:r>
              <w:rPr>
                <w:rFonts w:hint="eastAsia"/>
                <w:color w:val="000000"/>
              </w:rPr>
              <w:t>2697</w:t>
            </w:r>
          </w:p>
        </w:tc>
        <w:tc>
          <w:tcPr>
            <w:tcW w:w="38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189D46D">
            <w:pPr>
              <w:pStyle w:val="10"/>
              <w:bidi w:val="0"/>
              <w:jc w:val="center"/>
              <w:rPr>
                <w:rFonts w:hint="eastAsia"/>
                <w:color w:val="000000"/>
              </w:rPr>
            </w:pPr>
            <w:r>
              <w:rPr>
                <w:rFonts w:hint="eastAsia"/>
                <w:color w:val="000000"/>
              </w:rPr>
              <w:t>2244</w:t>
            </w:r>
          </w:p>
        </w:tc>
        <w:tc>
          <w:tcPr>
            <w:tcW w:w="33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21F8E7F">
            <w:pPr>
              <w:pStyle w:val="10"/>
              <w:bidi w:val="0"/>
              <w:jc w:val="center"/>
              <w:rPr>
                <w:rFonts w:hint="eastAsia"/>
                <w:color w:val="000000"/>
              </w:rPr>
            </w:pPr>
            <w:r>
              <w:rPr>
                <w:rFonts w:hint="eastAsia"/>
                <w:color w:val="000000"/>
              </w:rPr>
              <w:t>453</w:t>
            </w:r>
          </w:p>
        </w:tc>
        <w:tc>
          <w:tcPr>
            <w:tcW w:w="49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3B4A57F">
            <w:pPr>
              <w:pStyle w:val="10"/>
              <w:bidi w:val="0"/>
              <w:jc w:val="center"/>
              <w:rPr>
                <w:rFonts w:hint="eastAsia"/>
                <w:color w:val="000000"/>
              </w:rPr>
            </w:pPr>
            <w:r>
              <w:rPr>
                <w:color w:val="000000"/>
              </w:rPr>
              <w:t>3610</w:t>
            </w:r>
          </w:p>
        </w:tc>
        <w:tc>
          <w:tcPr>
            <w:tcW w:w="470" w:type="pct"/>
            <w:tcBorders>
              <w:top w:val="single" w:color="000000" w:sz="8" w:space="0"/>
              <w:left w:val="single" w:color="000000" w:sz="8" w:space="0"/>
              <w:bottom w:val="single" w:color="000000" w:sz="8" w:space="0"/>
              <w:right w:val="nil"/>
            </w:tcBorders>
            <w:shd w:val="clear" w:color="auto" w:fill="FFFFFF"/>
            <w:vAlign w:val="center"/>
          </w:tcPr>
          <w:p w14:paraId="746D4A54">
            <w:pPr>
              <w:pStyle w:val="10"/>
              <w:bidi w:val="0"/>
              <w:jc w:val="center"/>
              <w:rPr>
                <w:rFonts w:hint="eastAsia"/>
                <w:color w:val="000000"/>
              </w:rPr>
            </w:pPr>
            <w:r>
              <w:rPr>
                <w:color w:val="000000"/>
              </w:rPr>
              <w:t>8537</w:t>
            </w:r>
          </w:p>
        </w:tc>
      </w:tr>
      <w:tr w14:paraId="21C560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 w:type="pct"/>
            <w:tcBorders>
              <w:top w:val="single" w:color="000000" w:sz="8" w:space="0"/>
              <w:left w:val="nil"/>
              <w:bottom w:val="single" w:color="000000" w:sz="8" w:space="0"/>
              <w:right w:val="single" w:color="000000" w:sz="8" w:space="0"/>
            </w:tcBorders>
            <w:shd w:val="clear" w:color="auto" w:fill="FFFFFF"/>
            <w:vAlign w:val="center"/>
          </w:tcPr>
          <w:p w14:paraId="0302A6BB">
            <w:pPr>
              <w:pStyle w:val="10"/>
              <w:bidi w:val="0"/>
              <w:jc w:val="center"/>
              <w:rPr>
                <w:rFonts w:hint="eastAsia"/>
                <w:color w:val="000000"/>
              </w:rPr>
            </w:pPr>
            <w:r>
              <w:rPr>
                <w:rFonts w:hint="eastAsia"/>
                <w:color w:val="000000"/>
              </w:rPr>
              <w:t>新田</w:t>
            </w:r>
          </w:p>
        </w:tc>
        <w:tc>
          <w:tcPr>
            <w:tcW w:w="72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73734B5">
            <w:pPr>
              <w:pStyle w:val="10"/>
              <w:bidi w:val="0"/>
              <w:jc w:val="center"/>
              <w:rPr>
                <w:rFonts w:hint="eastAsia"/>
                <w:color w:val="000000"/>
              </w:rPr>
            </w:pPr>
            <w:r>
              <w:rPr>
                <w:rFonts w:hint="eastAsia"/>
                <w:color w:val="000000"/>
              </w:rPr>
              <w:t>6.68</w:t>
            </w:r>
          </w:p>
        </w:tc>
        <w:tc>
          <w:tcPr>
            <w:tcW w:w="45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24B84B4">
            <w:pPr>
              <w:pStyle w:val="10"/>
              <w:bidi w:val="0"/>
              <w:jc w:val="center"/>
              <w:rPr>
                <w:rFonts w:hint="eastAsia"/>
                <w:color w:val="000000"/>
              </w:rPr>
            </w:pPr>
            <w:r>
              <w:rPr>
                <w:rFonts w:hint="eastAsia"/>
                <w:color w:val="000000"/>
              </w:rPr>
              <w:t>10</w:t>
            </w:r>
          </w:p>
        </w:tc>
        <w:tc>
          <w:tcPr>
            <w:tcW w:w="40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B8479FD">
            <w:pPr>
              <w:pStyle w:val="10"/>
              <w:bidi w:val="0"/>
              <w:jc w:val="center"/>
              <w:rPr>
                <w:rFonts w:hint="eastAsia"/>
                <w:color w:val="000000"/>
              </w:rPr>
            </w:pPr>
            <w:r>
              <w:rPr>
                <w:color w:val="000000"/>
              </w:rPr>
              <w:t>563</w:t>
            </w:r>
          </w:p>
        </w:tc>
        <w:tc>
          <w:tcPr>
            <w:tcW w:w="41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8F9A132">
            <w:pPr>
              <w:pStyle w:val="10"/>
              <w:bidi w:val="0"/>
              <w:jc w:val="center"/>
              <w:rPr>
                <w:rFonts w:hint="eastAsia"/>
                <w:color w:val="000000"/>
              </w:rPr>
            </w:pPr>
            <w:r>
              <w:rPr>
                <w:color w:val="000000"/>
              </w:rPr>
              <w:t>2414</w:t>
            </w:r>
          </w:p>
        </w:tc>
        <w:tc>
          <w:tcPr>
            <w:tcW w:w="35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AC02B12">
            <w:pPr>
              <w:pStyle w:val="10"/>
              <w:bidi w:val="0"/>
              <w:jc w:val="center"/>
              <w:rPr>
                <w:rFonts w:hint="eastAsia"/>
                <w:color w:val="000000"/>
              </w:rPr>
            </w:pPr>
            <w:r>
              <w:rPr>
                <w:color w:val="000000"/>
              </w:rPr>
              <w:t>928</w:t>
            </w:r>
          </w:p>
        </w:tc>
        <w:tc>
          <w:tcPr>
            <w:tcW w:w="45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3BABC37">
            <w:pPr>
              <w:pStyle w:val="10"/>
              <w:bidi w:val="0"/>
              <w:jc w:val="center"/>
              <w:rPr>
                <w:rFonts w:hint="eastAsia"/>
                <w:color w:val="000000"/>
              </w:rPr>
            </w:pPr>
            <w:r>
              <w:rPr>
                <w:rFonts w:hint="eastAsia"/>
                <w:color w:val="000000"/>
              </w:rPr>
              <w:t>2970</w:t>
            </w:r>
          </w:p>
        </w:tc>
        <w:tc>
          <w:tcPr>
            <w:tcW w:w="38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E81DC5D">
            <w:pPr>
              <w:pStyle w:val="10"/>
              <w:bidi w:val="0"/>
              <w:jc w:val="center"/>
              <w:rPr>
                <w:rFonts w:hint="eastAsia"/>
                <w:color w:val="000000"/>
              </w:rPr>
            </w:pPr>
            <w:r>
              <w:rPr>
                <w:rFonts w:hint="eastAsia"/>
                <w:color w:val="000000"/>
              </w:rPr>
              <w:t>1601</w:t>
            </w:r>
          </w:p>
        </w:tc>
        <w:tc>
          <w:tcPr>
            <w:tcW w:w="33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B6EB8F5">
            <w:pPr>
              <w:pStyle w:val="10"/>
              <w:bidi w:val="0"/>
              <w:jc w:val="center"/>
              <w:rPr>
                <w:rFonts w:hint="eastAsia"/>
                <w:color w:val="000000"/>
              </w:rPr>
            </w:pPr>
            <w:r>
              <w:rPr>
                <w:rFonts w:hint="eastAsia"/>
                <w:color w:val="000000"/>
              </w:rPr>
              <w:t>1369</w:t>
            </w:r>
          </w:p>
        </w:tc>
        <w:tc>
          <w:tcPr>
            <w:tcW w:w="49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E33AB1C">
            <w:pPr>
              <w:pStyle w:val="10"/>
              <w:bidi w:val="0"/>
              <w:jc w:val="center"/>
              <w:rPr>
                <w:rFonts w:hint="eastAsia"/>
                <w:color w:val="000000"/>
              </w:rPr>
            </w:pPr>
            <w:r>
              <w:rPr>
                <w:color w:val="000000"/>
              </w:rPr>
              <w:t>3729</w:t>
            </w:r>
          </w:p>
        </w:tc>
        <w:tc>
          <w:tcPr>
            <w:tcW w:w="470" w:type="pct"/>
            <w:tcBorders>
              <w:top w:val="single" w:color="000000" w:sz="8" w:space="0"/>
              <w:left w:val="single" w:color="000000" w:sz="8" w:space="0"/>
              <w:bottom w:val="single" w:color="000000" w:sz="8" w:space="0"/>
              <w:right w:val="nil"/>
            </w:tcBorders>
            <w:shd w:val="clear" w:color="auto" w:fill="FFFFFF"/>
            <w:vAlign w:val="center"/>
          </w:tcPr>
          <w:p w14:paraId="6BD11B2C">
            <w:pPr>
              <w:pStyle w:val="10"/>
              <w:bidi w:val="0"/>
              <w:jc w:val="center"/>
              <w:rPr>
                <w:rFonts w:hint="eastAsia"/>
                <w:color w:val="000000"/>
              </w:rPr>
            </w:pPr>
            <w:r>
              <w:rPr>
                <w:color w:val="000000"/>
              </w:rPr>
              <w:t>8370</w:t>
            </w:r>
          </w:p>
        </w:tc>
      </w:tr>
      <w:tr w14:paraId="58EBA5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 w:type="pct"/>
            <w:tcBorders>
              <w:top w:val="single" w:color="000000" w:sz="8" w:space="0"/>
              <w:left w:val="nil"/>
              <w:bottom w:val="single" w:color="000000" w:sz="8" w:space="0"/>
              <w:right w:val="single" w:color="000000" w:sz="8" w:space="0"/>
            </w:tcBorders>
            <w:shd w:val="clear" w:color="auto" w:fill="FFFFFF"/>
            <w:vAlign w:val="center"/>
          </w:tcPr>
          <w:p w14:paraId="60DA849C">
            <w:pPr>
              <w:pStyle w:val="10"/>
              <w:bidi w:val="0"/>
              <w:jc w:val="center"/>
              <w:rPr>
                <w:rFonts w:hint="eastAsia"/>
                <w:color w:val="000000"/>
              </w:rPr>
            </w:pPr>
            <w:r>
              <w:rPr>
                <w:rFonts w:hint="eastAsia"/>
                <w:color w:val="000000"/>
              </w:rPr>
              <w:t>高溯</w:t>
            </w:r>
          </w:p>
        </w:tc>
        <w:tc>
          <w:tcPr>
            <w:tcW w:w="72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06B9027">
            <w:pPr>
              <w:pStyle w:val="10"/>
              <w:bidi w:val="0"/>
              <w:jc w:val="center"/>
              <w:rPr>
                <w:rFonts w:hint="eastAsia"/>
                <w:color w:val="000000"/>
              </w:rPr>
            </w:pPr>
            <w:r>
              <w:rPr>
                <w:rFonts w:hint="eastAsia"/>
                <w:color w:val="000000"/>
              </w:rPr>
              <w:t>4.41</w:t>
            </w:r>
          </w:p>
        </w:tc>
        <w:tc>
          <w:tcPr>
            <w:tcW w:w="45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36E8042">
            <w:pPr>
              <w:pStyle w:val="10"/>
              <w:bidi w:val="0"/>
              <w:jc w:val="center"/>
              <w:rPr>
                <w:rFonts w:hint="eastAsia"/>
                <w:color w:val="000000"/>
              </w:rPr>
            </w:pPr>
            <w:r>
              <w:rPr>
                <w:rFonts w:hint="eastAsia"/>
                <w:color w:val="000000"/>
              </w:rPr>
              <w:t>7</w:t>
            </w:r>
          </w:p>
        </w:tc>
        <w:tc>
          <w:tcPr>
            <w:tcW w:w="40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BA307C0">
            <w:pPr>
              <w:pStyle w:val="10"/>
              <w:bidi w:val="0"/>
              <w:jc w:val="center"/>
              <w:rPr>
                <w:rFonts w:hint="eastAsia"/>
                <w:color w:val="000000"/>
              </w:rPr>
            </w:pPr>
            <w:r>
              <w:rPr>
                <w:color w:val="000000"/>
              </w:rPr>
              <w:t>634</w:t>
            </w:r>
          </w:p>
        </w:tc>
        <w:tc>
          <w:tcPr>
            <w:tcW w:w="41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4826038">
            <w:pPr>
              <w:pStyle w:val="10"/>
              <w:bidi w:val="0"/>
              <w:jc w:val="center"/>
              <w:rPr>
                <w:rFonts w:hint="eastAsia"/>
                <w:color w:val="000000"/>
              </w:rPr>
            </w:pPr>
            <w:r>
              <w:rPr>
                <w:color w:val="000000"/>
              </w:rPr>
              <w:t>2633</w:t>
            </w:r>
          </w:p>
        </w:tc>
        <w:tc>
          <w:tcPr>
            <w:tcW w:w="35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25A9FFB">
            <w:pPr>
              <w:pStyle w:val="10"/>
              <w:bidi w:val="0"/>
              <w:jc w:val="center"/>
              <w:rPr>
                <w:rFonts w:hint="eastAsia"/>
                <w:color w:val="000000"/>
              </w:rPr>
            </w:pPr>
            <w:r>
              <w:rPr>
                <w:color w:val="000000"/>
              </w:rPr>
              <w:t>1222</w:t>
            </w:r>
          </w:p>
        </w:tc>
        <w:tc>
          <w:tcPr>
            <w:tcW w:w="45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6CAAA0C">
            <w:pPr>
              <w:pStyle w:val="10"/>
              <w:bidi w:val="0"/>
              <w:jc w:val="center"/>
              <w:rPr>
                <w:rFonts w:hint="eastAsia"/>
                <w:color w:val="000000"/>
              </w:rPr>
            </w:pPr>
            <w:r>
              <w:rPr>
                <w:rFonts w:hint="eastAsia"/>
                <w:color w:val="000000"/>
              </w:rPr>
              <w:t>2650</w:t>
            </w:r>
          </w:p>
        </w:tc>
        <w:tc>
          <w:tcPr>
            <w:tcW w:w="38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49E931D">
            <w:pPr>
              <w:pStyle w:val="10"/>
              <w:bidi w:val="0"/>
              <w:jc w:val="center"/>
              <w:rPr>
                <w:rFonts w:hint="eastAsia"/>
                <w:color w:val="000000"/>
              </w:rPr>
            </w:pPr>
            <w:r>
              <w:rPr>
                <w:rFonts w:hint="eastAsia"/>
                <w:color w:val="000000"/>
              </w:rPr>
              <w:t>1696</w:t>
            </w:r>
          </w:p>
        </w:tc>
        <w:tc>
          <w:tcPr>
            <w:tcW w:w="33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C9D4280">
            <w:pPr>
              <w:pStyle w:val="10"/>
              <w:bidi w:val="0"/>
              <w:jc w:val="center"/>
              <w:rPr>
                <w:rFonts w:hint="eastAsia"/>
                <w:color w:val="000000"/>
              </w:rPr>
            </w:pPr>
            <w:r>
              <w:rPr>
                <w:rFonts w:hint="eastAsia"/>
                <w:color w:val="000000"/>
              </w:rPr>
              <w:t>954</w:t>
            </w:r>
          </w:p>
        </w:tc>
        <w:tc>
          <w:tcPr>
            <w:tcW w:w="49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F920820">
            <w:pPr>
              <w:pStyle w:val="10"/>
              <w:bidi w:val="0"/>
              <w:jc w:val="center"/>
              <w:rPr>
                <w:rFonts w:hint="eastAsia"/>
                <w:color w:val="000000"/>
              </w:rPr>
            </w:pPr>
            <w:r>
              <w:rPr>
                <w:color w:val="000000"/>
              </w:rPr>
              <w:t>4120</w:t>
            </w:r>
          </w:p>
        </w:tc>
        <w:tc>
          <w:tcPr>
            <w:tcW w:w="470" w:type="pct"/>
            <w:tcBorders>
              <w:top w:val="single" w:color="000000" w:sz="8" w:space="0"/>
              <w:left w:val="single" w:color="000000" w:sz="8" w:space="0"/>
              <w:bottom w:val="single" w:color="000000" w:sz="8" w:space="0"/>
              <w:right w:val="nil"/>
            </w:tcBorders>
            <w:shd w:val="clear" w:color="auto" w:fill="FFFFFF"/>
            <w:vAlign w:val="center"/>
          </w:tcPr>
          <w:p w14:paraId="1A97876C">
            <w:pPr>
              <w:pStyle w:val="10"/>
              <w:bidi w:val="0"/>
              <w:jc w:val="center"/>
              <w:rPr>
                <w:rFonts w:hint="eastAsia"/>
                <w:color w:val="000000"/>
              </w:rPr>
            </w:pPr>
            <w:r>
              <w:rPr>
                <w:color w:val="000000"/>
              </w:rPr>
              <w:t>8572</w:t>
            </w:r>
          </w:p>
        </w:tc>
      </w:tr>
      <w:tr w14:paraId="20129B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 w:type="pct"/>
            <w:tcBorders>
              <w:top w:val="single" w:color="000000" w:sz="8" w:space="0"/>
              <w:left w:val="nil"/>
              <w:bottom w:val="single" w:color="000000" w:sz="8" w:space="0"/>
              <w:right w:val="single" w:color="000000" w:sz="8" w:space="0"/>
            </w:tcBorders>
            <w:shd w:val="clear" w:color="auto" w:fill="FFFFFF"/>
            <w:vAlign w:val="center"/>
          </w:tcPr>
          <w:p w14:paraId="3D264BFB">
            <w:pPr>
              <w:pStyle w:val="10"/>
              <w:bidi w:val="0"/>
              <w:jc w:val="center"/>
              <w:rPr>
                <w:rFonts w:hint="eastAsia"/>
                <w:color w:val="000000"/>
              </w:rPr>
            </w:pPr>
            <w:r>
              <w:rPr>
                <w:rFonts w:hint="eastAsia"/>
                <w:color w:val="000000"/>
              </w:rPr>
              <w:t>长龙</w:t>
            </w:r>
          </w:p>
        </w:tc>
        <w:tc>
          <w:tcPr>
            <w:tcW w:w="72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4218A55">
            <w:pPr>
              <w:pStyle w:val="10"/>
              <w:bidi w:val="0"/>
              <w:jc w:val="center"/>
              <w:rPr>
                <w:rFonts w:hint="eastAsia"/>
                <w:color w:val="000000"/>
              </w:rPr>
            </w:pPr>
            <w:r>
              <w:rPr>
                <w:rFonts w:hint="eastAsia"/>
                <w:color w:val="000000"/>
              </w:rPr>
              <w:t>5.82</w:t>
            </w:r>
          </w:p>
        </w:tc>
        <w:tc>
          <w:tcPr>
            <w:tcW w:w="45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A943DB5">
            <w:pPr>
              <w:pStyle w:val="10"/>
              <w:bidi w:val="0"/>
              <w:jc w:val="center"/>
              <w:rPr>
                <w:rFonts w:hint="eastAsia"/>
                <w:color w:val="000000"/>
              </w:rPr>
            </w:pPr>
            <w:r>
              <w:rPr>
                <w:rFonts w:hint="eastAsia"/>
                <w:color w:val="000000"/>
              </w:rPr>
              <w:t>10</w:t>
            </w:r>
          </w:p>
        </w:tc>
        <w:tc>
          <w:tcPr>
            <w:tcW w:w="40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35C490D">
            <w:pPr>
              <w:pStyle w:val="10"/>
              <w:bidi w:val="0"/>
              <w:jc w:val="center"/>
              <w:rPr>
                <w:rFonts w:hint="eastAsia"/>
                <w:color w:val="000000"/>
              </w:rPr>
            </w:pPr>
            <w:r>
              <w:rPr>
                <w:color w:val="000000"/>
              </w:rPr>
              <w:t>643</w:t>
            </w:r>
          </w:p>
        </w:tc>
        <w:tc>
          <w:tcPr>
            <w:tcW w:w="41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8B0E15C">
            <w:pPr>
              <w:pStyle w:val="10"/>
              <w:bidi w:val="0"/>
              <w:jc w:val="center"/>
              <w:rPr>
                <w:rFonts w:hint="eastAsia"/>
                <w:color w:val="000000"/>
              </w:rPr>
            </w:pPr>
            <w:r>
              <w:rPr>
                <w:color w:val="000000"/>
              </w:rPr>
              <w:t>2318</w:t>
            </w:r>
          </w:p>
        </w:tc>
        <w:tc>
          <w:tcPr>
            <w:tcW w:w="35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B011AE0">
            <w:pPr>
              <w:pStyle w:val="10"/>
              <w:bidi w:val="0"/>
              <w:jc w:val="center"/>
              <w:rPr>
                <w:rFonts w:hint="eastAsia"/>
                <w:color w:val="000000"/>
              </w:rPr>
            </w:pPr>
            <w:r>
              <w:rPr>
                <w:color w:val="000000"/>
              </w:rPr>
              <w:t>1243</w:t>
            </w:r>
          </w:p>
        </w:tc>
        <w:tc>
          <w:tcPr>
            <w:tcW w:w="45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D4EC985">
            <w:pPr>
              <w:pStyle w:val="10"/>
              <w:bidi w:val="0"/>
              <w:jc w:val="center"/>
              <w:rPr>
                <w:rFonts w:hint="eastAsia"/>
                <w:color w:val="000000"/>
              </w:rPr>
            </w:pPr>
            <w:r>
              <w:rPr>
                <w:rFonts w:hint="eastAsia"/>
                <w:color w:val="000000"/>
              </w:rPr>
              <w:t>3130</w:t>
            </w:r>
          </w:p>
        </w:tc>
        <w:tc>
          <w:tcPr>
            <w:tcW w:w="38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43F7D66">
            <w:pPr>
              <w:pStyle w:val="10"/>
              <w:bidi w:val="0"/>
              <w:jc w:val="center"/>
              <w:rPr>
                <w:rFonts w:hint="eastAsia"/>
                <w:color w:val="000000"/>
              </w:rPr>
            </w:pPr>
            <w:r>
              <w:rPr>
                <w:rFonts w:hint="eastAsia"/>
                <w:color w:val="000000"/>
              </w:rPr>
              <w:t>1887</w:t>
            </w:r>
          </w:p>
        </w:tc>
        <w:tc>
          <w:tcPr>
            <w:tcW w:w="33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715890D">
            <w:pPr>
              <w:pStyle w:val="10"/>
              <w:bidi w:val="0"/>
              <w:jc w:val="center"/>
              <w:rPr>
                <w:rFonts w:hint="eastAsia"/>
                <w:color w:val="000000"/>
              </w:rPr>
            </w:pPr>
            <w:r>
              <w:rPr>
                <w:rFonts w:hint="eastAsia"/>
                <w:color w:val="000000"/>
              </w:rPr>
              <w:t>1243</w:t>
            </w:r>
          </w:p>
        </w:tc>
        <w:tc>
          <w:tcPr>
            <w:tcW w:w="49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99A8E89">
            <w:pPr>
              <w:pStyle w:val="10"/>
              <w:bidi w:val="0"/>
              <w:jc w:val="center"/>
              <w:rPr>
                <w:rFonts w:hint="eastAsia"/>
                <w:color w:val="000000"/>
              </w:rPr>
            </w:pPr>
            <w:r>
              <w:rPr>
                <w:color w:val="000000"/>
              </w:rPr>
              <w:t>3726</w:t>
            </w:r>
          </w:p>
        </w:tc>
        <w:tc>
          <w:tcPr>
            <w:tcW w:w="470" w:type="pct"/>
            <w:tcBorders>
              <w:top w:val="single" w:color="000000" w:sz="8" w:space="0"/>
              <w:left w:val="single" w:color="000000" w:sz="8" w:space="0"/>
              <w:bottom w:val="single" w:color="000000" w:sz="8" w:space="0"/>
              <w:right w:val="nil"/>
            </w:tcBorders>
            <w:shd w:val="clear" w:color="auto" w:fill="FFFFFF"/>
            <w:vAlign w:val="center"/>
          </w:tcPr>
          <w:p w14:paraId="053251D3">
            <w:pPr>
              <w:pStyle w:val="10"/>
              <w:bidi w:val="0"/>
              <w:jc w:val="center"/>
              <w:rPr>
                <w:rFonts w:hint="eastAsia"/>
                <w:color w:val="000000"/>
              </w:rPr>
            </w:pPr>
            <w:r>
              <w:rPr>
                <w:color w:val="000000"/>
              </w:rPr>
              <w:t>8353</w:t>
            </w:r>
          </w:p>
        </w:tc>
      </w:tr>
      <w:tr w14:paraId="71217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 w:type="pct"/>
            <w:tcBorders>
              <w:top w:val="single" w:color="000000" w:sz="8" w:space="0"/>
              <w:left w:val="nil"/>
              <w:bottom w:val="single" w:color="000000" w:sz="8" w:space="0"/>
              <w:right w:val="single" w:color="000000" w:sz="8" w:space="0"/>
            </w:tcBorders>
            <w:shd w:val="clear" w:color="auto" w:fill="FFFFFF"/>
            <w:vAlign w:val="center"/>
          </w:tcPr>
          <w:p w14:paraId="454F0AF6">
            <w:pPr>
              <w:pStyle w:val="10"/>
              <w:bidi w:val="0"/>
              <w:jc w:val="center"/>
              <w:rPr>
                <w:rFonts w:hint="eastAsia"/>
                <w:color w:val="000000"/>
              </w:rPr>
            </w:pPr>
            <w:r>
              <w:rPr>
                <w:rFonts w:hint="eastAsia"/>
                <w:color w:val="000000"/>
              </w:rPr>
              <w:t>白龙</w:t>
            </w:r>
          </w:p>
        </w:tc>
        <w:tc>
          <w:tcPr>
            <w:tcW w:w="72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7391FDB">
            <w:pPr>
              <w:pStyle w:val="10"/>
              <w:bidi w:val="0"/>
              <w:jc w:val="center"/>
              <w:rPr>
                <w:rFonts w:hint="eastAsia"/>
                <w:color w:val="000000"/>
              </w:rPr>
            </w:pPr>
            <w:r>
              <w:rPr>
                <w:rFonts w:hint="eastAsia"/>
                <w:color w:val="000000"/>
              </w:rPr>
              <w:t>6.11</w:t>
            </w:r>
          </w:p>
        </w:tc>
        <w:tc>
          <w:tcPr>
            <w:tcW w:w="45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FF830A4">
            <w:pPr>
              <w:pStyle w:val="10"/>
              <w:bidi w:val="0"/>
              <w:jc w:val="center"/>
              <w:rPr>
                <w:rFonts w:hint="eastAsia"/>
                <w:color w:val="000000"/>
              </w:rPr>
            </w:pPr>
            <w:r>
              <w:rPr>
                <w:rFonts w:hint="eastAsia"/>
                <w:color w:val="000000"/>
              </w:rPr>
              <w:t>9</w:t>
            </w:r>
          </w:p>
        </w:tc>
        <w:tc>
          <w:tcPr>
            <w:tcW w:w="40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F951570">
            <w:pPr>
              <w:pStyle w:val="10"/>
              <w:bidi w:val="0"/>
              <w:jc w:val="center"/>
              <w:rPr>
                <w:rFonts w:hint="eastAsia"/>
                <w:color w:val="000000"/>
              </w:rPr>
            </w:pPr>
            <w:r>
              <w:rPr>
                <w:color w:val="000000"/>
              </w:rPr>
              <w:t>330</w:t>
            </w:r>
          </w:p>
        </w:tc>
        <w:tc>
          <w:tcPr>
            <w:tcW w:w="41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6F33479">
            <w:pPr>
              <w:pStyle w:val="10"/>
              <w:bidi w:val="0"/>
              <w:jc w:val="center"/>
              <w:rPr>
                <w:rFonts w:hint="eastAsia"/>
                <w:color w:val="000000"/>
              </w:rPr>
            </w:pPr>
            <w:r>
              <w:rPr>
                <w:color w:val="000000"/>
              </w:rPr>
              <w:t>1159</w:t>
            </w:r>
          </w:p>
        </w:tc>
        <w:tc>
          <w:tcPr>
            <w:tcW w:w="35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41274C1">
            <w:pPr>
              <w:pStyle w:val="10"/>
              <w:bidi w:val="0"/>
              <w:jc w:val="center"/>
              <w:rPr>
                <w:rFonts w:hint="eastAsia"/>
                <w:color w:val="000000"/>
              </w:rPr>
            </w:pPr>
            <w:r>
              <w:rPr>
                <w:color w:val="000000"/>
              </w:rPr>
              <w:t>663</w:t>
            </w:r>
          </w:p>
        </w:tc>
        <w:tc>
          <w:tcPr>
            <w:tcW w:w="45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E8F201A">
            <w:pPr>
              <w:pStyle w:val="10"/>
              <w:bidi w:val="0"/>
              <w:jc w:val="center"/>
              <w:rPr>
                <w:rFonts w:hint="eastAsia"/>
                <w:color w:val="000000"/>
              </w:rPr>
            </w:pPr>
            <w:r>
              <w:rPr>
                <w:rFonts w:hint="eastAsia"/>
                <w:color w:val="000000"/>
              </w:rPr>
              <w:t>1933</w:t>
            </w:r>
          </w:p>
        </w:tc>
        <w:tc>
          <w:tcPr>
            <w:tcW w:w="38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6763BCB">
            <w:pPr>
              <w:pStyle w:val="10"/>
              <w:bidi w:val="0"/>
              <w:jc w:val="center"/>
              <w:rPr>
                <w:rFonts w:hint="eastAsia"/>
                <w:color w:val="000000"/>
              </w:rPr>
            </w:pPr>
            <w:r>
              <w:rPr>
                <w:rFonts w:hint="eastAsia"/>
                <w:color w:val="000000"/>
              </w:rPr>
              <w:t>1096</w:t>
            </w:r>
          </w:p>
        </w:tc>
        <w:tc>
          <w:tcPr>
            <w:tcW w:w="33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61B83CF">
            <w:pPr>
              <w:pStyle w:val="10"/>
              <w:bidi w:val="0"/>
              <w:jc w:val="center"/>
              <w:rPr>
                <w:rFonts w:hint="eastAsia"/>
                <w:color w:val="000000"/>
              </w:rPr>
            </w:pPr>
            <w:r>
              <w:rPr>
                <w:rFonts w:hint="eastAsia"/>
                <w:color w:val="000000"/>
              </w:rPr>
              <w:t>837</w:t>
            </w:r>
          </w:p>
        </w:tc>
        <w:tc>
          <w:tcPr>
            <w:tcW w:w="49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E7E3D60">
            <w:pPr>
              <w:pStyle w:val="10"/>
              <w:bidi w:val="0"/>
              <w:jc w:val="center"/>
              <w:rPr>
                <w:rFonts w:hint="eastAsia"/>
                <w:color w:val="000000"/>
              </w:rPr>
            </w:pPr>
            <w:r>
              <w:rPr>
                <w:color w:val="000000"/>
              </w:rPr>
              <w:t>1901</w:t>
            </w:r>
          </w:p>
        </w:tc>
        <w:tc>
          <w:tcPr>
            <w:tcW w:w="470" w:type="pct"/>
            <w:tcBorders>
              <w:top w:val="single" w:color="000000" w:sz="8" w:space="0"/>
              <w:left w:val="single" w:color="000000" w:sz="8" w:space="0"/>
              <w:bottom w:val="single" w:color="000000" w:sz="8" w:space="0"/>
              <w:right w:val="nil"/>
            </w:tcBorders>
            <w:shd w:val="clear" w:color="auto" w:fill="FFFFFF"/>
            <w:vAlign w:val="center"/>
          </w:tcPr>
          <w:p w14:paraId="18C78DE2">
            <w:pPr>
              <w:pStyle w:val="10"/>
              <w:bidi w:val="0"/>
              <w:jc w:val="center"/>
              <w:rPr>
                <w:rFonts w:hint="eastAsia"/>
                <w:color w:val="000000"/>
              </w:rPr>
            </w:pPr>
            <w:r>
              <w:rPr>
                <w:color w:val="000000"/>
              </w:rPr>
              <w:t>8348</w:t>
            </w:r>
          </w:p>
        </w:tc>
      </w:tr>
      <w:tr w14:paraId="57F247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 w:type="pct"/>
            <w:tcBorders>
              <w:top w:val="single" w:color="000000" w:sz="8" w:space="0"/>
              <w:left w:val="nil"/>
              <w:bottom w:val="single" w:color="000000" w:sz="8" w:space="0"/>
              <w:right w:val="single" w:color="000000" w:sz="8" w:space="0"/>
            </w:tcBorders>
            <w:shd w:val="clear" w:color="auto" w:fill="FFFFFF"/>
            <w:vAlign w:val="center"/>
          </w:tcPr>
          <w:p w14:paraId="6C863194">
            <w:pPr>
              <w:pStyle w:val="10"/>
              <w:bidi w:val="0"/>
              <w:jc w:val="center"/>
              <w:rPr>
                <w:rFonts w:hint="eastAsia"/>
                <w:color w:val="000000"/>
              </w:rPr>
            </w:pPr>
            <w:r>
              <w:rPr>
                <w:rFonts w:hint="eastAsia"/>
                <w:color w:val="000000"/>
              </w:rPr>
              <w:t>坪塘</w:t>
            </w:r>
          </w:p>
        </w:tc>
        <w:tc>
          <w:tcPr>
            <w:tcW w:w="72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B2BA2C1">
            <w:pPr>
              <w:pStyle w:val="10"/>
              <w:bidi w:val="0"/>
              <w:jc w:val="center"/>
              <w:rPr>
                <w:rFonts w:hint="eastAsia"/>
                <w:color w:val="000000"/>
              </w:rPr>
            </w:pPr>
            <w:r>
              <w:rPr>
                <w:rFonts w:hint="eastAsia"/>
                <w:color w:val="000000"/>
              </w:rPr>
              <w:t>5.07</w:t>
            </w:r>
          </w:p>
        </w:tc>
        <w:tc>
          <w:tcPr>
            <w:tcW w:w="45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262449F">
            <w:pPr>
              <w:pStyle w:val="10"/>
              <w:bidi w:val="0"/>
              <w:jc w:val="center"/>
              <w:rPr>
                <w:rFonts w:hint="eastAsia"/>
                <w:color w:val="000000"/>
              </w:rPr>
            </w:pPr>
            <w:r>
              <w:rPr>
                <w:rFonts w:hint="eastAsia"/>
                <w:color w:val="000000"/>
              </w:rPr>
              <w:t>15</w:t>
            </w:r>
          </w:p>
        </w:tc>
        <w:tc>
          <w:tcPr>
            <w:tcW w:w="40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256F9BE">
            <w:pPr>
              <w:pStyle w:val="10"/>
              <w:bidi w:val="0"/>
              <w:jc w:val="center"/>
              <w:rPr>
                <w:rFonts w:hint="eastAsia"/>
                <w:color w:val="000000"/>
              </w:rPr>
            </w:pPr>
            <w:r>
              <w:rPr>
                <w:color w:val="000000"/>
              </w:rPr>
              <w:t>579</w:t>
            </w:r>
          </w:p>
        </w:tc>
        <w:tc>
          <w:tcPr>
            <w:tcW w:w="41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55D93B1">
            <w:pPr>
              <w:pStyle w:val="10"/>
              <w:bidi w:val="0"/>
              <w:jc w:val="center"/>
              <w:rPr>
                <w:rFonts w:hint="eastAsia"/>
                <w:color w:val="000000"/>
              </w:rPr>
            </w:pPr>
            <w:r>
              <w:rPr>
                <w:color w:val="000000"/>
              </w:rPr>
              <w:t>2440</w:t>
            </w:r>
          </w:p>
        </w:tc>
        <w:tc>
          <w:tcPr>
            <w:tcW w:w="35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EF76EC2">
            <w:pPr>
              <w:pStyle w:val="10"/>
              <w:bidi w:val="0"/>
              <w:jc w:val="center"/>
              <w:rPr>
                <w:rFonts w:hint="eastAsia"/>
                <w:color w:val="000000"/>
              </w:rPr>
            </w:pPr>
            <w:r>
              <w:rPr>
                <w:color w:val="000000"/>
              </w:rPr>
              <w:t>1412</w:t>
            </w:r>
          </w:p>
        </w:tc>
        <w:tc>
          <w:tcPr>
            <w:tcW w:w="45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1CC5669">
            <w:pPr>
              <w:pStyle w:val="10"/>
              <w:bidi w:val="0"/>
              <w:jc w:val="center"/>
              <w:rPr>
                <w:rFonts w:hint="eastAsia"/>
                <w:color w:val="000000"/>
              </w:rPr>
            </w:pPr>
            <w:r>
              <w:rPr>
                <w:rFonts w:hint="eastAsia"/>
                <w:color w:val="000000"/>
              </w:rPr>
              <w:t>2866</w:t>
            </w:r>
          </w:p>
        </w:tc>
        <w:tc>
          <w:tcPr>
            <w:tcW w:w="38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E56B146">
            <w:pPr>
              <w:pStyle w:val="10"/>
              <w:bidi w:val="0"/>
              <w:jc w:val="center"/>
              <w:rPr>
                <w:rFonts w:hint="eastAsia"/>
                <w:color w:val="000000"/>
              </w:rPr>
            </w:pPr>
            <w:r>
              <w:rPr>
                <w:rFonts w:hint="eastAsia"/>
                <w:color w:val="000000"/>
              </w:rPr>
              <w:t>1560</w:t>
            </w:r>
          </w:p>
        </w:tc>
        <w:tc>
          <w:tcPr>
            <w:tcW w:w="33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E13F31B">
            <w:pPr>
              <w:pStyle w:val="10"/>
              <w:bidi w:val="0"/>
              <w:jc w:val="center"/>
              <w:rPr>
                <w:rFonts w:hint="eastAsia"/>
                <w:color w:val="000000"/>
              </w:rPr>
            </w:pPr>
            <w:r>
              <w:rPr>
                <w:rFonts w:hint="eastAsia"/>
                <w:color w:val="000000"/>
              </w:rPr>
              <w:t>1306</w:t>
            </w:r>
          </w:p>
        </w:tc>
        <w:tc>
          <w:tcPr>
            <w:tcW w:w="49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BDF7BF5">
            <w:pPr>
              <w:pStyle w:val="10"/>
              <w:bidi w:val="0"/>
              <w:jc w:val="center"/>
              <w:rPr>
                <w:rFonts w:hint="eastAsia"/>
                <w:color w:val="000000"/>
              </w:rPr>
            </w:pPr>
            <w:r>
              <w:rPr>
                <w:color w:val="000000"/>
              </w:rPr>
              <w:t>3764</w:t>
            </w:r>
          </w:p>
        </w:tc>
        <w:tc>
          <w:tcPr>
            <w:tcW w:w="470" w:type="pct"/>
            <w:tcBorders>
              <w:top w:val="single" w:color="000000" w:sz="8" w:space="0"/>
              <w:left w:val="single" w:color="000000" w:sz="8" w:space="0"/>
              <w:bottom w:val="single" w:color="000000" w:sz="8" w:space="0"/>
              <w:right w:val="nil"/>
            </w:tcBorders>
            <w:shd w:val="clear" w:color="auto" w:fill="FFFFFF"/>
            <w:vAlign w:val="center"/>
          </w:tcPr>
          <w:p w14:paraId="754685AB">
            <w:pPr>
              <w:pStyle w:val="10"/>
              <w:bidi w:val="0"/>
              <w:jc w:val="center"/>
              <w:rPr>
                <w:rFonts w:hint="eastAsia"/>
                <w:color w:val="000000"/>
              </w:rPr>
            </w:pPr>
            <w:r>
              <w:rPr>
                <w:color w:val="000000"/>
              </w:rPr>
              <w:t>8342</w:t>
            </w:r>
          </w:p>
        </w:tc>
      </w:tr>
      <w:tr w14:paraId="5CB17D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 w:type="pct"/>
            <w:tcBorders>
              <w:top w:val="single" w:color="000000" w:sz="8" w:space="0"/>
              <w:left w:val="nil"/>
              <w:bottom w:val="single" w:color="000000" w:sz="8" w:space="0"/>
              <w:right w:val="single" w:color="000000" w:sz="8" w:space="0"/>
            </w:tcBorders>
            <w:shd w:val="clear" w:color="auto" w:fill="FFFFFF"/>
            <w:vAlign w:val="center"/>
          </w:tcPr>
          <w:p w14:paraId="286FD5C5">
            <w:pPr>
              <w:pStyle w:val="10"/>
              <w:bidi w:val="0"/>
              <w:jc w:val="center"/>
              <w:rPr>
                <w:rFonts w:hint="eastAsia"/>
                <w:color w:val="000000"/>
              </w:rPr>
            </w:pPr>
            <w:r>
              <w:rPr>
                <w:rFonts w:hint="eastAsia"/>
                <w:color w:val="000000"/>
              </w:rPr>
              <w:t>响联</w:t>
            </w:r>
          </w:p>
        </w:tc>
        <w:tc>
          <w:tcPr>
            <w:tcW w:w="72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2A303FA">
            <w:pPr>
              <w:pStyle w:val="10"/>
              <w:bidi w:val="0"/>
              <w:jc w:val="center"/>
              <w:rPr>
                <w:rFonts w:hint="eastAsia"/>
                <w:color w:val="000000"/>
              </w:rPr>
            </w:pPr>
            <w:r>
              <w:rPr>
                <w:rFonts w:hint="eastAsia"/>
                <w:color w:val="000000"/>
              </w:rPr>
              <w:t>3.91</w:t>
            </w:r>
          </w:p>
        </w:tc>
        <w:tc>
          <w:tcPr>
            <w:tcW w:w="45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5FD1011">
            <w:pPr>
              <w:pStyle w:val="10"/>
              <w:bidi w:val="0"/>
              <w:jc w:val="center"/>
              <w:rPr>
                <w:rFonts w:hint="eastAsia"/>
                <w:color w:val="000000"/>
              </w:rPr>
            </w:pPr>
            <w:r>
              <w:rPr>
                <w:rFonts w:hint="eastAsia"/>
                <w:color w:val="000000"/>
              </w:rPr>
              <w:t>8</w:t>
            </w:r>
          </w:p>
        </w:tc>
        <w:tc>
          <w:tcPr>
            <w:tcW w:w="40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BA3A766">
            <w:pPr>
              <w:pStyle w:val="10"/>
              <w:bidi w:val="0"/>
              <w:jc w:val="center"/>
              <w:rPr>
                <w:rFonts w:hint="eastAsia"/>
                <w:color w:val="000000"/>
              </w:rPr>
            </w:pPr>
            <w:r>
              <w:rPr>
                <w:color w:val="000000"/>
              </w:rPr>
              <w:t>307</w:t>
            </w:r>
          </w:p>
        </w:tc>
        <w:tc>
          <w:tcPr>
            <w:tcW w:w="41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2D435AD">
            <w:pPr>
              <w:pStyle w:val="10"/>
              <w:bidi w:val="0"/>
              <w:jc w:val="center"/>
              <w:rPr>
                <w:rFonts w:hint="eastAsia"/>
                <w:color w:val="000000"/>
              </w:rPr>
            </w:pPr>
            <w:r>
              <w:rPr>
                <w:color w:val="000000"/>
              </w:rPr>
              <w:t>1260</w:t>
            </w:r>
          </w:p>
        </w:tc>
        <w:tc>
          <w:tcPr>
            <w:tcW w:w="35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AF8F859">
            <w:pPr>
              <w:pStyle w:val="10"/>
              <w:bidi w:val="0"/>
              <w:jc w:val="center"/>
              <w:rPr>
                <w:rFonts w:hint="eastAsia"/>
                <w:color w:val="000000"/>
              </w:rPr>
            </w:pPr>
            <w:r>
              <w:rPr>
                <w:color w:val="000000"/>
              </w:rPr>
              <w:t>824</w:t>
            </w:r>
          </w:p>
        </w:tc>
        <w:tc>
          <w:tcPr>
            <w:tcW w:w="45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8454168">
            <w:pPr>
              <w:pStyle w:val="10"/>
              <w:bidi w:val="0"/>
              <w:jc w:val="center"/>
              <w:rPr>
                <w:rFonts w:hint="eastAsia"/>
                <w:color w:val="000000"/>
              </w:rPr>
            </w:pPr>
            <w:r>
              <w:rPr>
                <w:rFonts w:hint="eastAsia"/>
                <w:color w:val="000000"/>
              </w:rPr>
              <w:t>1785</w:t>
            </w:r>
          </w:p>
        </w:tc>
        <w:tc>
          <w:tcPr>
            <w:tcW w:w="38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7D89308">
            <w:pPr>
              <w:pStyle w:val="10"/>
              <w:bidi w:val="0"/>
              <w:jc w:val="center"/>
              <w:rPr>
                <w:rFonts w:hint="eastAsia"/>
                <w:color w:val="000000"/>
              </w:rPr>
            </w:pPr>
            <w:r>
              <w:rPr>
                <w:rFonts w:hint="eastAsia"/>
                <w:color w:val="000000"/>
              </w:rPr>
              <w:t>853</w:t>
            </w:r>
          </w:p>
        </w:tc>
        <w:tc>
          <w:tcPr>
            <w:tcW w:w="33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5331BC6">
            <w:pPr>
              <w:pStyle w:val="10"/>
              <w:bidi w:val="0"/>
              <w:jc w:val="center"/>
              <w:rPr>
                <w:rFonts w:hint="eastAsia"/>
                <w:color w:val="000000"/>
              </w:rPr>
            </w:pPr>
            <w:r>
              <w:rPr>
                <w:rFonts w:hint="eastAsia"/>
                <w:color w:val="000000"/>
              </w:rPr>
              <w:t>932</w:t>
            </w:r>
          </w:p>
        </w:tc>
        <w:tc>
          <w:tcPr>
            <w:tcW w:w="49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B407A0B">
            <w:pPr>
              <w:pStyle w:val="10"/>
              <w:bidi w:val="0"/>
              <w:jc w:val="center"/>
              <w:rPr>
                <w:rFonts w:hint="eastAsia"/>
                <w:color w:val="000000"/>
              </w:rPr>
            </w:pPr>
            <w:r>
              <w:rPr>
                <w:color w:val="000000"/>
              </w:rPr>
              <w:t>1938</w:t>
            </w:r>
          </w:p>
        </w:tc>
        <w:tc>
          <w:tcPr>
            <w:tcW w:w="470" w:type="pct"/>
            <w:tcBorders>
              <w:top w:val="single" w:color="000000" w:sz="8" w:space="0"/>
              <w:left w:val="single" w:color="000000" w:sz="8" w:space="0"/>
              <w:bottom w:val="single" w:color="000000" w:sz="8" w:space="0"/>
              <w:right w:val="nil"/>
            </w:tcBorders>
            <w:shd w:val="clear" w:color="auto" w:fill="FFFFFF"/>
            <w:vAlign w:val="center"/>
          </w:tcPr>
          <w:p w14:paraId="0DA8B8DE">
            <w:pPr>
              <w:pStyle w:val="10"/>
              <w:bidi w:val="0"/>
              <w:jc w:val="center"/>
              <w:rPr>
                <w:rFonts w:hint="eastAsia"/>
                <w:color w:val="000000"/>
              </w:rPr>
            </w:pPr>
            <w:r>
              <w:rPr>
                <w:color w:val="000000"/>
              </w:rPr>
              <w:t>8040</w:t>
            </w:r>
          </w:p>
        </w:tc>
      </w:tr>
      <w:tr w14:paraId="576BBB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 w:type="pct"/>
            <w:tcBorders>
              <w:top w:val="single" w:color="000000" w:sz="8" w:space="0"/>
              <w:left w:val="nil"/>
              <w:bottom w:val="single" w:color="000000" w:sz="8" w:space="0"/>
              <w:right w:val="single" w:color="000000" w:sz="8" w:space="0"/>
            </w:tcBorders>
            <w:shd w:val="clear" w:color="auto" w:fill="FFFFFF"/>
            <w:vAlign w:val="center"/>
          </w:tcPr>
          <w:p w14:paraId="159C9FEC">
            <w:pPr>
              <w:pStyle w:val="10"/>
              <w:bidi w:val="0"/>
              <w:jc w:val="center"/>
              <w:rPr>
                <w:rFonts w:hint="eastAsia"/>
                <w:color w:val="000000"/>
              </w:rPr>
            </w:pPr>
            <w:r>
              <w:rPr>
                <w:rFonts w:hint="eastAsia"/>
                <w:color w:val="000000"/>
              </w:rPr>
              <w:t>龙迳</w:t>
            </w:r>
          </w:p>
        </w:tc>
        <w:tc>
          <w:tcPr>
            <w:tcW w:w="72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E808A26">
            <w:pPr>
              <w:pStyle w:val="10"/>
              <w:bidi w:val="0"/>
              <w:jc w:val="center"/>
              <w:rPr>
                <w:rFonts w:hint="eastAsia"/>
                <w:color w:val="000000"/>
              </w:rPr>
            </w:pPr>
            <w:r>
              <w:rPr>
                <w:rFonts w:hint="eastAsia"/>
                <w:color w:val="000000"/>
              </w:rPr>
              <w:t>3.8</w:t>
            </w:r>
          </w:p>
        </w:tc>
        <w:tc>
          <w:tcPr>
            <w:tcW w:w="45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BE940D0">
            <w:pPr>
              <w:pStyle w:val="10"/>
              <w:bidi w:val="0"/>
              <w:jc w:val="center"/>
              <w:rPr>
                <w:rFonts w:hint="eastAsia"/>
                <w:color w:val="000000"/>
              </w:rPr>
            </w:pPr>
            <w:r>
              <w:rPr>
                <w:rFonts w:hint="eastAsia"/>
                <w:color w:val="000000"/>
              </w:rPr>
              <w:t>5</w:t>
            </w:r>
          </w:p>
        </w:tc>
        <w:tc>
          <w:tcPr>
            <w:tcW w:w="40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6127260">
            <w:pPr>
              <w:pStyle w:val="10"/>
              <w:bidi w:val="0"/>
              <w:jc w:val="center"/>
              <w:rPr>
                <w:rFonts w:hint="eastAsia"/>
                <w:color w:val="000000"/>
              </w:rPr>
            </w:pPr>
            <w:r>
              <w:rPr>
                <w:color w:val="000000"/>
              </w:rPr>
              <w:t>387</w:t>
            </w:r>
          </w:p>
        </w:tc>
        <w:tc>
          <w:tcPr>
            <w:tcW w:w="41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5AB1B33">
            <w:pPr>
              <w:pStyle w:val="10"/>
              <w:bidi w:val="0"/>
              <w:jc w:val="center"/>
              <w:rPr>
                <w:rFonts w:hint="eastAsia"/>
                <w:color w:val="000000"/>
              </w:rPr>
            </w:pPr>
            <w:r>
              <w:rPr>
                <w:color w:val="000000"/>
              </w:rPr>
              <w:t>1372</w:t>
            </w:r>
          </w:p>
        </w:tc>
        <w:tc>
          <w:tcPr>
            <w:tcW w:w="35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7D2F400">
            <w:pPr>
              <w:pStyle w:val="10"/>
              <w:bidi w:val="0"/>
              <w:jc w:val="center"/>
              <w:rPr>
                <w:rFonts w:hint="eastAsia"/>
                <w:color w:val="000000"/>
              </w:rPr>
            </w:pPr>
            <w:r>
              <w:rPr>
                <w:color w:val="000000"/>
              </w:rPr>
              <w:t>760</w:t>
            </w:r>
          </w:p>
        </w:tc>
        <w:tc>
          <w:tcPr>
            <w:tcW w:w="45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7117BB8">
            <w:pPr>
              <w:pStyle w:val="10"/>
              <w:bidi w:val="0"/>
              <w:jc w:val="center"/>
              <w:rPr>
                <w:rFonts w:hint="eastAsia"/>
                <w:color w:val="000000"/>
              </w:rPr>
            </w:pPr>
            <w:r>
              <w:rPr>
                <w:rFonts w:hint="eastAsia"/>
                <w:color w:val="000000"/>
              </w:rPr>
              <w:t>1991</w:t>
            </w:r>
          </w:p>
        </w:tc>
        <w:tc>
          <w:tcPr>
            <w:tcW w:w="38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8924945">
            <w:pPr>
              <w:pStyle w:val="10"/>
              <w:bidi w:val="0"/>
              <w:jc w:val="center"/>
              <w:rPr>
                <w:rFonts w:hint="eastAsia"/>
                <w:color w:val="000000"/>
              </w:rPr>
            </w:pPr>
            <w:r>
              <w:rPr>
                <w:rFonts w:hint="eastAsia"/>
                <w:color w:val="000000"/>
              </w:rPr>
              <w:t>957</w:t>
            </w:r>
          </w:p>
        </w:tc>
        <w:tc>
          <w:tcPr>
            <w:tcW w:w="33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F94C042">
            <w:pPr>
              <w:pStyle w:val="10"/>
              <w:bidi w:val="0"/>
              <w:jc w:val="center"/>
              <w:rPr>
                <w:rFonts w:hint="eastAsia"/>
                <w:color w:val="000000"/>
              </w:rPr>
            </w:pPr>
            <w:r>
              <w:rPr>
                <w:rFonts w:hint="eastAsia"/>
                <w:color w:val="000000"/>
              </w:rPr>
              <w:t>1034</w:t>
            </w:r>
          </w:p>
        </w:tc>
        <w:tc>
          <w:tcPr>
            <w:tcW w:w="49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81AE522">
            <w:pPr>
              <w:pStyle w:val="10"/>
              <w:bidi w:val="0"/>
              <w:jc w:val="center"/>
              <w:rPr>
                <w:rFonts w:hint="eastAsia"/>
                <w:color w:val="000000"/>
              </w:rPr>
            </w:pPr>
            <w:r>
              <w:rPr>
                <w:color w:val="000000"/>
              </w:rPr>
              <w:t>2072</w:t>
            </w:r>
          </w:p>
        </w:tc>
        <w:tc>
          <w:tcPr>
            <w:tcW w:w="470" w:type="pct"/>
            <w:tcBorders>
              <w:top w:val="single" w:color="000000" w:sz="8" w:space="0"/>
              <w:left w:val="single" w:color="000000" w:sz="8" w:space="0"/>
              <w:bottom w:val="single" w:color="000000" w:sz="8" w:space="0"/>
              <w:right w:val="nil"/>
            </w:tcBorders>
            <w:shd w:val="clear" w:color="auto" w:fill="FFFFFF"/>
            <w:vAlign w:val="center"/>
          </w:tcPr>
          <w:p w14:paraId="31736BD6">
            <w:pPr>
              <w:pStyle w:val="10"/>
              <w:bidi w:val="0"/>
              <w:jc w:val="center"/>
              <w:rPr>
                <w:rFonts w:hint="eastAsia"/>
                <w:color w:val="000000"/>
              </w:rPr>
            </w:pPr>
            <w:r>
              <w:rPr>
                <w:color w:val="000000"/>
              </w:rPr>
              <w:t>8313</w:t>
            </w:r>
          </w:p>
        </w:tc>
      </w:tr>
      <w:tr w14:paraId="5B55B5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 w:type="pct"/>
            <w:tcBorders>
              <w:top w:val="single" w:color="000000" w:sz="8" w:space="0"/>
              <w:left w:val="nil"/>
              <w:bottom w:val="single" w:color="000000" w:sz="8" w:space="0"/>
              <w:right w:val="single" w:color="000000" w:sz="8" w:space="0"/>
            </w:tcBorders>
            <w:shd w:val="clear" w:color="auto" w:fill="FFFFFF"/>
            <w:vAlign w:val="center"/>
          </w:tcPr>
          <w:p w14:paraId="65D14941">
            <w:pPr>
              <w:pStyle w:val="10"/>
              <w:bidi w:val="0"/>
              <w:jc w:val="center"/>
              <w:rPr>
                <w:rFonts w:hint="eastAsia"/>
                <w:color w:val="000000"/>
              </w:rPr>
            </w:pPr>
            <w:r>
              <w:rPr>
                <w:rFonts w:hint="eastAsia"/>
                <w:color w:val="000000"/>
              </w:rPr>
              <w:t>黄塘</w:t>
            </w:r>
          </w:p>
        </w:tc>
        <w:tc>
          <w:tcPr>
            <w:tcW w:w="72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1ADA345">
            <w:pPr>
              <w:pStyle w:val="10"/>
              <w:bidi w:val="0"/>
              <w:jc w:val="center"/>
              <w:rPr>
                <w:rFonts w:hint="eastAsia"/>
                <w:color w:val="000000"/>
              </w:rPr>
            </w:pPr>
            <w:r>
              <w:rPr>
                <w:rFonts w:hint="eastAsia"/>
                <w:color w:val="000000"/>
              </w:rPr>
              <w:t>4.96</w:t>
            </w:r>
          </w:p>
        </w:tc>
        <w:tc>
          <w:tcPr>
            <w:tcW w:w="45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BBD62E8">
            <w:pPr>
              <w:pStyle w:val="10"/>
              <w:bidi w:val="0"/>
              <w:jc w:val="center"/>
              <w:rPr>
                <w:rFonts w:hint="eastAsia"/>
                <w:color w:val="000000"/>
              </w:rPr>
            </w:pPr>
            <w:r>
              <w:rPr>
                <w:rFonts w:hint="eastAsia"/>
                <w:color w:val="000000"/>
              </w:rPr>
              <w:t>10</w:t>
            </w:r>
          </w:p>
        </w:tc>
        <w:tc>
          <w:tcPr>
            <w:tcW w:w="40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1FFF11B">
            <w:pPr>
              <w:pStyle w:val="10"/>
              <w:bidi w:val="0"/>
              <w:jc w:val="center"/>
              <w:rPr>
                <w:rFonts w:hint="eastAsia"/>
                <w:color w:val="000000"/>
              </w:rPr>
            </w:pPr>
            <w:r>
              <w:rPr>
                <w:color w:val="000000"/>
              </w:rPr>
              <w:t>616</w:t>
            </w:r>
          </w:p>
        </w:tc>
        <w:tc>
          <w:tcPr>
            <w:tcW w:w="41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06AB92D">
            <w:pPr>
              <w:pStyle w:val="10"/>
              <w:bidi w:val="0"/>
              <w:jc w:val="center"/>
              <w:rPr>
                <w:rFonts w:hint="eastAsia"/>
                <w:color w:val="000000"/>
              </w:rPr>
            </w:pPr>
            <w:r>
              <w:rPr>
                <w:color w:val="000000"/>
              </w:rPr>
              <w:t>2618</w:t>
            </w:r>
          </w:p>
        </w:tc>
        <w:tc>
          <w:tcPr>
            <w:tcW w:w="35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64DF46D">
            <w:pPr>
              <w:pStyle w:val="10"/>
              <w:bidi w:val="0"/>
              <w:jc w:val="center"/>
              <w:rPr>
                <w:rFonts w:hint="eastAsia"/>
                <w:color w:val="000000"/>
              </w:rPr>
            </w:pPr>
            <w:r>
              <w:rPr>
                <w:color w:val="000000"/>
              </w:rPr>
              <w:t>1503</w:t>
            </w:r>
          </w:p>
        </w:tc>
        <w:tc>
          <w:tcPr>
            <w:tcW w:w="45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D5F87FD">
            <w:pPr>
              <w:pStyle w:val="10"/>
              <w:bidi w:val="0"/>
              <w:jc w:val="center"/>
              <w:rPr>
                <w:rFonts w:hint="eastAsia"/>
                <w:color w:val="000000"/>
              </w:rPr>
            </w:pPr>
            <w:r>
              <w:rPr>
                <w:rFonts w:hint="eastAsia"/>
                <w:color w:val="000000"/>
              </w:rPr>
              <w:t>3396</w:t>
            </w:r>
          </w:p>
        </w:tc>
        <w:tc>
          <w:tcPr>
            <w:tcW w:w="38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913EC68">
            <w:pPr>
              <w:pStyle w:val="10"/>
              <w:bidi w:val="0"/>
              <w:jc w:val="center"/>
              <w:rPr>
                <w:rFonts w:hint="eastAsia"/>
                <w:color w:val="000000"/>
              </w:rPr>
            </w:pPr>
            <w:r>
              <w:rPr>
                <w:rFonts w:hint="eastAsia"/>
                <w:color w:val="000000"/>
              </w:rPr>
              <w:t>1140</w:t>
            </w:r>
          </w:p>
        </w:tc>
        <w:tc>
          <w:tcPr>
            <w:tcW w:w="33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045C44C">
            <w:pPr>
              <w:pStyle w:val="10"/>
              <w:bidi w:val="0"/>
              <w:jc w:val="center"/>
              <w:rPr>
                <w:rFonts w:hint="eastAsia"/>
                <w:color w:val="000000"/>
              </w:rPr>
            </w:pPr>
            <w:r>
              <w:rPr>
                <w:rFonts w:hint="eastAsia"/>
                <w:color w:val="000000"/>
              </w:rPr>
              <w:t>2256</w:t>
            </w:r>
          </w:p>
        </w:tc>
        <w:tc>
          <w:tcPr>
            <w:tcW w:w="49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10254C3">
            <w:pPr>
              <w:pStyle w:val="10"/>
              <w:bidi w:val="0"/>
              <w:jc w:val="center"/>
              <w:rPr>
                <w:rFonts w:hint="eastAsia"/>
                <w:color w:val="000000"/>
              </w:rPr>
            </w:pPr>
            <w:r>
              <w:rPr>
                <w:color w:val="000000"/>
              </w:rPr>
              <w:t>4102</w:t>
            </w:r>
          </w:p>
        </w:tc>
        <w:tc>
          <w:tcPr>
            <w:tcW w:w="470" w:type="pct"/>
            <w:tcBorders>
              <w:top w:val="single" w:color="000000" w:sz="8" w:space="0"/>
              <w:left w:val="single" w:color="000000" w:sz="8" w:space="0"/>
              <w:bottom w:val="single" w:color="000000" w:sz="8" w:space="0"/>
              <w:right w:val="nil"/>
            </w:tcBorders>
            <w:shd w:val="clear" w:color="auto" w:fill="FFFFFF"/>
            <w:vAlign w:val="center"/>
          </w:tcPr>
          <w:p w14:paraId="3BB3A635">
            <w:pPr>
              <w:pStyle w:val="10"/>
              <w:bidi w:val="0"/>
              <w:jc w:val="center"/>
              <w:rPr>
                <w:rFonts w:hint="eastAsia"/>
                <w:color w:val="000000"/>
              </w:rPr>
            </w:pPr>
            <w:r>
              <w:rPr>
                <w:color w:val="000000"/>
              </w:rPr>
              <w:t>8333</w:t>
            </w:r>
          </w:p>
        </w:tc>
      </w:tr>
      <w:tr w14:paraId="40C063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 w:type="pct"/>
            <w:tcBorders>
              <w:top w:val="single" w:color="000000" w:sz="8" w:space="0"/>
              <w:left w:val="nil"/>
              <w:bottom w:val="single" w:color="000000" w:sz="8" w:space="0"/>
              <w:right w:val="single" w:color="000000" w:sz="8" w:space="0"/>
            </w:tcBorders>
            <w:shd w:val="clear" w:color="auto" w:fill="FFFFFF"/>
            <w:vAlign w:val="center"/>
          </w:tcPr>
          <w:p w14:paraId="290B3594">
            <w:pPr>
              <w:pStyle w:val="10"/>
              <w:bidi w:val="0"/>
              <w:jc w:val="center"/>
              <w:rPr>
                <w:rFonts w:hint="eastAsia"/>
                <w:color w:val="000000"/>
              </w:rPr>
            </w:pPr>
            <w:r>
              <w:rPr>
                <w:rFonts w:hint="eastAsia"/>
                <w:color w:val="000000"/>
              </w:rPr>
              <w:t>官门楼</w:t>
            </w:r>
          </w:p>
        </w:tc>
        <w:tc>
          <w:tcPr>
            <w:tcW w:w="72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B7A424B">
            <w:pPr>
              <w:pStyle w:val="10"/>
              <w:bidi w:val="0"/>
              <w:jc w:val="center"/>
              <w:rPr>
                <w:rFonts w:hint="eastAsia"/>
                <w:color w:val="000000"/>
              </w:rPr>
            </w:pPr>
            <w:r>
              <w:rPr>
                <w:rFonts w:hint="eastAsia"/>
                <w:color w:val="000000"/>
              </w:rPr>
              <w:t>3.1</w:t>
            </w:r>
          </w:p>
        </w:tc>
        <w:tc>
          <w:tcPr>
            <w:tcW w:w="45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2146FC5">
            <w:pPr>
              <w:pStyle w:val="10"/>
              <w:bidi w:val="0"/>
              <w:jc w:val="center"/>
              <w:rPr>
                <w:rFonts w:hint="eastAsia"/>
                <w:color w:val="000000"/>
              </w:rPr>
            </w:pPr>
            <w:r>
              <w:rPr>
                <w:rFonts w:hint="eastAsia"/>
                <w:color w:val="000000"/>
              </w:rPr>
              <w:t>7</w:t>
            </w:r>
          </w:p>
        </w:tc>
        <w:tc>
          <w:tcPr>
            <w:tcW w:w="40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FD2A22B">
            <w:pPr>
              <w:pStyle w:val="10"/>
              <w:bidi w:val="0"/>
              <w:jc w:val="center"/>
              <w:rPr>
                <w:rFonts w:hint="eastAsia"/>
                <w:color w:val="000000"/>
              </w:rPr>
            </w:pPr>
            <w:r>
              <w:rPr>
                <w:color w:val="000000"/>
              </w:rPr>
              <w:t>443</w:t>
            </w:r>
          </w:p>
        </w:tc>
        <w:tc>
          <w:tcPr>
            <w:tcW w:w="41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BC65CAE">
            <w:pPr>
              <w:pStyle w:val="10"/>
              <w:bidi w:val="0"/>
              <w:jc w:val="center"/>
              <w:rPr>
                <w:rFonts w:hint="eastAsia"/>
                <w:color w:val="000000"/>
              </w:rPr>
            </w:pPr>
            <w:r>
              <w:rPr>
                <w:color w:val="000000"/>
              </w:rPr>
              <w:t>1525</w:t>
            </w:r>
          </w:p>
        </w:tc>
        <w:tc>
          <w:tcPr>
            <w:tcW w:w="35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F4ECC40">
            <w:pPr>
              <w:pStyle w:val="10"/>
              <w:bidi w:val="0"/>
              <w:jc w:val="center"/>
              <w:rPr>
                <w:rFonts w:hint="eastAsia"/>
                <w:color w:val="000000"/>
              </w:rPr>
            </w:pPr>
            <w:r>
              <w:rPr>
                <w:color w:val="000000"/>
              </w:rPr>
              <w:t>773</w:t>
            </w:r>
          </w:p>
        </w:tc>
        <w:tc>
          <w:tcPr>
            <w:tcW w:w="45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CF5353B">
            <w:pPr>
              <w:pStyle w:val="10"/>
              <w:bidi w:val="0"/>
              <w:jc w:val="center"/>
              <w:rPr>
                <w:rFonts w:hint="eastAsia"/>
                <w:color w:val="000000"/>
              </w:rPr>
            </w:pPr>
            <w:r>
              <w:rPr>
                <w:rFonts w:hint="eastAsia"/>
                <w:color w:val="000000"/>
              </w:rPr>
              <w:t>1943</w:t>
            </w:r>
          </w:p>
        </w:tc>
        <w:tc>
          <w:tcPr>
            <w:tcW w:w="38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4CDB2E1">
            <w:pPr>
              <w:pStyle w:val="10"/>
              <w:bidi w:val="0"/>
              <w:jc w:val="center"/>
              <w:rPr>
                <w:rFonts w:hint="eastAsia"/>
                <w:color w:val="000000"/>
              </w:rPr>
            </w:pPr>
            <w:r>
              <w:rPr>
                <w:rFonts w:hint="eastAsia"/>
                <w:color w:val="000000"/>
              </w:rPr>
              <w:t>1101</w:t>
            </w:r>
          </w:p>
        </w:tc>
        <w:tc>
          <w:tcPr>
            <w:tcW w:w="33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E305710">
            <w:pPr>
              <w:pStyle w:val="10"/>
              <w:bidi w:val="0"/>
              <w:jc w:val="center"/>
              <w:rPr>
                <w:rFonts w:hint="eastAsia"/>
                <w:color w:val="000000"/>
              </w:rPr>
            </w:pPr>
            <w:r>
              <w:rPr>
                <w:rFonts w:hint="eastAsia"/>
                <w:color w:val="000000"/>
              </w:rPr>
              <w:t>842</w:t>
            </w:r>
          </w:p>
        </w:tc>
        <w:tc>
          <w:tcPr>
            <w:tcW w:w="49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D68F3E1">
            <w:pPr>
              <w:pStyle w:val="10"/>
              <w:bidi w:val="0"/>
              <w:jc w:val="center"/>
              <w:rPr>
                <w:rFonts w:hint="eastAsia"/>
                <w:color w:val="000000"/>
              </w:rPr>
            </w:pPr>
            <w:r>
              <w:rPr>
                <w:color w:val="000000"/>
              </w:rPr>
              <w:t>2413</w:t>
            </w:r>
          </w:p>
        </w:tc>
        <w:tc>
          <w:tcPr>
            <w:tcW w:w="470" w:type="pct"/>
            <w:tcBorders>
              <w:top w:val="single" w:color="000000" w:sz="8" w:space="0"/>
              <w:left w:val="single" w:color="000000" w:sz="8" w:space="0"/>
              <w:bottom w:val="single" w:color="000000" w:sz="8" w:space="0"/>
              <w:right w:val="nil"/>
            </w:tcBorders>
            <w:shd w:val="clear" w:color="auto" w:fill="FFFFFF"/>
            <w:vAlign w:val="center"/>
          </w:tcPr>
          <w:p w14:paraId="2C6FDB0E">
            <w:pPr>
              <w:pStyle w:val="10"/>
              <w:bidi w:val="0"/>
              <w:jc w:val="center"/>
              <w:rPr>
                <w:rFonts w:hint="eastAsia"/>
                <w:color w:val="000000"/>
              </w:rPr>
            </w:pPr>
            <w:r>
              <w:rPr>
                <w:color w:val="000000"/>
              </w:rPr>
              <w:t>8277</w:t>
            </w:r>
          </w:p>
        </w:tc>
      </w:tr>
      <w:tr w14:paraId="342E24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 w:type="pct"/>
            <w:tcBorders>
              <w:top w:val="single" w:color="000000" w:sz="8" w:space="0"/>
              <w:left w:val="nil"/>
              <w:bottom w:val="single" w:color="000000" w:sz="8" w:space="0"/>
              <w:right w:val="single" w:color="000000" w:sz="8" w:space="0"/>
            </w:tcBorders>
            <w:shd w:val="clear" w:color="auto" w:fill="FFFFFF"/>
            <w:vAlign w:val="center"/>
          </w:tcPr>
          <w:p w14:paraId="40D7B4A6">
            <w:pPr>
              <w:pStyle w:val="10"/>
              <w:bidi w:val="0"/>
              <w:jc w:val="center"/>
              <w:rPr>
                <w:rFonts w:hint="eastAsia"/>
                <w:color w:val="000000"/>
              </w:rPr>
            </w:pPr>
            <w:r>
              <w:rPr>
                <w:rFonts w:hint="eastAsia"/>
                <w:color w:val="000000"/>
              </w:rPr>
              <w:t>孔塘</w:t>
            </w:r>
          </w:p>
        </w:tc>
        <w:tc>
          <w:tcPr>
            <w:tcW w:w="72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1C11F82">
            <w:pPr>
              <w:pStyle w:val="10"/>
              <w:bidi w:val="0"/>
              <w:jc w:val="center"/>
              <w:rPr>
                <w:rFonts w:hint="eastAsia"/>
                <w:color w:val="000000"/>
              </w:rPr>
            </w:pPr>
            <w:r>
              <w:rPr>
                <w:rFonts w:hint="eastAsia"/>
                <w:color w:val="000000"/>
              </w:rPr>
              <w:t>10.26</w:t>
            </w:r>
          </w:p>
        </w:tc>
        <w:tc>
          <w:tcPr>
            <w:tcW w:w="45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0D2F8B8">
            <w:pPr>
              <w:pStyle w:val="10"/>
              <w:bidi w:val="0"/>
              <w:jc w:val="center"/>
              <w:rPr>
                <w:rFonts w:hint="eastAsia"/>
                <w:color w:val="000000"/>
              </w:rPr>
            </w:pPr>
            <w:r>
              <w:rPr>
                <w:rFonts w:hint="eastAsia"/>
                <w:color w:val="000000"/>
              </w:rPr>
              <w:t>12</w:t>
            </w:r>
          </w:p>
        </w:tc>
        <w:tc>
          <w:tcPr>
            <w:tcW w:w="40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10CA252">
            <w:pPr>
              <w:pStyle w:val="10"/>
              <w:bidi w:val="0"/>
              <w:jc w:val="center"/>
              <w:rPr>
                <w:rFonts w:hint="eastAsia"/>
                <w:color w:val="000000"/>
              </w:rPr>
            </w:pPr>
            <w:r>
              <w:rPr>
                <w:color w:val="000000"/>
              </w:rPr>
              <w:t>516</w:t>
            </w:r>
          </w:p>
        </w:tc>
        <w:tc>
          <w:tcPr>
            <w:tcW w:w="41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8325AFD">
            <w:pPr>
              <w:pStyle w:val="10"/>
              <w:bidi w:val="0"/>
              <w:jc w:val="center"/>
              <w:rPr>
                <w:rFonts w:hint="eastAsia"/>
                <w:color w:val="000000"/>
              </w:rPr>
            </w:pPr>
            <w:r>
              <w:rPr>
                <w:color w:val="000000"/>
              </w:rPr>
              <w:t>2268</w:t>
            </w:r>
          </w:p>
        </w:tc>
        <w:tc>
          <w:tcPr>
            <w:tcW w:w="35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5F56DF5">
            <w:pPr>
              <w:pStyle w:val="10"/>
              <w:bidi w:val="0"/>
              <w:jc w:val="center"/>
              <w:rPr>
                <w:rFonts w:hint="eastAsia"/>
                <w:color w:val="000000"/>
              </w:rPr>
            </w:pPr>
            <w:r>
              <w:rPr>
                <w:color w:val="000000"/>
              </w:rPr>
              <w:t>1329</w:t>
            </w:r>
          </w:p>
        </w:tc>
        <w:tc>
          <w:tcPr>
            <w:tcW w:w="45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A92ED47">
            <w:pPr>
              <w:pStyle w:val="10"/>
              <w:bidi w:val="0"/>
              <w:jc w:val="center"/>
              <w:rPr>
                <w:rFonts w:hint="eastAsia"/>
                <w:color w:val="000000"/>
              </w:rPr>
            </w:pPr>
            <w:r>
              <w:rPr>
                <w:rFonts w:hint="eastAsia"/>
                <w:color w:val="000000"/>
              </w:rPr>
              <w:t>2197</w:t>
            </w:r>
          </w:p>
        </w:tc>
        <w:tc>
          <w:tcPr>
            <w:tcW w:w="38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47D9BAF">
            <w:pPr>
              <w:pStyle w:val="10"/>
              <w:bidi w:val="0"/>
              <w:jc w:val="center"/>
              <w:rPr>
                <w:rFonts w:hint="eastAsia"/>
                <w:color w:val="000000"/>
              </w:rPr>
            </w:pPr>
            <w:r>
              <w:rPr>
                <w:rFonts w:hint="eastAsia"/>
                <w:color w:val="000000"/>
              </w:rPr>
              <w:t>1933</w:t>
            </w:r>
          </w:p>
        </w:tc>
        <w:tc>
          <w:tcPr>
            <w:tcW w:w="33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5BC6E8E">
            <w:pPr>
              <w:pStyle w:val="10"/>
              <w:bidi w:val="0"/>
              <w:jc w:val="center"/>
              <w:rPr>
                <w:rFonts w:hint="eastAsia"/>
                <w:color w:val="000000"/>
              </w:rPr>
            </w:pPr>
            <w:r>
              <w:rPr>
                <w:rFonts w:hint="eastAsia"/>
                <w:color w:val="000000"/>
              </w:rPr>
              <w:t>264</w:t>
            </w:r>
          </w:p>
        </w:tc>
        <w:tc>
          <w:tcPr>
            <w:tcW w:w="49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846CBE4">
            <w:pPr>
              <w:pStyle w:val="10"/>
              <w:bidi w:val="0"/>
              <w:jc w:val="center"/>
              <w:rPr>
                <w:rFonts w:hint="eastAsia"/>
                <w:color w:val="000000"/>
              </w:rPr>
            </w:pPr>
            <w:r>
              <w:rPr>
                <w:color w:val="000000"/>
              </w:rPr>
              <w:t>3652</w:t>
            </w:r>
          </w:p>
        </w:tc>
        <w:tc>
          <w:tcPr>
            <w:tcW w:w="470" w:type="pct"/>
            <w:tcBorders>
              <w:top w:val="single" w:color="000000" w:sz="8" w:space="0"/>
              <w:left w:val="single" w:color="000000" w:sz="8" w:space="0"/>
              <w:bottom w:val="single" w:color="000000" w:sz="8" w:space="0"/>
              <w:right w:val="nil"/>
            </w:tcBorders>
            <w:shd w:val="clear" w:color="auto" w:fill="FFFFFF"/>
            <w:vAlign w:val="center"/>
          </w:tcPr>
          <w:p w14:paraId="0AD58566">
            <w:pPr>
              <w:pStyle w:val="10"/>
              <w:bidi w:val="0"/>
              <w:jc w:val="center"/>
              <w:rPr>
                <w:rFonts w:hint="eastAsia"/>
                <w:color w:val="000000"/>
              </w:rPr>
            </w:pPr>
            <w:r>
              <w:rPr>
                <w:color w:val="000000"/>
              </w:rPr>
              <w:t>8212</w:t>
            </w:r>
          </w:p>
        </w:tc>
      </w:tr>
      <w:tr w14:paraId="03310F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 w:type="pct"/>
            <w:tcBorders>
              <w:top w:val="single" w:color="000000" w:sz="8" w:space="0"/>
              <w:left w:val="nil"/>
              <w:bottom w:val="single" w:color="000000" w:sz="8" w:space="0"/>
              <w:right w:val="single" w:color="000000" w:sz="8" w:space="0"/>
            </w:tcBorders>
            <w:shd w:val="clear" w:color="auto" w:fill="FFFFFF"/>
            <w:vAlign w:val="center"/>
          </w:tcPr>
          <w:p w14:paraId="1E734B0B">
            <w:pPr>
              <w:pStyle w:val="10"/>
              <w:bidi w:val="0"/>
              <w:jc w:val="center"/>
              <w:rPr>
                <w:rFonts w:hint="eastAsia"/>
                <w:color w:val="000000"/>
              </w:rPr>
            </w:pPr>
            <w:r>
              <w:rPr>
                <w:rFonts w:hint="eastAsia"/>
                <w:color w:val="000000"/>
              </w:rPr>
              <w:t>庙前</w:t>
            </w:r>
          </w:p>
        </w:tc>
        <w:tc>
          <w:tcPr>
            <w:tcW w:w="72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3E8FE64">
            <w:pPr>
              <w:pStyle w:val="10"/>
              <w:bidi w:val="0"/>
              <w:jc w:val="center"/>
              <w:rPr>
                <w:rFonts w:hint="eastAsia"/>
                <w:color w:val="000000"/>
              </w:rPr>
            </w:pPr>
            <w:r>
              <w:rPr>
                <w:rFonts w:hint="eastAsia"/>
                <w:color w:val="000000"/>
              </w:rPr>
              <w:t>8.44</w:t>
            </w:r>
          </w:p>
        </w:tc>
        <w:tc>
          <w:tcPr>
            <w:tcW w:w="45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BD07EAE">
            <w:pPr>
              <w:pStyle w:val="10"/>
              <w:bidi w:val="0"/>
              <w:jc w:val="center"/>
              <w:rPr>
                <w:rFonts w:hint="eastAsia"/>
                <w:color w:val="000000"/>
              </w:rPr>
            </w:pPr>
            <w:r>
              <w:rPr>
                <w:rFonts w:hint="eastAsia"/>
                <w:color w:val="000000"/>
              </w:rPr>
              <w:t>9</w:t>
            </w:r>
          </w:p>
        </w:tc>
        <w:tc>
          <w:tcPr>
            <w:tcW w:w="40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794274D">
            <w:pPr>
              <w:pStyle w:val="10"/>
              <w:bidi w:val="0"/>
              <w:jc w:val="center"/>
              <w:rPr>
                <w:rFonts w:hint="eastAsia"/>
                <w:color w:val="000000"/>
              </w:rPr>
            </w:pPr>
            <w:r>
              <w:rPr>
                <w:color w:val="000000"/>
              </w:rPr>
              <w:t>373</w:t>
            </w:r>
          </w:p>
        </w:tc>
        <w:tc>
          <w:tcPr>
            <w:tcW w:w="41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83231C6">
            <w:pPr>
              <w:pStyle w:val="10"/>
              <w:bidi w:val="0"/>
              <w:jc w:val="center"/>
              <w:rPr>
                <w:rFonts w:hint="eastAsia"/>
                <w:color w:val="000000"/>
              </w:rPr>
            </w:pPr>
            <w:r>
              <w:rPr>
                <w:color w:val="000000"/>
              </w:rPr>
              <w:t>1656</w:t>
            </w:r>
          </w:p>
        </w:tc>
        <w:tc>
          <w:tcPr>
            <w:tcW w:w="35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98CFDCA">
            <w:pPr>
              <w:pStyle w:val="10"/>
              <w:bidi w:val="0"/>
              <w:jc w:val="center"/>
              <w:rPr>
                <w:rFonts w:hint="eastAsia"/>
                <w:color w:val="000000"/>
              </w:rPr>
            </w:pPr>
            <w:r>
              <w:rPr>
                <w:color w:val="000000"/>
              </w:rPr>
              <w:t>933</w:t>
            </w:r>
          </w:p>
        </w:tc>
        <w:tc>
          <w:tcPr>
            <w:tcW w:w="45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E2021B5">
            <w:pPr>
              <w:pStyle w:val="10"/>
              <w:bidi w:val="0"/>
              <w:jc w:val="center"/>
              <w:rPr>
                <w:rFonts w:hint="eastAsia"/>
                <w:color w:val="000000"/>
              </w:rPr>
            </w:pPr>
            <w:r>
              <w:rPr>
                <w:rFonts w:hint="eastAsia"/>
                <w:color w:val="000000"/>
              </w:rPr>
              <w:t>1895</w:t>
            </w:r>
          </w:p>
        </w:tc>
        <w:tc>
          <w:tcPr>
            <w:tcW w:w="38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7638EB9">
            <w:pPr>
              <w:pStyle w:val="10"/>
              <w:bidi w:val="0"/>
              <w:jc w:val="center"/>
              <w:rPr>
                <w:rFonts w:hint="eastAsia"/>
                <w:color w:val="000000"/>
              </w:rPr>
            </w:pPr>
            <w:r>
              <w:rPr>
                <w:rFonts w:hint="eastAsia"/>
                <w:color w:val="000000"/>
              </w:rPr>
              <w:t>1574</w:t>
            </w:r>
          </w:p>
        </w:tc>
        <w:tc>
          <w:tcPr>
            <w:tcW w:w="33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B9A0407">
            <w:pPr>
              <w:pStyle w:val="10"/>
              <w:bidi w:val="0"/>
              <w:jc w:val="center"/>
              <w:rPr>
                <w:rFonts w:hint="eastAsia"/>
                <w:color w:val="000000"/>
              </w:rPr>
            </w:pPr>
            <w:r>
              <w:rPr>
                <w:rFonts w:hint="eastAsia"/>
                <w:color w:val="000000"/>
              </w:rPr>
              <w:t>321</w:t>
            </w:r>
          </w:p>
        </w:tc>
        <w:tc>
          <w:tcPr>
            <w:tcW w:w="49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4571E14">
            <w:pPr>
              <w:pStyle w:val="10"/>
              <w:bidi w:val="0"/>
              <w:jc w:val="center"/>
              <w:rPr>
                <w:rFonts w:hint="eastAsia"/>
                <w:color w:val="000000"/>
              </w:rPr>
            </w:pPr>
            <w:r>
              <w:rPr>
                <w:color w:val="000000"/>
              </w:rPr>
              <w:t>2681</w:t>
            </w:r>
          </w:p>
        </w:tc>
        <w:tc>
          <w:tcPr>
            <w:tcW w:w="470" w:type="pct"/>
            <w:tcBorders>
              <w:top w:val="single" w:color="000000" w:sz="8" w:space="0"/>
              <w:left w:val="single" w:color="000000" w:sz="8" w:space="0"/>
              <w:bottom w:val="single" w:color="000000" w:sz="8" w:space="0"/>
              <w:right w:val="nil"/>
            </w:tcBorders>
            <w:shd w:val="clear" w:color="auto" w:fill="FFFFFF"/>
            <w:vAlign w:val="center"/>
          </w:tcPr>
          <w:p w14:paraId="5641DC28">
            <w:pPr>
              <w:pStyle w:val="10"/>
              <w:bidi w:val="0"/>
              <w:jc w:val="center"/>
              <w:rPr>
                <w:rFonts w:hint="eastAsia"/>
                <w:color w:val="000000"/>
              </w:rPr>
            </w:pPr>
            <w:r>
              <w:rPr>
                <w:color w:val="000000"/>
              </w:rPr>
              <w:t>8243</w:t>
            </w:r>
          </w:p>
        </w:tc>
      </w:tr>
      <w:tr w14:paraId="7E368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 w:type="pct"/>
            <w:tcBorders>
              <w:top w:val="single" w:color="000000" w:sz="8" w:space="0"/>
              <w:left w:val="nil"/>
              <w:bottom w:val="single" w:color="000000" w:sz="8" w:space="0"/>
              <w:right w:val="single" w:color="000000" w:sz="8" w:space="0"/>
            </w:tcBorders>
            <w:shd w:val="clear" w:color="auto" w:fill="FFFFFF"/>
            <w:vAlign w:val="center"/>
          </w:tcPr>
          <w:p w14:paraId="6B1A581D">
            <w:pPr>
              <w:pStyle w:val="10"/>
              <w:bidi w:val="0"/>
              <w:jc w:val="center"/>
              <w:rPr>
                <w:rFonts w:hint="eastAsia"/>
                <w:color w:val="000000"/>
              </w:rPr>
            </w:pPr>
            <w:r>
              <w:rPr>
                <w:rFonts w:hint="eastAsia"/>
                <w:color w:val="000000"/>
              </w:rPr>
              <w:t>水松</w:t>
            </w:r>
          </w:p>
        </w:tc>
        <w:tc>
          <w:tcPr>
            <w:tcW w:w="72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324A481">
            <w:pPr>
              <w:pStyle w:val="10"/>
              <w:bidi w:val="0"/>
              <w:jc w:val="center"/>
              <w:rPr>
                <w:rFonts w:hint="eastAsia"/>
                <w:color w:val="000000"/>
              </w:rPr>
            </w:pPr>
            <w:r>
              <w:rPr>
                <w:rFonts w:hint="eastAsia"/>
                <w:color w:val="000000"/>
              </w:rPr>
              <w:t>7.27</w:t>
            </w:r>
          </w:p>
        </w:tc>
        <w:tc>
          <w:tcPr>
            <w:tcW w:w="45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A4BB130">
            <w:pPr>
              <w:pStyle w:val="10"/>
              <w:bidi w:val="0"/>
              <w:jc w:val="center"/>
              <w:rPr>
                <w:rFonts w:hint="eastAsia"/>
                <w:color w:val="000000"/>
              </w:rPr>
            </w:pPr>
            <w:r>
              <w:rPr>
                <w:rFonts w:hint="eastAsia"/>
                <w:color w:val="000000"/>
              </w:rPr>
              <w:t>13</w:t>
            </w:r>
          </w:p>
        </w:tc>
        <w:tc>
          <w:tcPr>
            <w:tcW w:w="40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41A98D2">
            <w:pPr>
              <w:pStyle w:val="10"/>
              <w:bidi w:val="0"/>
              <w:jc w:val="center"/>
              <w:rPr>
                <w:rFonts w:hint="eastAsia"/>
                <w:color w:val="000000"/>
              </w:rPr>
            </w:pPr>
            <w:r>
              <w:rPr>
                <w:color w:val="000000"/>
              </w:rPr>
              <w:t>570</w:t>
            </w:r>
          </w:p>
        </w:tc>
        <w:tc>
          <w:tcPr>
            <w:tcW w:w="41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796BF2C">
            <w:pPr>
              <w:pStyle w:val="10"/>
              <w:bidi w:val="0"/>
              <w:jc w:val="center"/>
              <w:rPr>
                <w:rFonts w:hint="eastAsia"/>
                <w:color w:val="000000"/>
              </w:rPr>
            </w:pPr>
            <w:r>
              <w:rPr>
                <w:color w:val="000000"/>
              </w:rPr>
              <w:t>2447</w:t>
            </w:r>
          </w:p>
        </w:tc>
        <w:tc>
          <w:tcPr>
            <w:tcW w:w="35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DCF1E33">
            <w:pPr>
              <w:pStyle w:val="10"/>
              <w:bidi w:val="0"/>
              <w:jc w:val="center"/>
              <w:rPr>
                <w:rFonts w:hint="eastAsia"/>
                <w:color w:val="000000"/>
              </w:rPr>
            </w:pPr>
            <w:r>
              <w:rPr>
                <w:color w:val="000000"/>
              </w:rPr>
              <w:t>1247</w:t>
            </w:r>
          </w:p>
        </w:tc>
        <w:tc>
          <w:tcPr>
            <w:tcW w:w="45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4AC4EA6">
            <w:pPr>
              <w:pStyle w:val="10"/>
              <w:bidi w:val="0"/>
              <w:jc w:val="center"/>
              <w:rPr>
                <w:rFonts w:hint="eastAsia"/>
                <w:color w:val="000000"/>
              </w:rPr>
            </w:pPr>
            <w:r>
              <w:rPr>
                <w:rFonts w:hint="eastAsia"/>
                <w:color w:val="000000"/>
              </w:rPr>
              <w:t>2963</w:t>
            </w:r>
          </w:p>
        </w:tc>
        <w:tc>
          <w:tcPr>
            <w:tcW w:w="38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85C8B34">
            <w:pPr>
              <w:pStyle w:val="10"/>
              <w:bidi w:val="0"/>
              <w:jc w:val="center"/>
              <w:rPr>
                <w:rFonts w:hint="eastAsia"/>
                <w:color w:val="000000"/>
              </w:rPr>
            </w:pPr>
            <w:r>
              <w:rPr>
                <w:rFonts w:hint="eastAsia"/>
                <w:color w:val="000000"/>
              </w:rPr>
              <w:t>1920</w:t>
            </w:r>
          </w:p>
        </w:tc>
        <w:tc>
          <w:tcPr>
            <w:tcW w:w="33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7658978">
            <w:pPr>
              <w:pStyle w:val="10"/>
              <w:bidi w:val="0"/>
              <w:jc w:val="center"/>
              <w:rPr>
                <w:rFonts w:hint="eastAsia"/>
                <w:color w:val="000000"/>
              </w:rPr>
            </w:pPr>
            <w:r>
              <w:rPr>
                <w:rFonts w:hint="eastAsia"/>
                <w:color w:val="000000"/>
              </w:rPr>
              <w:t>1043</w:t>
            </w:r>
          </w:p>
        </w:tc>
        <w:tc>
          <w:tcPr>
            <w:tcW w:w="49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D18032C">
            <w:pPr>
              <w:pStyle w:val="10"/>
              <w:bidi w:val="0"/>
              <w:jc w:val="center"/>
              <w:rPr>
                <w:rFonts w:hint="eastAsia"/>
                <w:color w:val="000000"/>
              </w:rPr>
            </w:pPr>
            <w:r>
              <w:rPr>
                <w:color w:val="000000"/>
              </w:rPr>
              <w:t>3832</w:t>
            </w:r>
          </w:p>
        </w:tc>
        <w:tc>
          <w:tcPr>
            <w:tcW w:w="470" w:type="pct"/>
            <w:tcBorders>
              <w:top w:val="single" w:color="000000" w:sz="8" w:space="0"/>
              <w:left w:val="single" w:color="000000" w:sz="8" w:space="0"/>
              <w:bottom w:val="single" w:color="000000" w:sz="8" w:space="0"/>
              <w:right w:val="nil"/>
            </w:tcBorders>
            <w:shd w:val="clear" w:color="auto" w:fill="FFFFFF"/>
            <w:vAlign w:val="center"/>
          </w:tcPr>
          <w:p w14:paraId="63BF0713">
            <w:pPr>
              <w:pStyle w:val="10"/>
              <w:bidi w:val="0"/>
              <w:jc w:val="center"/>
              <w:rPr>
                <w:rFonts w:hint="eastAsia"/>
                <w:color w:val="000000"/>
              </w:rPr>
            </w:pPr>
            <w:r>
              <w:rPr>
                <w:color w:val="000000"/>
              </w:rPr>
              <w:t>7857</w:t>
            </w:r>
          </w:p>
        </w:tc>
      </w:tr>
      <w:tr w14:paraId="2871DD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 w:type="pct"/>
            <w:tcBorders>
              <w:top w:val="single" w:color="000000" w:sz="8" w:space="0"/>
              <w:left w:val="nil"/>
              <w:bottom w:val="single" w:color="000000" w:sz="8" w:space="0"/>
              <w:right w:val="single" w:color="000000" w:sz="8" w:space="0"/>
            </w:tcBorders>
            <w:shd w:val="clear" w:color="auto" w:fill="FFFFFF"/>
            <w:vAlign w:val="center"/>
          </w:tcPr>
          <w:p w14:paraId="49629A77">
            <w:pPr>
              <w:pStyle w:val="10"/>
              <w:bidi w:val="0"/>
              <w:jc w:val="center"/>
              <w:rPr>
                <w:rFonts w:hint="eastAsia"/>
                <w:color w:val="000000"/>
              </w:rPr>
            </w:pPr>
            <w:r>
              <w:rPr>
                <w:rFonts w:hint="eastAsia"/>
                <w:color w:val="000000"/>
              </w:rPr>
              <w:t>黄洞</w:t>
            </w:r>
          </w:p>
        </w:tc>
        <w:tc>
          <w:tcPr>
            <w:tcW w:w="72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DFF4F1E">
            <w:pPr>
              <w:pStyle w:val="10"/>
              <w:bidi w:val="0"/>
              <w:jc w:val="center"/>
              <w:rPr>
                <w:rFonts w:hint="eastAsia"/>
                <w:color w:val="000000"/>
              </w:rPr>
            </w:pPr>
            <w:r>
              <w:rPr>
                <w:rFonts w:hint="eastAsia"/>
                <w:color w:val="000000"/>
              </w:rPr>
              <w:t>4.41</w:t>
            </w:r>
          </w:p>
        </w:tc>
        <w:tc>
          <w:tcPr>
            <w:tcW w:w="45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DD7449C">
            <w:pPr>
              <w:pStyle w:val="10"/>
              <w:bidi w:val="0"/>
              <w:jc w:val="center"/>
              <w:rPr>
                <w:rFonts w:hint="eastAsia"/>
                <w:color w:val="000000"/>
              </w:rPr>
            </w:pPr>
            <w:r>
              <w:rPr>
                <w:rFonts w:hint="eastAsia"/>
                <w:color w:val="000000"/>
              </w:rPr>
              <w:t>8</w:t>
            </w:r>
          </w:p>
        </w:tc>
        <w:tc>
          <w:tcPr>
            <w:tcW w:w="40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AEC172D">
            <w:pPr>
              <w:pStyle w:val="10"/>
              <w:bidi w:val="0"/>
              <w:jc w:val="center"/>
              <w:rPr>
                <w:rFonts w:hint="eastAsia"/>
                <w:color w:val="000000"/>
              </w:rPr>
            </w:pPr>
            <w:r>
              <w:rPr>
                <w:color w:val="000000"/>
              </w:rPr>
              <w:t>301</w:t>
            </w:r>
          </w:p>
        </w:tc>
        <w:tc>
          <w:tcPr>
            <w:tcW w:w="41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8DB39D2">
            <w:pPr>
              <w:pStyle w:val="10"/>
              <w:bidi w:val="0"/>
              <w:jc w:val="center"/>
              <w:rPr>
                <w:rFonts w:hint="eastAsia"/>
                <w:color w:val="000000"/>
              </w:rPr>
            </w:pPr>
            <w:r>
              <w:rPr>
                <w:color w:val="000000"/>
              </w:rPr>
              <w:t>1064</w:t>
            </w:r>
          </w:p>
        </w:tc>
        <w:tc>
          <w:tcPr>
            <w:tcW w:w="35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C360D71">
            <w:pPr>
              <w:pStyle w:val="10"/>
              <w:bidi w:val="0"/>
              <w:jc w:val="center"/>
              <w:rPr>
                <w:rFonts w:hint="eastAsia"/>
                <w:color w:val="000000"/>
              </w:rPr>
            </w:pPr>
            <w:r>
              <w:rPr>
                <w:color w:val="000000"/>
              </w:rPr>
              <w:t>502</w:t>
            </w:r>
          </w:p>
        </w:tc>
        <w:tc>
          <w:tcPr>
            <w:tcW w:w="45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D0B8B6F">
            <w:pPr>
              <w:pStyle w:val="10"/>
              <w:bidi w:val="0"/>
              <w:jc w:val="center"/>
              <w:rPr>
                <w:rFonts w:hint="eastAsia"/>
                <w:color w:val="000000"/>
              </w:rPr>
            </w:pPr>
            <w:r>
              <w:rPr>
                <w:rFonts w:hint="eastAsia"/>
                <w:color w:val="000000"/>
              </w:rPr>
              <w:t>1597</w:t>
            </w:r>
          </w:p>
        </w:tc>
        <w:tc>
          <w:tcPr>
            <w:tcW w:w="38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AF98462">
            <w:pPr>
              <w:pStyle w:val="10"/>
              <w:bidi w:val="0"/>
              <w:jc w:val="center"/>
              <w:rPr>
                <w:rFonts w:hint="eastAsia"/>
                <w:color w:val="000000"/>
              </w:rPr>
            </w:pPr>
            <w:r>
              <w:rPr>
                <w:rFonts w:hint="eastAsia"/>
                <w:color w:val="000000"/>
              </w:rPr>
              <w:t>1312</w:t>
            </w:r>
          </w:p>
        </w:tc>
        <w:tc>
          <w:tcPr>
            <w:tcW w:w="33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96E0D38">
            <w:pPr>
              <w:pStyle w:val="10"/>
              <w:bidi w:val="0"/>
              <w:jc w:val="center"/>
              <w:rPr>
                <w:rFonts w:hint="eastAsia"/>
                <w:color w:val="000000"/>
              </w:rPr>
            </w:pPr>
            <w:r>
              <w:rPr>
                <w:rFonts w:hint="eastAsia"/>
                <w:color w:val="000000"/>
              </w:rPr>
              <w:t>285</w:t>
            </w:r>
          </w:p>
        </w:tc>
        <w:tc>
          <w:tcPr>
            <w:tcW w:w="49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9CAA952">
            <w:pPr>
              <w:pStyle w:val="10"/>
              <w:bidi w:val="0"/>
              <w:jc w:val="center"/>
              <w:rPr>
                <w:rFonts w:hint="eastAsia"/>
                <w:color w:val="000000"/>
              </w:rPr>
            </w:pPr>
            <w:r>
              <w:rPr>
                <w:color w:val="000000"/>
              </w:rPr>
              <w:t>1774</w:t>
            </w:r>
          </w:p>
        </w:tc>
        <w:tc>
          <w:tcPr>
            <w:tcW w:w="470" w:type="pct"/>
            <w:tcBorders>
              <w:top w:val="single" w:color="000000" w:sz="8" w:space="0"/>
              <w:left w:val="single" w:color="000000" w:sz="8" w:space="0"/>
              <w:bottom w:val="single" w:color="000000" w:sz="8" w:space="0"/>
              <w:right w:val="nil"/>
            </w:tcBorders>
            <w:shd w:val="clear" w:color="auto" w:fill="FFFFFF"/>
            <w:vAlign w:val="center"/>
          </w:tcPr>
          <w:p w14:paraId="37B5B74D">
            <w:pPr>
              <w:pStyle w:val="10"/>
              <w:bidi w:val="0"/>
              <w:jc w:val="center"/>
              <w:rPr>
                <w:rFonts w:hint="eastAsia"/>
                <w:color w:val="000000"/>
              </w:rPr>
            </w:pPr>
            <w:r>
              <w:rPr>
                <w:color w:val="000000"/>
              </w:rPr>
              <w:t>8503</w:t>
            </w:r>
          </w:p>
        </w:tc>
      </w:tr>
      <w:tr w14:paraId="6D399B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 w:type="pct"/>
            <w:tcBorders>
              <w:top w:val="single" w:color="000000" w:sz="8" w:space="0"/>
              <w:left w:val="nil"/>
              <w:bottom w:val="single" w:color="000000" w:sz="8" w:space="0"/>
              <w:right w:val="single" w:color="000000" w:sz="8" w:space="0"/>
            </w:tcBorders>
            <w:shd w:val="clear" w:color="auto" w:fill="FFFFFF"/>
            <w:vAlign w:val="center"/>
          </w:tcPr>
          <w:p w14:paraId="34B12B19">
            <w:pPr>
              <w:pStyle w:val="10"/>
              <w:bidi w:val="0"/>
              <w:jc w:val="center"/>
              <w:rPr>
                <w:rFonts w:hint="eastAsia"/>
                <w:color w:val="000000"/>
              </w:rPr>
            </w:pPr>
            <w:r>
              <w:rPr>
                <w:rFonts w:hint="eastAsia"/>
                <w:color w:val="000000"/>
              </w:rPr>
              <w:t>白胜</w:t>
            </w:r>
          </w:p>
        </w:tc>
        <w:tc>
          <w:tcPr>
            <w:tcW w:w="72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B1FBAF1">
            <w:pPr>
              <w:pStyle w:val="10"/>
              <w:bidi w:val="0"/>
              <w:jc w:val="center"/>
              <w:rPr>
                <w:rFonts w:hint="eastAsia"/>
                <w:color w:val="000000"/>
              </w:rPr>
            </w:pPr>
            <w:r>
              <w:rPr>
                <w:rFonts w:hint="eastAsia"/>
                <w:color w:val="000000"/>
              </w:rPr>
              <w:t>13.79</w:t>
            </w:r>
          </w:p>
        </w:tc>
        <w:tc>
          <w:tcPr>
            <w:tcW w:w="45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C2FC0D6">
            <w:pPr>
              <w:pStyle w:val="10"/>
              <w:bidi w:val="0"/>
              <w:jc w:val="center"/>
              <w:rPr>
                <w:rFonts w:hint="eastAsia"/>
                <w:color w:val="000000"/>
              </w:rPr>
            </w:pPr>
            <w:r>
              <w:rPr>
                <w:rFonts w:hint="eastAsia"/>
                <w:color w:val="000000"/>
              </w:rPr>
              <w:t>17</w:t>
            </w:r>
          </w:p>
        </w:tc>
        <w:tc>
          <w:tcPr>
            <w:tcW w:w="40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04ABB28">
            <w:pPr>
              <w:pStyle w:val="10"/>
              <w:bidi w:val="0"/>
              <w:jc w:val="center"/>
              <w:rPr>
                <w:rFonts w:hint="eastAsia"/>
                <w:color w:val="000000"/>
              </w:rPr>
            </w:pPr>
            <w:r>
              <w:rPr>
                <w:color w:val="000000"/>
              </w:rPr>
              <w:t>689</w:t>
            </w:r>
          </w:p>
        </w:tc>
        <w:tc>
          <w:tcPr>
            <w:tcW w:w="41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CE6B801">
            <w:pPr>
              <w:pStyle w:val="10"/>
              <w:bidi w:val="0"/>
              <w:jc w:val="center"/>
              <w:rPr>
                <w:rFonts w:hint="eastAsia"/>
                <w:color w:val="000000"/>
              </w:rPr>
            </w:pPr>
            <w:r>
              <w:rPr>
                <w:color w:val="000000"/>
              </w:rPr>
              <w:t>2682</w:t>
            </w:r>
          </w:p>
        </w:tc>
        <w:tc>
          <w:tcPr>
            <w:tcW w:w="35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5D87A80">
            <w:pPr>
              <w:pStyle w:val="10"/>
              <w:bidi w:val="0"/>
              <w:jc w:val="center"/>
              <w:rPr>
                <w:rFonts w:hint="eastAsia"/>
                <w:color w:val="000000"/>
              </w:rPr>
            </w:pPr>
            <w:r>
              <w:rPr>
                <w:color w:val="000000"/>
              </w:rPr>
              <w:t>1260</w:t>
            </w:r>
          </w:p>
        </w:tc>
        <w:tc>
          <w:tcPr>
            <w:tcW w:w="45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372BE76">
            <w:pPr>
              <w:pStyle w:val="10"/>
              <w:bidi w:val="0"/>
              <w:jc w:val="center"/>
              <w:rPr>
                <w:rFonts w:hint="eastAsia"/>
                <w:color w:val="000000"/>
              </w:rPr>
            </w:pPr>
            <w:r>
              <w:rPr>
                <w:rFonts w:hint="eastAsia"/>
                <w:color w:val="000000"/>
              </w:rPr>
              <w:t>3385</w:t>
            </w:r>
          </w:p>
        </w:tc>
        <w:tc>
          <w:tcPr>
            <w:tcW w:w="38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3547BA2">
            <w:pPr>
              <w:pStyle w:val="10"/>
              <w:bidi w:val="0"/>
              <w:jc w:val="center"/>
              <w:rPr>
                <w:rFonts w:hint="eastAsia"/>
                <w:color w:val="000000"/>
              </w:rPr>
            </w:pPr>
            <w:r>
              <w:rPr>
                <w:rFonts w:hint="eastAsia"/>
                <w:color w:val="000000"/>
              </w:rPr>
              <w:t>3341</w:t>
            </w:r>
          </w:p>
        </w:tc>
        <w:tc>
          <w:tcPr>
            <w:tcW w:w="33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7511BE4">
            <w:pPr>
              <w:pStyle w:val="10"/>
              <w:bidi w:val="0"/>
              <w:jc w:val="center"/>
              <w:rPr>
                <w:rFonts w:hint="eastAsia"/>
                <w:color w:val="000000"/>
              </w:rPr>
            </w:pPr>
            <w:r>
              <w:rPr>
                <w:rFonts w:hint="eastAsia"/>
                <w:color w:val="000000"/>
              </w:rPr>
              <w:t>44</w:t>
            </w:r>
          </w:p>
        </w:tc>
        <w:tc>
          <w:tcPr>
            <w:tcW w:w="49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9CEF3B8">
            <w:pPr>
              <w:pStyle w:val="10"/>
              <w:bidi w:val="0"/>
              <w:jc w:val="center"/>
              <w:rPr>
                <w:rFonts w:hint="eastAsia"/>
                <w:color w:val="000000"/>
              </w:rPr>
            </w:pPr>
            <w:r>
              <w:rPr>
                <w:color w:val="000000"/>
              </w:rPr>
              <w:t>4415</w:t>
            </w:r>
          </w:p>
        </w:tc>
        <w:tc>
          <w:tcPr>
            <w:tcW w:w="470" w:type="pct"/>
            <w:tcBorders>
              <w:top w:val="single" w:color="000000" w:sz="8" w:space="0"/>
              <w:left w:val="single" w:color="000000" w:sz="8" w:space="0"/>
              <w:bottom w:val="single" w:color="000000" w:sz="8" w:space="0"/>
              <w:right w:val="nil"/>
            </w:tcBorders>
            <w:shd w:val="clear" w:color="auto" w:fill="FFFFFF"/>
            <w:vAlign w:val="center"/>
          </w:tcPr>
          <w:p w14:paraId="2DB1C9F1">
            <w:pPr>
              <w:pStyle w:val="10"/>
              <w:bidi w:val="0"/>
              <w:jc w:val="center"/>
              <w:rPr>
                <w:rFonts w:hint="eastAsia"/>
                <w:color w:val="000000"/>
              </w:rPr>
            </w:pPr>
            <w:r>
              <w:rPr>
                <w:color w:val="000000"/>
              </w:rPr>
              <w:t>8952</w:t>
            </w:r>
          </w:p>
        </w:tc>
      </w:tr>
      <w:tr w14:paraId="04C033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 w:type="pct"/>
            <w:tcBorders>
              <w:top w:val="single" w:color="000000" w:sz="8" w:space="0"/>
              <w:left w:val="nil"/>
              <w:bottom w:val="single" w:color="000000" w:sz="8" w:space="0"/>
              <w:right w:val="single" w:color="000000" w:sz="8" w:space="0"/>
            </w:tcBorders>
            <w:shd w:val="clear" w:color="auto" w:fill="FFFFFF"/>
            <w:vAlign w:val="center"/>
          </w:tcPr>
          <w:p w14:paraId="2CF2519B">
            <w:pPr>
              <w:pStyle w:val="10"/>
              <w:bidi w:val="0"/>
              <w:jc w:val="center"/>
              <w:rPr>
                <w:rFonts w:hint="eastAsia"/>
                <w:color w:val="000000"/>
              </w:rPr>
            </w:pPr>
            <w:r>
              <w:rPr>
                <w:rFonts w:hint="eastAsia"/>
                <w:color w:val="000000"/>
              </w:rPr>
              <w:t>田心</w:t>
            </w:r>
          </w:p>
        </w:tc>
        <w:tc>
          <w:tcPr>
            <w:tcW w:w="72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76F9D54">
            <w:pPr>
              <w:pStyle w:val="10"/>
              <w:bidi w:val="0"/>
              <w:jc w:val="center"/>
              <w:rPr>
                <w:rFonts w:hint="eastAsia"/>
                <w:color w:val="000000"/>
              </w:rPr>
            </w:pPr>
            <w:r>
              <w:rPr>
                <w:rFonts w:hint="eastAsia"/>
                <w:color w:val="000000"/>
              </w:rPr>
              <w:t>7.47</w:t>
            </w:r>
          </w:p>
        </w:tc>
        <w:tc>
          <w:tcPr>
            <w:tcW w:w="45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370D3E8">
            <w:pPr>
              <w:pStyle w:val="10"/>
              <w:bidi w:val="0"/>
              <w:jc w:val="center"/>
              <w:rPr>
                <w:rFonts w:hint="eastAsia"/>
                <w:color w:val="000000"/>
              </w:rPr>
            </w:pPr>
            <w:r>
              <w:rPr>
                <w:rFonts w:hint="eastAsia"/>
                <w:color w:val="000000"/>
              </w:rPr>
              <w:t>11</w:t>
            </w:r>
          </w:p>
        </w:tc>
        <w:tc>
          <w:tcPr>
            <w:tcW w:w="40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EAC542B">
            <w:pPr>
              <w:pStyle w:val="10"/>
              <w:bidi w:val="0"/>
              <w:jc w:val="center"/>
              <w:rPr>
                <w:rFonts w:hint="eastAsia"/>
                <w:color w:val="000000"/>
              </w:rPr>
            </w:pPr>
            <w:r>
              <w:rPr>
                <w:color w:val="000000"/>
              </w:rPr>
              <w:t>450</w:t>
            </w:r>
          </w:p>
        </w:tc>
        <w:tc>
          <w:tcPr>
            <w:tcW w:w="41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2EE699D">
            <w:pPr>
              <w:pStyle w:val="10"/>
              <w:bidi w:val="0"/>
              <w:jc w:val="center"/>
              <w:rPr>
                <w:rFonts w:hint="eastAsia"/>
                <w:color w:val="000000"/>
              </w:rPr>
            </w:pPr>
            <w:r>
              <w:rPr>
                <w:color w:val="000000"/>
              </w:rPr>
              <w:t>1952</w:t>
            </w:r>
          </w:p>
        </w:tc>
        <w:tc>
          <w:tcPr>
            <w:tcW w:w="35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1829BA0">
            <w:pPr>
              <w:pStyle w:val="10"/>
              <w:bidi w:val="0"/>
              <w:jc w:val="center"/>
              <w:rPr>
                <w:rFonts w:hint="eastAsia"/>
                <w:color w:val="000000"/>
              </w:rPr>
            </w:pPr>
            <w:r>
              <w:rPr>
                <w:color w:val="000000"/>
              </w:rPr>
              <w:t>963</w:t>
            </w:r>
          </w:p>
        </w:tc>
        <w:tc>
          <w:tcPr>
            <w:tcW w:w="45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BEA2D11">
            <w:pPr>
              <w:pStyle w:val="10"/>
              <w:bidi w:val="0"/>
              <w:jc w:val="center"/>
              <w:rPr>
                <w:rFonts w:hint="eastAsia"/>
                <w:color w:val="000000"/>
              </w:rPr>
            </w:pPr>
            <w:r>
              <w:rPr>
                <w:rFonts w:hint="eastAsia"/>
                <w:color w:val="000000"/>
              </w:rPr>
              <w:t>1860</w:t>
            </w:r>
          </w:p>
        </w:tc>
        <w:tc>
          <w:tcPr>
            <w:tcW w:w="38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E4995F0">
            <w:pPr>
              <w:pStyle w:val="10"/>
              <w:bidi w:val="0"/>
              <w:jc w:val="center"/>
              <w:rPr>
                <w:rFonts w:hint="eastAsia"/>
                <w:color w:val="000000"/>
              </w:rPr>
            </w:pPr>
            <w:r>
              <w:rPr>
                <w:rFonts w:hint="eastAsia"/>
                <w:color w:val="000000"/>
              </w:rPr>
              <w:t>1435</w:t>
            </w:r>
          </w:p>
        </w:tc>
        <w:tc>
          <w:tcPr>
            <w:tcW w:w="33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8DB04CE">
            <w:pPr>
              <w:pStyle w:val="10"/>
              <w:bidi w:val="0"/>
              <w:jc w:val="center"/>
              <w:rPr>
                <w:rFonts w:hint="eastAsia"/>
                <w:color w:val="000000"/>
              </w:rPr>
            </w:pPr>
            <w:r>
              <w:rPr>
                <w:rFonts w:hint="eastAsia"/>
                <w:color w:val="000000"/>
              </w:rPr>
              <w:t>425</w:t>
            </w:r>
          </w:p>
        </w:tc>
        <w:tc>
          <w:tcPr>
            <w:tcW w:w="49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0A8F3D8">
            <w:pPr>
              <w:pStyle w:val="10"/>
              <w:bidi w:val="0"/>
              <w:jc w:val="center"/>
              <w:rPr>
                <w:rFonts w:hint="eastAsia"/>
                <w:color w:val="000000"/>
              </w:rPr>
            </w:pPr>
            <w:r>
              <w:rPr>
                <w:color w:val="000000"/>
              </w:rPr>
              <w:t>3054</w:t>
            </w:r>
          </w:p>
        </w:tc>
        <w:tc>
          <w:tcPr>
            <w:tcW w:w="470" w:type="pct"/>
            <w:tcBorders>
              <w:top w:val="single" w:color="000000" w:sz="8" w:space="0"/>
              <w:left w:val="single" w:color="000000" w:sz="8" w:space="0"/>
              <w:bottom w:val="single" w:color="000000" w:sz="8" w:space="0"/>
              <w:right w:val="nil"/>
            </w:tcBorders>
            <w:shd w:val="clear" w:color="auto" w:fill="FFFFFF"/>
            <w:vAlign w:val="center"/>
          </w:tcPr>
          <w:p w14:paraId="2CF9698B">
            <w:pPr>
              <w:pStyle w:val="10"/>
              <w:bidi w:val="0"/>
              <w:jc w:val="center"/>
              <w:rPr>
                <w:rFonts w:hint="eastAsia"/>
                <w:color w:val="000000"/>
              </w:rPr>
            </w:pPr>
            <w:r>
              <w:rPr>
                <w:color w:val="000000"/>
              </w:rPr>
              <w:t>8447</w:t>
            </w:r>
          </w:p>
        </w:tc>
      </w:tr>
      <w:tr w14:paraId="367D4C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 w:type="pct"/>
            <w:tcBorders>
              <w:top w:val="single" w:color="000000" w:sz="8" w:space="0"/>
              <w:left w:val="nil"/>
              <w:bottom w:val="single" w:color="000000" w:sz="8" w:space="0"/>
              <w:right w:val="single" w:color="000000" w:sz="8" w:space="0"/>
            </w:tcBorders>
            <w:shd w:val="clear" w:color="auto" w:fill="FFFFFF"/>
            <w:vAlign w:val="center"/>
          </w:tcPr>
          <w:p w14:paraId="32A0AC58">
            <w:pPr>
              <w:pStyle w:val="10"/>
              <w:bidi w:val="0"/>
              <w:jc w:val="center"/>
              <w:rPr>
                <w:rFonts w:hint="eastAsia"/>
                <w:color w:val="000000"/>
              </w:rPr>
            </w:pPr>
            <w:r>
              <w:rPr>
                <w:rFonts w:hint="eastAsia"/>
                <w:color w:val="000000"/>
              </w:rPr>
              <w:t>大竹</w:t>
            </w:r>
          </w:p>
        </w:tc>
        <w:tc>
          <w:tcPr>
            <w:tcW w:w="72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14B8F23">
            <w:pPr>
              <w:pStyle w:val="10"/>
              <w:bidi w:val="0"/>
              <w:jc w:val="center"/>
              <w:rPr>
                <w:rFonts w:hint="eastAsia"/>
                <w:color w:val="000000"/>
              </w:rPr>
            </w:pPr>
            <w:r>
              <w:rPr>
                <w:rFonts w:hint="eastAsia"/>
                <w:color w:val="000000"/>
              </w:rPr>
              <w:t>14.79</w:t>
            </w:r>
          </w:p>
        </w:tc>
        <w:tc>
          <w:tcPr>
            <w:tcW w:w="45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84CC1EB">
            <w:pPr>
              <w:pStyle w:val="10"/>
              <w:bidi w:val="0"/>
              <w:jc w:val="center"/>
              <w:rPr>
                <w:rFonts w:hint="eastAsia"/>
                <w:color w:val="000000"/>
              </w:rPr>
            </w:pPr>
            <w:r>
              <w:rPr>
                <w:rFonts w:hint="eastAsia"/>
                <w:color w:val="000000"/>
              </w:rPr>
              <w:t>14</w:t>
            </w:r>
          </w:p>
        </w:tc>
        <w:tc>
          <w:tcPr>
            <w:tcW w:w="40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7A35E0B">
            <w:pPr>
              <w:pStyle w:val="10"/>
              <w:bidi w:val="0"/>
              <w:jc w:val="center"/>
              <w:rPr>
                <w:rFonts w:hint="eastAsia"/>
                <w:color w:val="000000"/>
              </w:rPr>
            </w:pPr>
            <w:r>
              <w:rPr>
                <w:color w:val="000000"/>
              </w:rPr>
              <w:t>380</w:t>
            </w:r>
          </w:p>
        </w:tc>
        <w:tc>
          <w:tcPr>
            <w:tcW w:w="41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AB9BCE2">
            <w:pPr>
              <w:pStyle w:val="10"/>
              <w:bidi w:val="0"/>
              <w:jc w:val="center"/>
              <w:rPr>
                <w:rFonts w:hint="eastAsia"/>
                <w:color w:val="000000"/>
              </w:rPr>
            </w:pPr>
            <w:r>
              <w:rPr>
                <w:color w:val="000000"/>
              </w:rPr>
              <w:t>1652</w:t>
            </w:r>
          </w:p>
        </w:tc>
        <w:tc>
          <w:tcPr>
            <w:tcW w:w="35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799EE55">
            <w:pPr>
              <w:pStyle w:val="10"/>
              <w:bidi w:val="0"/>
              <w:jc w:val="center"/>
              <w:rPr>
                <w:rFonts w:hint="eastAsia"/>
                <w:color w:val="000000"/>
              </w:rPr>
            </w:pPr>
            <w:r>
              <w:rPr>
                <w:color w:val="000000"/>
              </w:rPr>
              <w:t>1024</w:t>
            </w:r>
          </w:p>
        </w:tc>
        <w:tc>
          <w:tcPr>
            <w:tcW w:w="45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31DFD13">
            <w:pPr>
              <w:pStyle w:val="10"/>
              <w:bidi w:val="0"/>
              <w:jc w:val="center"/>
              <w:rPr>
                <w:rFonts w:hint="eastAsia"/>
                <w:color w:val="000000"/>
              </w:rPr>
            </w:pPr>
            <w:r>
              <w:rPr>
                <w:rFonts w:hint="eastAsia"/>
                <w:color w:val="000000"/>
              </w:rPr>
              <w:t>1791</w:t>
            </w:r>
          </w:p>
        </w:tc>
        <w:tc>
          <w:tcPr>
            <w:tcW w:w="38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5FFD7F6">
            <w:pPr>
              <w:pStyle w:val="10"/>
              <w:bidi w:val="0"/>
              <w:jc w:val="center"/>
              <w:rPr>
                <w:rFonts w:hint="eastAsia"/>
                <w:color w:val="000000"/>
              </w:rPr>
            </w:pPr>
            <w:r>
              <w:rPr>
                <w:rFonts w:hint="eastAsia"/>
                <w:color w:val="000000"/>
              </w:rPr>
              <w:t>1763</w:t>
            </w:r>
          </w:p>
        </w:tc>
        <w:tc>
          <w:tcPr>
            <w:tcW w:w="33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4E6BDBD">
            <w:pPr>
              <w:pStyle w:val="10"/>
              <w:bidi w:val="0"/>
              <w:jc w:val="center"/>
              <w:rPr>
                <w:rFonts w:hint="eastAsia"/>
                <w:color w:val="000000"/>
              </w:rPr>
            </w:pPr>
            <w:r>
              <w:rPr>
                <w:rFonts w:hint="eastAsia"/>
                <w:color w:val="000000"/>
              </w:rPr>
              <w:t>28</w:t>
            </w:r>
          </w:p>
        </w:tc>
        <w:tc>
          <w:tcPr>
            <w:tcW w:w="49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AC41836">
            <w:pPr>
              <w:pStyle w:val="10"/>
              <w:bidi w:val="0"/>
              <w:jc w:val="center"/>
              <w:rPr>
                <w:rFonts w:hint="eastAsia"/>
                <w:color w:val="000000"/>
              </w:rPr>
            </w:pPr>
            <w:r>
              <w:rPr>
                <w:color w:val="000000"/>
              </w:rPr>
              <w:t>2606</w:t>
            </w:r>
          </w:p>
        </w:tc>
        <w:tc>
          <w:tcPr>
            <w:tcW w:w="470" w:type="pct"/>
            <w:tcBorders>
              <w:top w:val="single" w:color="000000" w:sz="8" w:space="0"/>
              <w:left w:val="single" w:color="000000" w:sz="8" w:space="0"/>
              <w:bottom w:val="single" w:color="000000" w:sz="8" w:space="0"/>
              <w:right w:val="nil"/>
            </w:tcBorders>
            <w:shd w:val="clear" w:color="auto" w:fill="FFFFFF"/>
            <w:vAlign w:val="center"/>
          </w:tcPr>
          <w:p w14:paraId="7B4652D0">
            <w:pPr>
              <w:pStyle w:val="10"/>
              <w:bidi w:val="0"/>
              <w:jc w:val="center"/>
              <w:rPr>
                <w:rFonts w:hint="eastAsia"/>
                <w:color w:val="000000"/>
              </w:rPr>
            </w:pPr>
            <w:r>
              <w:rPr>
                <w:color w:val="000000"/>
              </w:rPr>
              <w:t>8340</w:t>
            </w:r>
          </w:p>
        </w:tc>
      </w:tr>
      <w:tr w14:paraId="029728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 w:type="pct"/>
            <w:tcBorders>
              <w:top w:val="single" w:color="000000" w:sz="8" w:space="0"/>
              <w:left w:val="nil"/>
              <w:bottom w:val="single" w:color="000000" w:sz="8" w:space="0"/>
              <w:right w:val="single" w:color="000000" w:sz="8" w:space="0"/>
            </w:tcBorders>
            <w:shd w:val="clear" w:color="auto" w:fill="FFFFFF"/>
            <w:vAlign w:val="center"/>
          </w:tcPr>
          <w:p w14:paraId="20578819">
            <w:pPr>
              <w:pStyle w:val="10"/>
              <w:bidi w:val="0"/>
              <w:jc w:val="center"/>
              <w:rPr>
                <w:rFonts w:hint="eastAsia"/>
                <w:color w:val="000000"/>
              </w:rPr>
            </w:pPr>
            <w:r>
              <w:rPr>
                <w:rFonts w:hint="eastAsia"/>
                <w:color w:val="000000"/>
              </w:rPr>
              <w:t>孔江</w:t>
            </w:r>
          </w:p>
        </w:tc>
        <w:tc>
          <w:tcPr>
            <w:tcW w:w="72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5DA633A">
            <w:pPr>
              <w:pStyle w:val="10"/>
              <w:bidi w:val="0"/>
              <w:jc w:val="center"/>
              <w:rPr>
                <w:rFonts w:hint="eastAsia"/>
                <w:color w:val="000000"/>
              </w:rPr>
            </w:pPr>
            <w:r>
              <w:rPr>
                <w:rFonts w:hint="eastAsia"/>
                <w:color w:val="000000"/>
              </w:rPr>
              <w:t>16.89</w:t>
            </w:r>
          </w:p>
        </w:tc>
        <w:tc>
          <w:tcPr>
            <w:tcW w:w="45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6B3DA15">
            <w:pPr>
              <w:pStyle w:val="10"/>
              <w:bidi w:val="0"/>
              <w:jc w:val="center"/>
              <w:rPr>
                <w:rFonts w:hint="eastAsia"/>
                <w:color w:val="000000"/>
              </w:rPr>
            </w:pPr>
            <w:r>
              <w:rPr>
                <w:rFonts w:hint="eastAsia"/>
                <w:color w:val="000000"/>
              </w:rPr>
              <w:t>16</w:t>
            </w:r>
          </w:p>
        </w:tc>
        <w:tc>
          <w:tcPr>
            <w:tcW w:w="40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AD3C399">
            <w:pPr>
              <w:pStyle w:val="10"/>
              <w:bidi w:val="0"/>
              <w:jc w:val="center"/>
              <w:rPr>
                <w:rFonts w:hint="eastAsia"/>
                <w:color w:val="000000"/>
              </w:rPr>
            </w:pPr>
            <w:r>
              <w:rPr>
                <w:color w:val="000000"/>
              </w:rPr>
              <w:t>404</w:t>
            </w:r>
          </w:p>
        </w:tc>
        <w:tc>
          <w:tcPr>
            <w:tcW w:w="41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E6E4445">
            <w:pPr>
              <w:pStyle w:val="10"/>
              <w:bidi w:val="0"/>
              <w:jc w:val="center"/>
              <w:rPr>
                <w:rFonts w:hint="eastAsia"/>
                <w:color w:val="000000"/>
              </w:rPr>
            </w:pPr>
            <w:r>
              <w:rPr>
                <w:color w:val="000000"/>
              </w:rPr>
              <w:t>1671</w:t>
            </w:r>
          </w:p>
        </w:tc>
        <w:tc>
          <w:tcPr>
            <w:tcW w:w="35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2D4511A">
            <w:pPr>
              <w:pStyle w:val="10"/>
              <w:bidi w:val="0"/>
              <w:jc w:val="center"/>
              <w:rPr>
                <w:rFonts w:hint="eastAsia"/>
                <w:color w:val="000000"/>
              </w:rPr>
            </w:pPr>
            <w:r>
              <w:rPr>
                <w:color w:val="000000"/>
              </w:rPr>
              <w:t>1027</w:t>
            </w:r>
          </w:p>
        </w:tc>
        <w:tc>
          <w:tcPr>
            <w:tcW w:w="45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5CE3D41">
            <w:pPr>
              <w:pStyle w:val="10"/>
              <w:bidi w:val="0"/>
              <w:jc w:val="center"/>
              <w:rPr>
                <w:rFonts w:hint="eastAsia"/>
                <w:color w:val="000000"/>
              </w:rPr>
            </w:pPr>
            <w:r>
              <w:rPr>
                <w:rFonts w:hint="eastAsia"/>
                <w:color w:val="000000"/>
              </w:rPr>
              <w:t>2027</w:t>
            </w:r>
          </w:p>
        </w:tc>
        <w:tc>
          <w:tcPr>
            <w:tcW w:w="38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67C9920">
            <w:pPr>
              <w:pStyle w:val="10"/>
              <w:bidi w:val="0"/>
              <w:jc w:val="center"/>
              <w:rPr>
                <w:rFonts w:hint="eastAsia"/>
                <w:color w:val="000000"/>
              </w:rPr>
            </w:pPr>
            <w:r>
              <w:rPr>
                <w:rFonts w:hint="eastAsia"/>
                <w:color w:val="000000"/>
              </w:rPr>
              <w:t>1787</w:t>
            </w:r>
          </w:p>
        </w:tc>
        <w:tc>
          <w:tcPr>
            <w:tcW w:w="33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F8A89CD">
            <w:pPr>
              <w:pStyle w:val="10"/>
              <w:bidi w:val="0"/>
              <w:jc w:val="center"/>
              <w:rPr>
                <w:rFonts w:hint="eastAsia"/>
                <w:color w:val="000000"/>
              </w:rPr>
            </w:pPr>
            <w:r>
              <w:rPr>
                <w:rFonts w:hint="eastAsia"/>
                <w:color w:val="000000"/>
              </w:rPr>
              <w:t>240</w:t>
            </w:r>
          </w:p>
        </w:tc>
        <w:tc>
          <w:tcPr>
            <w:tcW w:w="49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AE617C1">
            <w:pPr>
              <w:pStyle w:val="10"/>
              <w:bidi w:val="0"/>
              <w:jc w:val="center"/>
              <w:rPr>
                <w:rFonts w:hint="eastAsia"/>
                <w:color w:val="000000"/>
              </w:rPr>
            </w:pPr>
            <w:r>
              <w:rPr>
                <w:color w:val="000000"/>
              </w:rPr>
              <w:t>2670</w:t>
            </w:r>
          </w:p>
        </w:tc>
        <w:tc>
          <w:tcPr>
            <w:tcW w:w="470" w:type="pct"/>
            <w:tcBorders>
              <w:top w:val="single" w:color="000000" w:sz="8" w:space="0"/>
              <w:left w:val="single" w:color="000000" w:sz="8" w:space="0"/>
              <w:bottom w:val="single" w:color="000000" w:sz="8" w:space="0"/>
              <w:right w:val="nil"/>
            </w:tcBorders>
            <w:shd w:val="clear" w:color="auto" w:fill="FFFFFF"/>
            <w:vAlign w:val="center"/>
          </w:tcPr>
          <w:p w14:paraId="516148C7">
            <w:pPr>
              <w:pStyle w:val="10"/>
              <w:bidi w:val="0"/>
              <w:jc w:val="center"/>
              <w:rPr>
                <w:rFonts w:hint="eastAsia"/>
                <w:color w:val="000000"/>
              </w:rPr>
            </w:pPr>
            <w:r>
              <w:rPr>
                <w:color w:val="000000"/>
              </w:rPr>
              <w:t>7839</w:t>
            </w:r>
          </w:p>
        </w:tc>
      </w:tr>
      <w:tr w14:paraId="7A2CEA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 w:type="pct"/>
            <w:tcBorders>
              <w:top w:val="single" w:color="000000" w:sz="8" w:space="0"/>
              <w:left w:val="nil"/>
              <w:bottom w:val="single" w:color="000000" w:sz="8" w:space="0"/>
              <w:right w:val="single" w:color="000000" w:sz="8" w:space="0"/>
            </w:tcBorders>
            <w:shd w:val="clear" w:color="auto" w:fill="FFFFFF"/>
            <w:vAlign w:val="center"/>
          </w:tcPr>
          <w:p w14:paraId="16094562">
            <w:pPr>
              <w:pStyle w:val="10"/>
              <w:bidi w:val="0"/>
              <w:jc w:val="center"/>
              <w:rPr>
                <w:rFonts w:hint="eastAsia"/>
                <w:color w:val="000000"/>
              </w:rPr>
            </w:pPr>
            <w:r>
              <w:rPr>
                <w:rFonts w:hint="eastAsia"/>
                <w:color w:val="000000"/>
              </w:rPr>
              <w:t>兰坵</w:t>
            </w:r>
          </w:p>
        </w:tc>
        <w:tc>
          <w:tcPr>
            <w:tcW w:w="72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55A54A9">
            <w:pPr>
              <w:pStyle w:val="10"/>
              <w:bidi w:val="0"/>
              <w:jc w:val="center"/>
              <w:rPr>
                <w:rFonts w:hint="eastAsia"/>
                <w:color w:val="000000"/>
              </w:rPr>
            </w:pPr>
            <w:r>
              <w:rPr>
                <w:rFonts w:hint="eastAsia"/>
                <w:color w:val="000000"/>
              </w:rPr>
              <w:t>9.79</w:t>
            </w:r>
          </w:p>
        </w:tc>
        <w:tc>
          <w:tcPr>
            <w:tcW w:w="45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ADB459A">
            <w:pPr>
              <w:pStyle w:val="10"/>
              <w:bidi w:val="0"/>
              <w:jc w:val="center"/>
              <w:rPr>
                <w:rFonts w:hint="eastAsia"/>
                <w:color w:val="000000"/>
              </w:rPr>
            </w:pPr>
            <w:r>
              <w:rPr>
                <w:rFonts w:hint="eastAsia"/>
                <w:color w:val="000000"/>
              </w:rPr>
              <w:t>9</w:t>
            </w:r>
          </w:p>
        </w:tc>
        <w:tc>
          <w:tcPr>
            <w:tcW w:w="40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2B4B270">
            <w:pPr>
              <w:pStyle w:val="10"/>
              <w:bidi w:val="0"/>
              <w:jc w:val="center"/>
              <w:rPr>
                <w:rFonts w:hint="eastAsia"/>
                <w:color w:val="000000"/>
              </w:rPr>
            </w:pPr>
            <w:r>
              <w:rPr>
                <w:color w:val="000000"/>
              </w:rPr>
              <w:t>301</w:t>
            </w:r>
          </w:p>
        </w:tc>
        <w:tc>
          <w:tcPr>
            <w:tcW w:w="41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AE465AD">
            <w:pPr>
              <w:pStyle w:val="10"/>
              <w:bidi w:val="0"/>
              <w:jc w:val="center"/>
              <w:rPr>
                <w:rFonts w:hint="eastAsia"/>
                <w:color w:val="000000"/>
              </w:rPr>
            </w:pPr>
            <w:r>
              <w:rPr>
                <w:color w:val="000000"/>
              </w:rPr>
              <w:t>979</w:t>
            </w:r>
          </w:p>
        </w:tc>
        <w:tc>
          <w:tcPr>
            <w:tcW w:w="35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7038765">
            <w:pPr>
              <w:pStyle w:val="10"/>
              <w:bidi w:val="0"/>
              <w:jc w:val="center"/>
              <w:rPr>
                <w:rFonts w:hint="eastAsia"/>
                <w:color w:val="000000"/>
              </w:rPr>
            </w:pPr>
            <w:r>
              <w:rPr>
                <w:color w:val="000000"/>
              </w:rPr>
              <w:t>656</w:t>
            </w:r>
          </w:p>
        </w:tc>
        <w:tc>
          <w:tcPr>
            <w:tcW w:w="45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EC4E0E7">
            <w:pPr>
              <w:pStyle w:val="10"/>
              <w:bidi w:val="0"/>
              <w:jc w:val="center"/>
              <w:rPr>
                <w:rFonts w:hint="eastAsia"/>
                <w:color w:val="000000"/>
              </w:rPr>
            </w:pPr>
            <w:r>
              <w:rPr>
                <w:rFonts w:hint="eastAsia"/>
                <w:color w:val="000000"/>
              </w:rPr>
              <w:t>1171</w:t>
            </w:r>
          </w:p>
        </w:tc>
        <w:tc>
          <w:tcPr>
            <w:tcW w:w="38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1B16601">
            <w:pPr>
              <w:pStyle w:val="10"/>
              <w:bidi w:val="0"/>
              <w:jc w:val="center"/>
              <w:rPr>
                <w:rFonts w:hint="eastAsia"/>
                <w:color w:val="000000"/>
              </w:rPr>
            </w:pPr>
            <w:r>
              <w:rPr>
                <w:rFonts w:hint="eastAsia"/>
                <w:color w:val="000000"/>
              </w:rPr>
              <w:t>928</w:t>
            </w:r>
          </w:p>
        </w:tc>
        <w:tc>
          <w:tcPr>
            <w:tcW w:w="33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EC9E15D">
            <w:pPr>
              <w:pStyle w:val="10"/>
              <w:bidi w:val="0"/>
              <w:jc w:val="center"/>
              <w:rPr>
                <w:rFonts w:hint="eastAsia"/>
                <w:color w:val="000000"/>
              </w:rPr>
            </w:pPr>
            <w:r>
              <w:rPr>
                <w:rFonts w:hint="eastAsia"/>
                <w:color w:val="000000"/>
              </w:rPr>
              <w:t>243</w:t>
            </w:r>
          </w:p>
        </w:tc>
        <w:tc>
          <w:tcPr>
            <w:tcW w:w="49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D52C924">
            <w:pPr>
              <w:pStyle w:val="10"/>
              <w:bidi w:val="0"/>
              <w:jc w:val="center"/>
              <w:rPr>
                <w:rFonts w:hint="eastAsia"/>
                <w:color w:val="000000"/>
              </w:rPr>
            </w:pPr>
            <w:r>
              <w:rPr>
                <w:color w:val="000000"/>
              </w:rPr>
              <w:t>1499</w:t>
            </w:r>
          </w:p>
        </w:tc>
        <w:tc>
          <w:tcPr>
            <w:tcW w:w="470" w:type="pct"/>
            <w:tcBorders>
              <w:top w:val="single" w:color="000000" w:sz="8" w:space="0"/>
              <w:left w:val="single" w:color="000000" w:sz="8" w:space="0"/>
              <w:bottom w:val="single" w:color="000000" w:sz="8" w:space="0"/>
              <w:right w:val="nil"/>
            </w:tcBorders>
            <w:shd w:val="clear" w:color="auto" w:fill="FFFFFF"/>
            <w:vAlign w:val="center"/>
          </w:tcPr>
          <w:p w14:paraId="36B3FCC2">
            <w:pPr>
              <w:pStyle w:val="10"/>
              <w:bidi w:val="0"/>
              <w:jc w:val="center"/>
              <w:rPr>
                <w:rFonts w:hint="eastAsia"/>
                <w:color w:val="000000"/>
              </w:rPr>
            </w:pPr>
            <w:r>
              <w:rPr>
                <w:color w:val="000000"/>
              </w:rPr>
              <w:t>7655</w:t>
            </w:r>
          </w:p>
        </w:tc>
      </w:tr>
      <w:tr w14:paraId="6EB140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 w:type="pct"/>
            <w:tcBorders>
              <w:top w:val="single" w:color="000000" w:sz="8" w:space="0"/>
              <w:left w:val="nil"/>
              <w:bottom w:val="single" w:color="000000" w:sz="8" w:space="0"/>
              <w:right w:val="single" w:color="000000" w:sz="8" w:space="0"/>
            </w:tcBorders>
            <w:shd w:val="clear" w:color="auto" w:fill="FFFFFF"/>
            <w:vAlign w:val="center"/>
          </w:tcPr>
          <w:p w14:paraId="7CFCE3A4">
            <w:pPr>
              <w:pStyle w:val="10"/>
              <w:bidi w:val="0"/>
              <w:jc w:val="center"/>
              <w:rPr>
                <w:rFonts w:hint="eastAsia"/>
                <w:color w:val="000000"/>
              </w:rPr>
            </w:pPr>
            <w:r>
              <w:rPr>
                <w:rFonts w:hint="eastAsia"/>
                <w:color w:val="000000"/>
              </w:rPr>
              <w:t>合计</w:t>
            </w:r>
          </w:p>
        </w:tc>
        <w:tc>
          <w:tcPr>
            <w:tcW w:w="72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C3F5E68">
            <w:pPr>
              <w:pStyle w:val="10"/>
              <w:bidi w:val="0"/>
              <w:jc w:val="center"/>
              <w:rPr>
                <w:rFonts w:hint="eastAsia"/>
                <w:color w:val="000000"/>
              </w:rPr>
            </w:pPr>
            <w:r>
              <w:rPr>
                <w:rFonts w:hint="eastAsia"/>
                <w:color w:val="000000"/>
              </w:rPr>
              <w:t>152.93</w:t>
            </w:r>
          </w:p>
        </w:tc>
        <w:tc>
          <w:tcPr>
            <w:tcW w:w="45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DA1A6FE">
            <w:pPr>
              <w:pStyle w:val="10"/>
              <w:bidi w:val="0"/>
              <w:jc w:val="center"/>
              <w:rPr>
                <w:rFonts w:hint="eastAsia"/>
                <w:color w:val="000000"/>
              </w:rPr>
            </w:pPr>
            <w:r>
              <w:rPr>
                <w:rFonts w:hint="eastAsia"/>
                <w:color w:val="000000"/>
              </w:rPr>
              <w:t>215</w:t>
            </w:r>
          </w:p>
        </w:tc>
        <w:tc>
          <w:tcPr>
            <w:tcW w:w="40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655978B">
            <w:pPr>
              <w:pStyle w:val="10"/>
              <w:bidi w:val="0"/>
              <w:jc w:val="center"/>
              <w:rPr>
                <w:rFonts w:hint="eastAsia"/>
                <w:color w:val="000000"/>
              </w:rPr>
            </w:pPr>
            <w:r>
              <w:rPr>
                <w:rFonts w:hint="eastAsia"/>
                <w:color w:val="000000"/>
              </w:rPr>
              <w:t>11005</w:t>
            </w:r>
          </w:p>
        </w:tc>
        <w:tc>
          <w:tcPr>
            <w:tcW w:w="41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BE3D894">
            <w:pPr>
              <w:pStyle w:val="10"/>
              <w:bidi w:val="0"/>
              <w:jc w:val="center"/>
              <w:rPr>
                <w:rFonts w:hint="eastAsia"/>
                <w:color w:val="000000"/>
              </w:rPr>
            </w:pPr>
            <w:r>
              <w:rPr>
                <w:rFonts w:hint="eastAsia"/>
                <w:color w:val="000000"/>
              </w:rPr>
              <w:t>44971</w:t>
            </w:r>
          </w:p>
        </w:tc>
        <w:tc>
          <w:tcPr>
            <w:tcW w:w="35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8929684">
            <w:pPr>
              <w:pStyle w:val="10"/>
              <w:bidi w:val="0"/>
              <w:jc w:val="center"/>
              <w:rPr>
                <w:rFonts w:hint="eastAsia"/>
                <w:color w:val="000000"/>
              </w:rPr>
            </w:pPr>
            <w:r>
              <w:rPr>
                <w:rFonts w:hint="eastAsia"/>
                <w:color w:val="000000"/>
              </w:rPr>
              <w:t>21677</w:t>
            </w:r>
          </w:p>
        </w:tc>
        <w:tc>
          <w:tcPr>
            <w:tcW w:w="45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54A5F3E">
            <w:pPr>
              <w:pStyle w:val="10"/>
              <w:bidi w:val="0"/>
              <w:jc w:val="center"/>
              <w:rPr>
                <w:rFonts w:hint="eastAsia"/>
                <w:color w:val="000000"/>
              </w:rPr>
            </w:pPr>
            <w:r>
              <w:rPr>
                <w:rFonts w:hint="eastAsia"/>
                <w:color w:val="000000"/>
              </w:rPr>
              <w:t>48335</w:t>
            </w:r>
          </w:p>
        </w:tc>
        <w:tc>
          <w:tcPr>
            <w:tcW w:w="38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CF6B94A">
            <w:pPr>
              <w:pStyle w:val="10"/>
              <w:bidi w:val="0"/>
              <w:jc w:val="center"/>
              <w:rPr>
                <w:rFonts w:hint="eastAsia"/>
                <w:color w:val="000000"/>
              </w:rPr>
            </w:pPr>
            <w:r>
              <w:rPr>
                <w:rFonts w:hint="eastAsia"/>
                <w:color w:val="000000"/>
              </w:rPr>
              <w:t>32512</w:t>
            </w:r>
          </w:p>
        </w:tc>
        <w:tc>
          <w:tcPr>
            <w:tcW w:w="33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D67A646">
            <w:pPr>
              <w:pStyle w:val="10"/>
              <w:bidi w:val="0"/>
              <w:jc w:val="center"/>
              <w:rPr>
                <w:rFonts w:hint="eastAsia"/>
                <w:color w:val="000000"/>
              </w:rPr>
            </w:pPr>
            <w:r>
              <w:rPr>
                <w:rFonts w:hint="eastAsia"/>
                <w:color w:val="000000"/>
              </w:rPr>
              <w:t>15823</w:t>
            </w:r>
          </w:p>
        </w:tc>
        <w:tc>
          <w:tcPr>
            <w:tcW w:w="49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63012E6">
            <w:pPr>
              <w:pStyle w:val="10"/>
              <w:bidi w:val="0"/>
              <w:jc w:val="center"/>
              <w:rPr>
                <w:rFonts w:hint="eastAsia"/>
                <w:color w:val="000000"/>
              </w:rPr>
            </w:pPr>
            <w:r>
              <w:rPr>
                <w:rFonts w:hint="eastAsia"/>
                <w:color w:val="000000"/>
              </w:rPr>
              <w:t>65471</w:t>
            </w:r>
          </w:p>
        </w:tc>
        <w:tc>
          <w:tcPr>
            <w:tcW w:w="470" w:type="pct"/>
            <w:tcBorders>
              <w:top w:val="single" w:color="000000" w:sz="8" w:space="0"/>
              <w:left w:val="single" w:color="000000" w:sz="8" w:space="0"/>
              <w:bottom w:val="single" w:color="000000" w:sz="8" w:space="0"/>
              <w:right w:val="nil"/>
            </w:tcBorders>
            <w:shd w:val="clear" w:color="auto" w:fill="FFFFFF"/>
            <w:vAlign w:val="center"/>
          </w:tcPr>
          <w:p w14:paraId="7485659C">
            <w:pPr>
              <w:pStyle w:val="10"/>
              <w:bidi w:val="0"/>
              <w:jc w:val="center"/>
              <w:rPr>
                <w:rFonts w:hint="eastAsia"/>
                <w:color w:val="000000"/>
              </w:rPr>
            </w:pPr>
            <w:r>
              <w:rPr>
                <w:rFonts w:hint="eastAsia"/>
                <w:color w:val="000000"/>
              </w:rPr>
              <w:t>8387</w:t>
            </w:r>
          </w:p>
        </w:tc>
      </w:tr>
    </w:tbl>
    <w:p w14:paraId="7A2A7498">
      <w:pPr>
        <w:bidi w:val="0"/>
        <w:jc w:val="right"/>
        <w:rPr>
          <w:rFonts w:hint="eastAsia"/>
        </w:rPr>
      </w:pPr>
      <w:r>
        <w:rPr>
          <w:rFonts w:hint="eastAsia"/>
        </w:rPr>
        <w:t xml:space="preserve">（曾莉萍 </w:t>
      </w:r>
      <w:r>
        <w:rPr>
          <w:rFonts w:hint="eastAsia"/>
          <w:lang w:val="en-US" w:eastAsia="zh-CN"/>
        </w:rPr>
        <w:t xml:space="preserve"> </w:t>
      </w:r>
      <w:r>
        <w:rPr>
          <w:rFonts w:hint="eastAsia"/>
        </w:rPr>
        <w:t>谭坚斌）</w:t>
      </w:r>
    </w:p>
    <w:p w14:paraId="16E519F6">
      <w:pPr>
        <w:pStyle w:val="10"/>
        <w:bidi w:val="0"/>
        <w:rPr>
          <w:b/>
          <w:bCs/>
        </w:rPr>
      </w:pPr>
      <w:r>
        <w:rPr>
          <w:rFonts w:hint="eastAsia"/>
          <w:b/>
          <w:bCs/>
        </w:rPr>
        <w:t>附：</w:t>
      </w:r>
      <w:r>
        <w:rPr>
          <w:b/>
          <w:bCs/>
        </w:rPr>
        <w:t>2013年乌迳镇领导班子成员名单</w:t>
      </w:r>
    </w:p>
    <w:p w14:paraId="581E049A">
      <w:pPr>
        <w:pStyle w:val="10"/>
        <w:bidi w:val="0"/>
        <w:rPr>
          <w:rFonts w:hint="eastAsia"/>
        </w:rPr>
      </w:pPr>
      <w:r>
        <w:rPr>
          <w:rFonts w:hint="eastAsia"/>
          <w:b/>
          <w:bCs/>
        </w:rPr>
        <w:t>党委书记、人大主席：</w:t>
      </w:r>
      <w:r>
        <w:rPr>
          <w:rFonts w:hint="eastAsia"/>
        </w:rPr>
        <w:t>周铁山</w:t>
      </w:r>
    </w:p>
    <w:p w14:paraId="50BD7AA9">
      <w:pPr>
        <w:pStyle w:val="10"/>
        <w:bidi w:val="0"/>
        <w:rPr>
          <w:rFonts w:hint="eastAsia"/>
        </w:rPr>
      </w:pPr>
      <w:r>
        <w:rPr>
          <w:rFonts w:hint="eastAsia"/>
          <w:b/>
          <w:bCs/>
        </w:rPr>
        <w:t>党委副书记、镇长：</w:t>
      </w:r>
      <w:r>
        <w:rPr>
          <w:rFonts w:hint="eastAsia"/>
        </w:rPr>
        <w:t>李泉洲</w:t>
      </w:r>
    </w:p>
    <w:p w14:paraId="072B8486">
      <w:pPr>
        <w:pStyle w:val="10"/>
        <w:bidi w:val="0"/>
        <w:rPr>
          <w:rFonts w:hint="eastAsia"/>
        </w:rPr>
      </w:pPr>
      <w:r>
        <w:rPr>
          <w:rFonts w:hint="eastAsia"/>
          <w:b/>
          <w:bCs/>
        </w:rPr>
        <w:t>党委副书记：</w:t>
      </w:r>
      <w:r>
        <w:rPr>
          <w:rFonts w:hint="eastAsia"/>
        </w:rPr>
        <w:t>郭</w:t>
      </w:r>
      <w:r>
        <w:rPr>
          <w:rFonts w:hint="eastAsia"/>
          <w:lang w:val="en-US" w:eastAsia="zh-CN"/>
        </w:rPr>
        <w:t xml:space="preserve">  </w:t>
      </w:r>
      <w:r>
        <w:rPr>
          <w:rFonts w:hint="eastAsia"/>
        </w:rPr>
        <w:t>君</w:t>
      </w:r>
    </w:p>
    <w:p w14:paraId="086D4F67">
      <w:pPr>
        <w:pStyle w:val="10"/>
        <w:bidi w:val="0"/>
        <w:rPr>
          <w:rFonts w:hint="eastAsia"/>
        </w:rPr>
      </w:pPr>
      <w:r>
        <w:rPr>
          <w:rFonts w:hint="eastAsia"/>
          <w:b/>
          <w:bCs/>
        </w:rPr>
        <w:t>中心纪检组组长、纪委书记：</w:t>
      </w:r>
      <w:r>
        <w:rPr>
          <w:rFonts w:hint="eastAsia"/>
        </w:rPr>
        <w:t>刘发华</w:t>
      </w:r>
    </w:p>
    <w:p w14:paraId="06AC06C3">
      <w:pPr>
        <w:pStyle w:val="10"/>
        <w:bidi w:val="0"/>
        <w:rPr>
          <w:rFonts w:hint="eastAsia"/>
        </w:rPr>
      </w:pPr>
      <w:r>
        <w:rPr>
          <w:rFonts w:hint="eastAsia"/>
          <w:b/>
          <w:bCs/>
        </w:rPr>
        <w:t>组织委员：</w:t>
      </w:r>
      <w:r>
        <w:rPr>
          <w:rFonts w:hint="eastAsia"/>
        </w:rPr>
        <w:t>卢德斌</w:t>
      </w:r>
    </w:p>
    <w:p w14:paraId="4E5FF8DC">
      <w:pPr>
        <w:pStyle w:val="10"/>
        <w:bidi w:val="0"/>
        <w:rPr>
          <w:rFonts w:hint="eastAsia"/>
        </w:rPr>
      </w:pPr>
      <w:r>
        <w:rPr>
          <w:rFonts w:hint="eastAsia"/>
          <w:b/>
          <w:bCs/>
        </w:rPr>
        <w:t>宣传委员：</w:t>
      </w:r>
      <w:r>
        <w:rPr>
          <w:rFonts w:hint="eastAsia"/>
        </w:rPr>
        <w:t>苏渊白</w:t>
      </w:r>
    </w:p>
    <w:p w14:paraId="10CAE8B7">
      <w:pPr>
        <w:pStyle w:val="10"/>
        <w:bidi w:val="0"/>
        <w:rPr>
          <w:rFonts w:hint="eastAsia"/>
        </w:rPr>
      </w:pPr>
      <w:r>
        <w:rPr>
          <w:rFonts w:hint="eastAsia"/>
          <w:b/>
          <w:bCs/>
        </w:rPr>
        <w:t>人大副主席：</w:t>
      </w:r>
      <w:r>
        <w:rPr>
          <w:rFonts w:hint="eastAsia"/>
        </w:rPr>
        <w:t>赖荣禄</w:t>
      </w:r>
    </w:p>
    <w:p w14:paraId="3C6E8513">
      <w:pPr>
        <w:pStyle w:val="10"/>
        <w:bidi w:val="0"/>
        <w:rPr>
          <w:rFonts w:hint="eastAsia"/>
        </w:rPr>
      </w:pPr>
      <w:r>
        <w:rPr>
          <w:rFonts w:hint="eastAsia"/>
          <w:b/>
          <w:bCs/>
        </w:rPr>
        <w:t>武装部长：</w:t>
      </w:r>
      <w:r>
        <w:rPr>
          <w:rFonts w:hint="eastAsia"/>
        </w:rPr>
        <w:t>张卫平</w:t>
      </w:r>
    </w:p>
    <w:p w14:paraId="012C88CE">
      <w:pPr>
        <w:pStyle w:val="10"/>
        <w:bidi w:val="0"/>
        <w:rPr>
          <w:rFonts w:hint="eastAsia"/>
        </w:rPr>
      </w:pPr>
      <w:r>
        <w:rPr>
          <w:rFonts w:hint="eastAsia"/>
          <w:b/>
          <w:bCs/>
        </w:rPr>
        <w:t>综治办专职副主任：</w:t>
      </w:r>
      <w:r>
        <w:rPr>
          <w:rFonts w:hint="eastAsia"/>
        </w:rPr>
        <w:t>董书怡</w:t>
      </w:r>
    </w:p>
    <w:p w14:paraId="140B332C">
      <w:pPr>
        <w:pStyle w:val="10"/>
        <w:bidi w:val="0"/>
        <w:rPr>
          <w:rFonts w:hint="eastAsia"/>
        </w:rPr>
      </w:pPr>
      <w:r>
        <w:rPr>
          <w:rFonts w:hint="eastAsia"/>
          <w:b/>
          <w:bCs/>
        </w:rPr>
        <w:t>党委委员：</w:t>
      </w:r>
      <w:r>
        <w:rPr>
          <w:rFonts w:hint="eastAsia"/>
        </w:rPr>
        <w:t>谢章文</w:t>
      </w:r>
    </w:p>
    <w:p w14:paraId="290DF7EB">
      <w:pPr>
        <w:pStyle w:val="10"/>
        <w:bidi w:val="0"/>
        <w:rPr>
          <w:rFonts w:hint="eastAsia"/>
        </w:rPr>
      </w:pPr>
      <w:r>
        <w:rPr>
          <w:rFonts w:hint="eastAsia"/>
          <w:b/>
          <w:bCs/>
        </w:rPr>
        <w:t>副镇长：</w:t>
      </w:r>
      <w:r>
        <w:rPr>
          <w:rFonts w:hint="eastAsia"/>
        </w:rPr>
        <w:t>沈建强</w:t>
      </w:r>
      <w:r>
        <w:rPr>
          <w:rFonts w:hint="eastAsia"/>
          <w:lang w:val="en-US" w:eastAsia="zh-CN"/>
        </w:rPr>
        <w:t xml:space="preserve">   </w:t>
      </w:r>
      <w:r>
        <w:rPr>
          <w:rFonts w:hint="eastAsia"/>
        </w:rPr>
        <w:t>叶永明</w:t>
      </w:r>
      <w:r>
        <w:rPr>
          <w:rFonts w:hint="eastAsia"/>
          <w:lang w:val="en-US" w:eastAsia="zh-CN"/>
        </w:rPr>
        <w:t xml:space="preserve">   </w:t>
      </w:r>
      <w:r>
        <w:rPr>
          <w:rFonts w:hint="eastAsia"/>
        </w:rPr>
        <w:t>刘海燕</w:t>
      </w:r>
    </w:p>
    <w:p w14:paraId="04463B4D">
      <w:pPr>
        <w:pStyle w:val="3"/>
        <w:bidi w:val="0"/>
        <w:rPr>
          <w:rFonts w:hint="eastAsia"/>
        </w:rPr>
      </w:pPr>
      <w:r>
        <w:rPr>
          <w:rFonts w:hint="eastAsia"/>
        </w:rPr>
        <w:t>坪田镇</w:t>
      </w:r>
    </w:p>
    <w:p w14:paraId="1E94966F">
      <w:pPr>
        <w:pStyle w:val="4"/>
        <w:bidi w:val="0"/>
        <w:rPr>
          <w:rFonts w:hint="eastAsia"/>
        </w:rPr>
      </w:pPr>
      <w:r>
        <w:rPr>
          <w:rFonts w:hint="eastAsia"/>
        </w:rPr>
        <w:t>【概况】</w:t>
      </w:r>
    </w:p>
    <w:p w14:paraId="3F81E05C">
      <w:pPr>
        <w:rPr>
          <w:rFonts w:hint="eastAsia"/>
          <w:lang w:eastAsia="zh-CN"/>
        </w:rPr>
      </w:pPr>
      <w:r>
        <w:rPr>
          <w:rFonts w:hint="eastAsia"/>
        </w:rPr>
        <w:t>坪田镇位于南雄市东部，东与界址镇和江西省信丰县万隆乡为邻、南与江西省全南县社迳乡相邻，镇政府驻地距南雄市区</w:t>
      </w:r>
      <w:r>
        <w:t>43公里。坪田镇</w:t>
      </w:r>
      <w:r>
        <w:rPr>
          <w:rFonts w:hint="eastAsia"/>
        </w:rPr>
        <w:t>辖内有</w:t>
      </w:r>
      <w:r>
        <w:t>14个村委会和1个社区居委会，共179个村</w:t>
      </w:r>
      <w:r>
        <w:rPr>
          <w:rFonts w:hint="eastAsia"/>
        </w:rPr>
        <w:t>民小组和</w:t>
      </w:r>
      <w:r>
        <w:t>2个居民小组。2013年末全镇总人口26391人，6904户，其中农业人口25291人。全镇</w:t>
      </w:r>
      <w:r>
        <w:rPr>
          <w:rFonts w:hint="eastAsia"/>
        </w:rPr>
        <w:t>区域面积</w:t>
      </w:r>
      <w:r>
        <w:t>142.39平方公里。耕地面积为3.9万亩</w:t>
      </w:r>
      <w:r>
        <w:rPr>
          <w:rFonts w:hint="eastAsia"/>
          <w:lang w:eastAsia="zh-CN"/>
        </w:rPr>
        <w:t>，</w:t>
      </w:r>
      <w:r>
        <w:rPr>
          <w:rFonts w:hint="eastAsia"/>
        </w:rPr>
        <w:t>山林面积</w:t>
      </w:r>
      <w:r>
        <w:t>14.3万亩，省级生态公益林3.4万亩</w:t>
      </w:r>
      <w:r>
        <w:rPr>
          <w:rFonts w:hint="eastAsia"/>
          <w:lang w:eastAsia="zh-CN"/>
        </w:rPr>
        <w:t>。</w:t>
      </w:r>
    </w:p>
    <w:p w14:paraId="635533DD">
      <w:pPr>
        <w:rPr>
          <w:rFonts w:hint="eastAsia"/>
        </w:rPr>
      </w:pPr>
      <w:r>
        <w:rPr>
          <w:rFonts w:hint="eastAsia"/>
        </w:rPr>
        <w:t>坪田镇地处</w:t>
      </w:r>
      <w:r>
        <w:rPr>
          <w:rFonts w:hint="eastAsia"/>
          <w:lang w:eastAsia="zh-CN"/>
        </w:rPr>
        <w:t>粤</w:t>
      </w:r>
      <w:r>
        <w:rPr>
          <w:rFonts w:hint="eastAsia"/>
        </w:rPr>
        <w:t>北山区，属中亚热带季风性山地湿润气候，全镇</w:t>
      </w:r>
      <w:r>
        <w:t>50%以上面积在海拔400米以上</w:t>
      </w:r>
      <w:r>
        <w:rPr>
          <w:rFonts w:hint="eastAsia"/>
          <w:lang w:eastAsia="zh-CN"/>
        </w:rPr>
        <w:t>，</w:t>
      </w:r>
      <w:r>
        <w:rPr>
          <w:rFonts w:hint="eastAsia"/>
        </w:rPr>
        <w:t>境内农产品丰富，主要有水稻、黄烟、西瓜、玉米、大豆，尤以盛产白果、油茶而闻名海内外。农业主产以黄烟、水稻、花生为主，其中黄烟是该镇的传统支柱产业。主要经济林木有银杏、油茶、板栗、毛竹，用材林有马尾松、杉树、枫树、樟树等。坪田镇境内拥有丰富的莹石矿资源，主要集中在中坪、迳洞、汪汤等地。</w:t>
      </w:r>
    </w:p>
    <w:p w14:paraId="41695883">
      <w:pPr>
        <w:pStyle w:val="4"/>
        <w:bidi w:val="0"/>
        <w:rPr>
          <w:rFonts w:hint="eastAsia"/>
        </w:rPr>
      </w:pPr>
      <w:r>
        <w:rPr>
          <w:rFonts w:hint="eastAsia"/>
        </w:rPr>
        <w:t>【特色产业】</w:t>
      </w:r>
    </w:p>
    <w:p w14:paraId="18A314F7">
      <w:pPr>
        <w:rPr>
          <w:rFonts w:hint="eastAsia"/>
        </w:rPr>
      </w:pPr>
      <w:r>
        <w:rPr>
          <w:rFonts w:hint="eastAsia"/>
        </w:rPr>
        <w:t>油茶产业发展迅速，茶籽油当地又称“木籽油”，是世界上公认为无任何污染、纯天然的植物木本科油类，它既可药用又可大量用于日常食用。</w:t>
      </w:r>
      <w:r>
        <w:t>2013年该镇已种植油茶13000亩，其中6000亩已挂果，年产茶籽油150吨，产值达300</w:t>
      </w:r>
      <w:r>
        <w:rPr>
          <w:rFonts w:hint="eastAsia"/>
        </w:rPr>
        <w:t>万元。</w:t>
      </w:r>
    </w:p>
    <w:p w14:paraId="6138A6E1">
      <w:r>
        <w:rPr>
          <w:rFonts w:hint="eastAsia"/>
        </w:rPr>
        <w:t>坪田白果历史悠久，经考证距今</w:t>
      </w:r>
      <w:r>
        <w:t>1300多年的</w:t>
      </w:r>
      <w:r>
        <w:rPr>
          <w:rFonts w:hint="eastAsia"/>
        </w:rPr>
        <w:t>古白果树就在境内。坪田白果以其粒大壳薄、肉质柔软、清香无苦味等与众不同特点享誉东南亚、香港和珠江三角洲。每年</w:t>
      </w:r>
      <w:r>
        <w:t>9月份开始为白果出产时</w:t>
      </w:r>
      <w:r>
        <w:rPr>
          <w:rFonts w:hint="eastAsia"/>
        </w:rPr>
        <w:t>节，截止至</w:t>
      </w:r>
      <w:r>
        <w:t>2013年，坪田产优质白果约280吨，</w:t>
      </w:r>
      <w:r>
        <w:rPr>
          <w:rFonts w:hint="eastAsia"/>
        </w:rPr>
        <w:t>市价约</w:t>
      </w:r>
      <w:r>
        <w:t>14元/市斤。</w:t>
      </w:r>
    </w:p>
    <w:p w14:paraId="6A6C3224">
      <w:pPr>
        <w:pStyle w:val="4"/>
        <w:bidi w:val="0"/>
        <w:rPr>
          <w:rFonts w:hint="eastAsia"/>
        </w:rPr>
      </w:pPr>
      <w:r>
        <w:rPr>
          <w:rFonts w:hint="eastAsia"/>
        </w:rPr>
        <w:t>【经济发展】</w:t>
      </w:r>
    </w:p>
    <w:p w14:paraId="176AC266">
      <w:r>
        <w:t>2013年坪田镇实现农村经济总收入</w:t>
      </w:r>
      <w:r>
        <w:rPr>
          <w:rFonts w:hint="eastAsia"/>
        </w:rPr>
        <w:t>为</w:t>
      </w:r>
      <w:r>
        <w:t>2.46亿元，比上年度增长12.84%；农村居民人</w:t>
      </w:r>
      <w:r>
        <w:rPr>
          <w:rFonts w:hint="eastAsia"/>
        </w:rPr>
        <w:t>均纯收入为</w:t>
      </w:r>
      <w:r>
        <w:t>7099元，比上年度增长10.02%。财政</w:t>
      </w:r>
      <w:r>
        <w:rPr>
          <w:rFonts w:hint="eastAsia"/>
        </w:rPr>
        <w:t>收入</w:t>
      </w:r>
      <w:r>
        <w:t>158.3万元，比上年度增长13.4%。</w:t>
      </w:r>
    </w:p>
    <w:p w14:paraId="5D50C63F">
      <w:r>
        <w:t>2013年全镇黄烟种植面积达5188亩，收购烟</w:t>
      </w:r>
      <w:r>
        <w:rPr>
          <w:rFonts w:hint="eastAsia"/>
        </w:rPr>
        <w:t>叶</w:t>
      </w:r>
      <w:r>
        <w:t>1.48万担，收购资金达1510万元，收购均价为9.13元</w:t>
      </w:r>
      <w:r>
        <w:rPr>
          <w:rFonts w:hint="eastAsia"/>
          <w:lang w:val="en-US" w:eastAsia="zh-CN"/>
        </w:rPr>
        <w:t>/</w:t>
      </w:r>
      <w:r>
        <w:t>市斤，收购单价连续5年每市斤增加20%</w:t>
      </w:r>
      <w:r>
        <w:rPr>
          <w:rFonts w:hint="eastAsia"/>
        </w:rPr>
        <w:t>以上，烟农得到实惠，发展烟叶种植大户</w:t>
      </w:r>
      <w:r>
        <w:t>24户，</w:t>
      </w:r>
      <w:r>
        <w:rPr>
          <w:rFonts w:hint="eastAsia"/>
        </w:rPr>
        <w:t>比去年增加</w:t>
      </w:r>
      <w:r>
        <w:t>18户。坚持稳定面积，提高产量，保</w:t>
      </w:r>
      <w:r>
        <w:rPr>
          <w:rFonts w:hint="eastAsia"/>
        </w:rPr>
        <w:t>障粮食生产，</w:t>
      </w:r>
      <w:r>
        <w:t>2013年种植粮食4.16万亩，粮食总</w:t>
      </w:r>
      <w:r>
        <w:rPr>
          <w:rFonts w:hint="eastAsia"/>
          <w:lang w:val="en-US" w:eastAsia="zh-CN"/>
        </w:rPr>
        <w:t>产</w:t>
      </w:r>
      <w:r>
        <w:rPr>
          <w:rFonts w:hint="eastAsia"/>
        </w:rPr>
        <w:t>量</w:t>
      </w:r>
      <w:r>
        <w:t>1.77万吨，连续10年粮食产量增长。</w:t>
      </w:r>
    </w:p>
    <w:p w14:paraId="3BBF2729">
      <w:pPr>
        <w:pStyle w:val="4"/>
        <w:bidi w:val="0"/>
        <w:rPr>
          <w:rFonts w:hint="eastAsia"/>
        </w:rPr>
      </w:pPr>
      <w:r>
        <w:rPr>
          <w:rFonts w:hint="eastAsia"/>
          <w:lang w:eastAsia="zh-CN"/>
        </w:rPr>
        <w:t>【</w:t>
      </w:r>
      <w:r>
        <w:rPr>
          <w:rFonts w:hint="eastAsia"/>
        </w:rPr>
        <w:t>畜牧业生产】</w:t>
      </w:r>
    </w:p>
    <w:p w14:paraId="14A40518">
      <w:r>
        <w:t>2013年，全镇生猪出栏量1.6万</w:t>
      </w:r>
      <w:r>
        <w:rPr>
          <w:rFonts w:hint="eastAsia"/>
        </w:rPr>
        <w:t>头，千头以上规模养殖户达</w:t>
      </w:r>
      <w:r>
        <w:t>25户。</w:t>
      </w:r>
      <w:r>
        <w:rPr>
          <w:rFonts w:hint="eastAsia"/>
          <w:lang w:val="en-US" w:eastAsia="zh-CN"/>
        </w:rPr>
        <w:t>鸡</w:t>
      </w:r>
      <w:r>
        <w:t>、</w:t>
      </w:r>
      <w:r>
        <w:rPr>
          <w:rFonts w:hint="eastAsia"/>
          <w:lang w:val="en-US" w:eastAsia="zh-CN"/>
        </w:rPr>
        <w:t>鸭</w:t>
      </w:r>
      <w:r>
        <w:t>、鹅出</w:t>
      </w:r>
      <w:r>
        <w:rPr>
          <w:rFonts w:hint="eastAsia"/>
        </w:rPr>
        <w:t>栏总量超</w:t>
      </w:r>
      <w:r>
        <w:t>30万只，规模以上养殖户达200多户。</w:t>
      </w:r>
      <w:r>
        <w:rPr>
          <w:rFonts w:hint="eastAsia"/>
        </w:rPr>
        <w:t>在扶贫单位的帮扶下，发展五黑鸡、黑山羊等特色养殖户</w:t>
      </w:r>
      <w:r>
        <w:t>300多户。</w:t>
      </w:r>
    </w:p>
    <w:p w14:paraId="26E3EC14">
      <w:pPr>
        <w:pStyle w:val="4"/>
        <w:bidi w:val="0"/>
        <w:rPr>
          <w:rFonts w:hint="eastAsia"/>
        </w:rPr>
      </w:pPr>
      <w:r>
        <w:rPr>
          <w:rFonts w:hint="eastAsia"/>
          <w:lang w:eastAsia="zh-CN"/>
        </w:rPr>
        <w:t>【</w:t>
      </w:r>
      <w:r>
        <w:rPr>
          <w:rFonts w:hint="eastAsia"/>
        </w:rPr>
        <w:t>旅游资源】</w:t>
      </w:r>
    </w:p>
    <w:p w14:paraId="0FDED294">
      <w:pPr>
        <w:rPr>
          <w:rFonts w:hint="eastAsia"/>
        </w:rPr>
      </w:pPr>
      <w:r>
        <w:rPr>
          <w:rFonts w:hint="eastAsia"/>
        </w:rPr>
        <w:t>坪田的银杏旅游资源主要分布在新墟坳背、迳洞冯屋、坪田军营寨、邓坳、龙头等村落。目前“银杏染秋”已成为南雄秋冬时节的一个重要的旅游观光景点。“银杏染秋”观赏时间</w:t>
      </w:r>
      <w:r>
        <w:rPr>
          <w:rFonts w:hint="eastAsia"/>
          <w:lang w:val="en-US" w:eastAsia="zh-CN"/>
        </w:rPr>
        <w:t>从</w:t>
      </w:r>
      <w:r>
        <w:t>11</w:t>
      </w:r>
      <w:r>
        <w:rPr>
          <w:rFonts w:hint="eastAsia"/>
        </w:rPr>
        <w:t>月中旬开始至</w:t>
      </w:r>
      <w:r>
        <w:t>12月中旬，此时古银杏树上树叶染</w:t>
      </w:r>
      <w:r>
        <w:rPr>
          <w:rFonts w:hint="eastAsia"/>
        </w:rPr>
        <w:t>黄，飘落地上，一片金黄，每年吸引游客</w:t>
      </w:r>
      <w:r>
        <w:t>2万多人</w:t>
      </w:r>
      <w:r>
        <w:rPr>
          <w:rFonts w:hint="eastAsia"/>
        </w:rPr>
        <w:t>次。近两年来，坪田银杏景区的基础设施不断完善，新墟文体广场、农土特一条街已在规划建设当中。</w:t>
      </w:r>
    </w:p>
    <w:p w14:paraId="5A391746">
      <w:pPr>
        <w:rPr>
          <w:rFonts w:hint="eastAsia"/>
        </w:rPr>
      </w:pPr>
      <w:r>
        <w:rPr>
          <w:rFonts w:hint="eastAsia"/>
        </w:rPr>
        <w:t>坪田新龙塔，坐落在龙口村，建于宋朝，是南雄十塔之一，属南雄市重点保护文物。古塔高五层，塔平面呈六角形，为楼阁式五层空心砖塔，每层六面均开一圭形门，古塔垂直</w:t>
      </w:r>
      <w:r>
        <w:t>21.4米，基围19.2米，直径5.6米。曾在2011年进行修葺，修</w:t>
      </w:r>
      <w:r>
        <w:rPr>
          <w:rFonts w:hint="eastAsia"/>
          <w:lang w:val="en-US" w:eastAsia="zh-CN"/>
        </w:rPr>
        <w:t>缮</w:t>
      </w:r>
      <w:r>
        <w:rPr>
          <w:rFonts w:hint="eastAsia"/>
        </w:rPr>
        <w:t>后古塔更显挺拔苍劲。</w:t>
      </w:r>
    </w:p>
    <w:p w14:paraId="11759B08">
      <w:pPr>
        <w:pStyle w:val="4"/>
        <w:bidi w:val="0"/>
        <w:rPr>
          <w:rFonts w:hint="eastAsia"/>
        </w:rPr>
      </w:pPr>
      <w:r>
        <w:rPr>
          <w:rFonts w:hint="eastAsia"/>
        </w:rPr>
        <w:t>【基础设施】</w:t>
      </w:r>
    </w:p>
    <w:p w14:paraId="7D0B6180">
      <w:r>
        <w:rPr>
          <w:rFonts w:hint="eastAsia"/>
        </w:rPr>
        <w:t>完成</w:t>
      </w:r>
      <w:r>
        <w:t>3.3公里村道水泥硬化。完成</w:t>
      </w:r>
      <w:r>
        <w:rPr>
          <w:rFonts w:hint="eastAsia"/>
        </w:rPr>
        <w:t>县道</w:t>
      </w:r>
      <w:r>
        <w:rPr>
          <w:rFonts w:hint="eastAsia"/>
          <w:lang w:val="en-US" w:eastAsia="zh-CN"/>
        </w:rPr>
        <w:t>X</w:t>
      </w:r>
      <w:r>
        <w:t>343线黄泥井一坪田圩全线交通保障工程，</w:t>
      </w:r>
      <w:r>
        <w:rPr>
          <w:rFonts w:hint="eastAsia"/>
        </w:rPr>
        <w:t>在高危边坡路段浇筑防撞栏，埋设警示桩，完善交通标识牌。在水利建设方面，争取资金</w:t>
      </w:r>
      <w:r>
        <w:t>860万，完</w:t>
      </w:r>
      <w:r>
        <w:rPr>
          <w:rFonts w:hint="eastAsia"/>
        </w:rPr>
        <w:t>成水圳“三面光”建设工程，包括长坑村塔塘、龙口樟荒拦河陂头建设，背迳樟岭引水陂头建设，确保</w:t>
      </w:r>
      <w:r>
        <w:t>3450亩农田灌溉用水，受益农户1274户。在农</w:t>
      </w:r>
      <w:r>
        <w:rPr>
          <w:rFonts w:hint="eastAsia"/>
        </w:rPr>
        <w:t>村基层设施方面，通过农村“一事一议”项目，争取资金</w:t>
      </w:r>
      <w:r>
        <w:t>12万元完成迳洞村委会文体广场建设工程</w:t>
      </w:r>
      <w:r>
        <w:rPr>
          <w:rFonts w:hint="eastAsia"/>
        </w:rPr>
        <w:t>和路灯“亮化”工程，完成军营寨景区公厕建设</w:t>
      </w:r>
      <w:r>
        <w:rPr>
          <w:rFonts w:hint="eastAsia"/>
          <w:lang w:eastAsia="zh-CN"/>
        </w:rPr>
        <w:t>、</w:t>
      </w:r>
      <w:r>
        <w:rPr>
          <w:rFonts w:hint="eastAsia"/>
        </w:rPr>
        <w:t>文化室建设和感应路灯建设工程。此外还争取到资金</w:t>
      </w:r>
      <w:r>
        <w:t>240万元，新建烤烟房60间。</w:t>
      </w:r>
    </w:p>
    <w:p w14:paraId="6DBC1AFA">
      <w:pPr>
        <w:pStyle w:val="4"/>
        <w:bidi w:val="0"/>
        <w:rPr>
          <w:rFonts w:hint="eastAsia"/>
        </w:rPr>
      </w:pPr>
      <w:r>
        <w:rPr>
          <w:rFonts w:hint="eastAsia"/>
        </w:rPr>
        <w:t>【教育事业】</w:t>
      </w:r>
    </w:p>
    <w:p w14:paraId="05111296">
      <w:pPr>
        <w:rPr>
          <w:rFonts w:hint="eastAsia"/>
        </w:rPr>
      </w:pPr>
      <w:r>
        <w:rPr>
          <w:rFonts w:hint="eastAsia"/>
        </w:rPr>
        <w:t>坪田镇始终坚持“教育优先发展”战略，积极争取上级资金支持，</w:t>
      </w:r>
      <w:r>
        <w:t>2013年投入资金30万元，重新规划建设坪田中学校门。争取资金40万元，解决学校自来水问题，保障学生宿舍生活</w:t>
      </w:r>
      <w:r>
        <w:rPr>
          <w:rFonts w:hint="eastAsia"/>
        </w:rPr>
        <w:t>用水。</w:t>
      </w:r>
    </w:p>
    <w:p w14:paraId="46295178">
      <w:pPr>
        <w:rPr>
          <w:rFonts w:hint="eastAsia"/>
          <w:lang w:eastAsia="zh-CN"/>
        </w:rPr>
      </w:pPr>
      <w:r>
        <w:rPr>
          <w:rFonts w:hint="eastAsia"/>
        </w:rPr>
        <w:t>该镇于</w:t>
      </w:r>
      <w:r>
        <w:t>2013年4月顺利通过</w:t>
      </w:r>
      <w:r>
        <w:rPr>
          <w:rFonts w:hint="eastAsia" w:ascii="宋体" w:hAnsi="宋体" w:cs="宋体"/>
        </w:rPr>
        <w:t>“</w:t>
      </w:r>
      <w:r>
        <w:t>广东省教育强</w:t>
      </w:r>
      <w:r>
        <w:rPr>
          <w:rFonts w:hint="eastAsia"/>
        </w:rPr>
        <w:t>镇”验收</w:t>
      </w:r>
      <w:r>
        <w:rPr>
          <w:rFonts w:hint="eastAsia"/>
          <w:lang w:eastAsia="zh-CN"/>
        </w:rPr>
        <w:t>。</w:t>
      </w:r>
    </w:p>
    <w:p w14:paraId="05299BE9">
      <w:r>
        <w:t>2013年，建成广东省规范化学校3所、即初级</w:t>
      </w:r>
      <w:r>
        <w:rPr>
          <w:rFonts w:hint="eastAsia"/>
        </w:rPr>
        <w:t>中学</w:t>
      </w:r>
      <w:r>
        <w:t>1所，完全小学2所，镇中心幼儿园1所，镇</w:t>
      </w:r>
      <w:r>
        <w:rPr>
          <w:rFonts w:hint="eastAsia"/>
        </w:rPr>
        <w:t>民办幼儿园</w:t>
      </w:r>
      <w:r>
        <w:t>1所，镇成人文化技术学校1所。</w:t>
      </w:r>
    </w:p>
    <w:p w14:paraId="65C77743">
      <w:pPr>
        <w:pStyle w:val="4"/>
        <w:bidi w:val="0"/>
        <w:rPr>
          <w:rFonts w:hint="eastAsia"/>
        </w:rPr>
      </w:pPr>
      <w:r>
        <w:rPr>
          <w:rFonts w:hint="eastAsia"/>
        </w:rPr>
        <w:t>【扶贫双到】</w:t>
      </w:r>
    </w:p>
    <w:p w14:paraId="4D65402B">
      <w:pPr>
        <w:rPr>
          <w:rFonts w:hint="eastAsia"/>
        </w:rPr>
      </w:pPr>
      <w:r>
        <w:rPr>
          <w:rFonts w:hint="eastAsia"/>
        </w:rPr>
        <w:t>坪田镇全面落实扶贫开发“双到”政策，加强资金项目到村到户对口帮扶。经过多方共同努力筹集资金</w:t>
      </w:r>
      <w:r>
        <w:t>986.031万元，其中到村资金862.736万元，到户资金16.738万元，落实帮扶项</w:t>
      </w:r>
      <w:r>
        <w:rPr>
          <w:rFonts w:hint="eastAsia"/>
        </w:rPr>
        <w:t>目</w:t>
      </w:r>
      <w:r>
        <w:t>21个，年集体经济收入均超过5万元，贫困户</w:t>
      </w:r>
      <w:r>
        <w:rPr>
          <w:rFonts w:hint="eastAsia"/>
        </w:rPr>
        <w:t>年人均纯收入达</w:t>
      </w:r>
      <w:r>
        <w:t>7842元，坪田镇省第一批7个贫</w:t>
      </w:r>
      <w:r>
        <w:rPr>
          <w:rFonts w:hint="eastAsia"/>
        </w:rPr>
        <w:t>困村</w:t>
      </w:r>
      <w:r>
        <w:t>555户贫困户，共2088人全部实现脱贫。小</w:t>
      </w:r>
      <w:r>
        <w:rPr>
          <w:rFonts w:hint="eastAsia"/>
        </w:rPr>
        <w:t>塘、龙口、横岭、背迳等第二批</w:t>
      </w:r>
      <w:r>
        <w:t>4个贫困村139户</w:t>
      </w:r>
      <w:r>
        <w:rPr>
          <w:rFonts w:hint="eastAsia"/>
        </w:rPr>
        <w:t>贫困户全部纳入新型农村基本保障体系，免费购买合作医疗保险、新型农村社会养老保险。现在新</w:t>
      </w:r>
      <w:r>
        <w:rPr>
          <w:rFonts w:hint="eastAsia"/>
          <w:lang w:val="en-US" w:eastAsia="zh-CN"/>
        </w:rPr>
        <w:t>一</w:t>
      </w:r>
      <w:r>
        <w:rPr>
          <w:rFonts w:hint="eastAsia"/>
        </w:rPr>
        <w:t>轮扶贫帮扶的</w:t>
      </w:r>
      <w:r>
        <w:t>4个贫困村也已全面建立了扶贫开发</w:t>
      </w:r>
      <w:r>
        <w:rPr>
          <w:rFonts w:hint="eastAsia"/>
        </w:rPr>
        <w:t>方案，后续扶贫工作稳步推进。</w:t>
      </w:r>
    </w:p>
    <w:p w14:paraId="6BB37CAC">
      <w:pPr>
        <w:pStyle w:val="4"/>
        <w:bidi w:val="0"/>
        <w:rPr>
          <w:rFonts w:hint="eastAsia"/>
        </w:rPr>
      </w:pPr>
      <w:r>
        <w:rPr>
          <w:rFonts w:hint="eastAsia"/>
        </w:rPr>
        <w:t>【两</w:t>
      </w:r>
      <w:r>
        <w:rPr>
          <w:rFonts w:hint="eastAsia"/>
          <w:lang w:val="en-US" w:eastAsia="zh-CN"/>
        </w:rPr>
        <w:t>违</w:t>
      </w:r>
      <w:r>
        <w:rPr>
          <w:rFonts w:hint="eastAsia"/>
        </w:rPr>
        <w:t>整治】</w:t>
      </w:r>
    </w:p>
    <w:p w14:paraId="45E0B004">
      <w:pPr>
        <w:rPr>
          <w:rFonts w:hint="eastAsia"/>
        </w:rPr>
      </w:pPr>
      <w:r>
        <w:rPr>
          <w:rFonts w:hint="eastAsia"/>
        </w:rPr>
        <w:t>坪田镇落实严格的耕地保护责任制和土地管理责任制，切实坚守耕地红线，统筹规划国土资源开发和整治。加强土地执法监察，强化耕地占用税征收工作，扎实开展“两违”</w:t>
      </w:r>
      <w:r>
        <w:rPr>
          <w:rFonts w:hint="eastAsia"/>
          <w:lang w:eastAsia="zh-CN"/>
        </w:rPr>
        <w:t>整治</w:t>
      </w:r>
      <w:r>
        <w:rPr>
          <w:rFonts w:hint="eastAsia"/>
        </w:rPr>
        <w:t>，特别是严厉打击违法占用耕地建房行为，</w:t>
      </w:r>
      <w:r>
        <w:t>2013年拆除违</w:t>
      </w:r>
      <w:r>
        <w:rPr>
          <w:rFonts w:hint="eastAsia"/>
        </w:rPr>
        <w:t>建</w:t>
      </w:r>
      <w:r>
        <w:t>7户600平方米。加大矿产资源保护力度，动态</w:t>
      </w:r>
      <w:r>
        <w:rPr>
          <w:rFonts w:hint="eastAsia"/>
        </w:rPr>
        <w:t>巡</w:t>
      </w:r>
      <w:r>
        <w:rPr>
          <w:rFonts w:hint="eastAsia"/>
          <w:lang w:eastAsia="zh-CN"/>
        </w:rPr>
        <w:t>查</w:t>
      </w:r>
      <w:r>
        <w:rPr>
          <w:rFonts w:hint="eastAsia"/>
        </w:rPr>
        <w:t>与重点巡</w:t>
      </w:r>
      <w:r>
        <w:rPr>
          <w:rFonts w:hint="eastAsia"/>
          <w:lang w:eastAsia="zh-CN"/>
        </w:rPr>
        <w:t>查</w:t>
      </w:r>
      <w:r>
        <w:rPr>
          <w:rFonts w:hint="eastAsia"/>
        </w:rPr>
        <w:t>相结合，杜绝非法开采稀土矿行为。</w:t>
      </w:r>
    </w:p>
    <w:p w14:paraId="06A979F6">
      <w:pPr>
        <w:pStyle w:val="4"/>
        <w:bidi w:val="0"/>
        <w:rPr>
          <w:rFonts w:hint="eastAsia"/>
        </w:rPr>
      </w:pPr>
      <w:r>
        <w:rPr>
          <w:rFonts w:hint="eastAsia"/>
          <w:lang w:eastAsia="zh-CN"/>
        </w:rPr>
        <w:t>【</w:t>
      </w:r>
      <w:r>
        <w:rPr>
          <w:rFonts w:hint="eastAsia"/>
        </w:rPr>
        <w:t>社会综合治理】</w:t>
      </w:r>
    </w:p>
    <w:p w14:paraId="129BA58F">
      <w:r>
        <w:rPr>
          <w:rFonts w:hint="eastAsia"/>
        </w:rPr>
        <w:t>该镇扎实开展“平安坪田”建设，社会综合治理力度加强，完善矛盾排</w:t>
      </w:r>
      <w:r>
        <w:rPr>
          <w:rFonts w:hint="eastAsia"/>
          <w:lang w:eastAsia="zh-CN"/>
        </w:rPr>
        <w:t>查</w:t>
      </w:r>
      <w:r>
        <w:rPr>
          <w:rFonts w:hint="eastAsia"/>
        </w:rPr>
        <w:t>、调处和预警机制，落实工作责任制，着力解决信访突发问题和群众合理诉求，化解社会矛盾能力加强。</w:t>
      </w:r>
      <w:r>
        <w:t>2013年镇领导接访114批165人次，受理群众信访28件，化解矛盾纠纷27起，信访办结率达96%</w:t>
      </w:r>
      <w:r>
        <w:rPr>
          <w:rFonts w:hint="eastAsia"/>
          <w:lang w:eastAsia="zh-CN"/>
        </w:rPr>
        <w:t>。</w:t>
      </w:r>
      <w:r>
        <w:rPr>
          <w:rFonts w:hint="eastAsia"/>
        </w:rPr>
        <w:t>打击各类违法犯罪力度加大，预防和处置突发事件能力不断提</w:t>
      </w:r>
      <w:r>
        <w:rPr>
          <w:rFonts w:hint="eastAsia"/>
          <w:lang w:eastAsia="zh-CN"/>
        </w:rPr>
        <w:t>高</w:t>
      </w:r>
      <w:r>
        <w:rPr>
          <w:rFonts w:hint="eastAsia"/>
        </w:rPr>
        <w:t>。推进依法行政，深入开展普法工作和人民调解工作，</w:t>
      </w:r>
      <w:r>
        <w:t>2013年社区矫正6人，安置帮教4人。</w:t>
      </w:r>
    </w:p>
    <w:p w14:paraId="39490F01">
      <w:pPr>
        <w:pStyle w:val="4"/>
        <w:bidi w:val="0"/>
        <w:rPr>
          <w:rFonts w:hint="eastAsia"/>
        </w:rPr>
      </w:pPr>
      <w:r>
        <w:rPr>
          <w:rFonts w:hint="eastAsia"/>
        </w:rPr>
        <w:t>【计生工作】</w:t>
      </w:r>
    </w:p>
    <w:p w14:paraId="1B9F2C96">
      <w:r>
        <w:rPr>
          <w:rFonts w:hint="eastAsia"/>
        </w:rPr>
        <w:t>全镇人口出生率为</w:t>
      </w:r>
      <w:r>
        <w:t>16.68‰，计划</w:t>
      </w:r>
      <w:r>
        <w:rPr>
          <w:rFonts w:hint="eastAsia"/>
        </w:rPr>
        <w:t>生育率为</w:t>
      </w:r>
      <w:r>
        <w:t>84.38%，自然增长率控制在7</w:t>
      </w:r>
      <w:r>
        <w:rPr>
          <w:rFonts w:hint="eastAsia" w:ascii="宋体" w:hAnsi="宋体" w:cs="宋体"/>
        </w:rPr>
        <w:t>‰</w:t>
      </w:r>
      <w:r>
        <w:t>。动员</w:t>
      </w:r>
      <w:r>
        <w:rPr>
          <w:rFonts w:hint="eastAsia"/>
        </w:rPr>
        <w:t>做好孕前检</w:t>
      </w:r>
      <w:r>
        <w:rPr>
          <w:rFonts w:hint="eastAsia"/>
          <w:lang w:eastAsia="zh-CN"/>
        </w:rPr>
        <w:t>查</w:t>
      </w:r>
      <w:r>
        <w:rPr>
          <w:rFonts w:hint="eastAsia"/>
        </w:rPr>
        <w:t>，免费孕前优生健康检</w:t>
      </w:r>
      <w:r>
        <w:rPr>
          <w:rFonts w:hint="eastAsia"/>
          <w:lang w:eastAsia="zh-CN"/>
        </w:rPr>
        <w:t>查</w:t>
      </w:r>
      <w:r>
        <w:t>273人。抓</w:t>
      </w:r>
      <w:r>
        <w:rPr>
          <w:rFonts w:hint="eastAsia"/>
        </w:rPr>
        <w:t>好计划生育手术库存清理，全年落实“四术”</w:t>
      </w:r>
      <w:r>
        <w:t>385例。</w:t>
      </w:r>
    </w:p>
    <w:p w14:paraId="512DF46A">
      <w:pPr>
        <w:pStyle w:val="4"/>
        <w:bidi w:val="0"/>
        <w:rPr>
          <w:rFonts w:hint="eastAsia"/>
        </w:rPr>
      </w:pPr>
      <w:r>
        <w:rPr>
          <w:rFonts w:hint="eastAsia"/>
        </w:rPr>
        <w:t>【民政救济】</w:t>
      </w:r>
    </w:p>
    <w:p w14:paraId="6DCBD4C3">
      <w:r>
        <w:t>2013年落实各类社会救助资金共计166.97万元，全镇496户困难群众760人基本生活</w:t>
      </w:r>
      <w:r>
        <w:rPr>
          <w:rFonts w:hint="eastAsia"/>
        </w:rPr>
        <w:t>得到保障。在坚持“以民为本”和公正、公平、公开的基础上，做好困难群众救助和慰问，全年发放救灾物资</w:t>
      </w:r>
      <w:r>
        <w:t>270件，救助金6.8万元，发放救济大米3500公斤。</w:t>
      </w:r>
    </w:p>
    <w:p w14:paraId="370120D6">
      <w:pPr>
        <w:pStyle w:val="4"/>
        <w:bidi w:val="0"/>
        <w:rPr>
          <w:rFonts w:hint="eastAsia"/>
        </w:rPr>
      </w:pPr>
      <w:r>
        <w:rPr>
          <w:rFonts w:hint="eastAsia"/>
        </w:rPr>
        <w:t>【社会事业】</w:t>
      </w:r>
    </w:p>
    <w:p w14:paraId="2FAFE1BB">
      <w:r>
        <w:t>2013年全年共发放种粮补贴资金288万多元，落实直补农户5201户；发放家电下乡</w:t>
      </w:r>
      <w:r>
        <w:rPr>
          <w:rFonts w:hint="eastAsia"/>
        </w:rPr>
        <w:t>补贴</w:t>
      </w:r>
      <w:r>
        <w:t>86.5万元，摩托车下乡补贴1.96万元；落实</w:t>
      </w:r>
      <w:r>
        <w:rPr>
          <w:rFonts w:hint="eastAsia"/>
        </w:rPr>
        <w:t>生猪保险</w:t>
      </w:r>
      <w:r>
        <w:t>282户，投保生猪1000多头，保险金额6923元。</w:t>
      </w:r>
    </w:p>
    <w:p w14:paraId="11CAA0E2">
      <w:r>
        <w:t>2013年，新建设完成坪田镇卫生院综合大楼，</w:t>
      </w:r>
      <w:r>
        <w:rPr>
          <w:rFonts w:hint="eastAsia"/>
        </w:rPr>
        <w:t>优化农村医疗卫生环境。完善农村医疗保障体系，深入推广新型农村合作医疗，</w:t>
      </w:r>
      <w:r>
        <w:t>2013年全镇参合2.1</w:t>
      </w:r>
      <w:r>
        <w:rPr>
          <w:rFonts w:hint="eastAsia"/>
        </w:rPr>
        <w:t>万人、覆盖率达</w:t>
      </w:r>
      <w:r>
        <w:t>88.7%，累计享受补偿1.21万人</w:t>
      </w:r>
      <w:r>
        <w:rPr>
          <w:rFonts w:hint="eastAsia"/>
        </w:rPr>
        <w:t>次，共补偿</w:t>
      </w:r>
      <w:r>
        <w:t>414.9万元。全镇参保人数8770人，实</w:t>
      </w:r>
      <w:r>
        <w:rPr>
          <w:rFonts w:hint="eastAsia"/>
        </w:rPr>
        <w:t>现了</w:t>
      </w:r>
      <w:r>
        <w:t>60岁以上老人100%参加新农保。</w:t>
      </w:r>
    </w:p>
    <w:p w14:paraId="1CFF127A">
      <w:pPr>
        <w:pStyle w:val="4"/>
        <w:bidi w:val="0"/>
        <w:rPr>
          <w:rFonts w:hint="eastAsia"/>
        </w:rPr>
      </w:pPr>
      <w:r>
        <w:rPr>
          <w:rFonts w:hint="eastAsia"/>
        </w:rPr>
        <w:t>【各村委会（社区）基本情况】</w:t>
      </w:r>
    </w:p>
    <w:p w14:paraId="2AA9762D">
      <w:pPr>
        <w:pStyle w:val="10"/>
        <w:bidi w:val="0"/>
        <w:jc w:val="center"/>
        <w:rPr>
          <w:rFonts w:hint="eastAsia"/>
          <w:b/>
          <w:bCs/>
        </w:rPr>
      </w:pPr>
      <w:r>
        <w:rPr>
          <w:rFonts w:hint="eastAsia"/>
          <w:b/>
          <w:bCs/>
        </w:rPr>
        <w:t>2013年坪田镇各村委会（社区）基本情况表</w:t>
      </w:r>
    </w:p>
    <w:p w14:paraId="0B931E18">
      <w:pPr>
        <w:ind w:firstLine="420"/>
        <w:jc w:val="both"/>
        <w:rPr>
          <w:rFonts w:hint="default" w:eastAsia="宋体"/>
          <w:lang w:val="en-US" w:eastAsia="zh-CN"/>
        </w:rPr>
      </w:pPr>
      <w:r>
        <w:rPr>
          <w:rFonts w:hint="eastAsia"/>
          <w:lang w:val="en-US" w:eastAsia="zh-CN"/>
        </w:rPr>
        <w:t>表37</w:t>
      </w:r>
    </w:p>
    <w:tbl>
      <w:tblPr>
        <w:tblStyle w:val="7"/>
        <w:tblW w:w="4997"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86"/>
        <w:gridCol w:w="1455"/>
        <w:gridCol w:w="1423"/>
        <w:gridCol w:w="1423"/>
        <w:gridCol w:w="1423"/>
        <w:gridCol w:w="1423"/>
        <w:gridCol w:w="1423"/>
      </w:tblGrid>
      <w:tr w14:paraId="42C31A7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6" w:type="pct"/>
            <w:tcBorders>
              <w:top w:val="single" w:color="000000" w:sz="8" w:space="0"/>
              <w:bottom w:val="single" w:color="000000" w:sz="8" w:space="0"/>
              <w:right w:val="single" w:color="000000" w:sz="8" w:space="0"/>
            </w:tcBorders>
            <w:shd w:val="clear" w:color="auto" w:fill="FFFFFF"/>
            <w:noWrap w:val="0"/>
            <w:vAlign w:val="center"/>
          </w:tcPr>
          <w:p w14:paraId="19A747FF">
            <w:pPr>
              <w:pStyle w:val="10"/>
              <w:bidi w:val="0"/>
              <w:jc w:val="center"/>
              <w:rPr>
                <w:rFonts w:hint="eastAsia"/>
                <w:b/>
                <w:bCs/>
                <w:color w:val="000000"/>
              </w:rPr>
            </w:pPr>
            <w:r>
              <w:rPr>
                <w:rFonts w:hint="eastAsia"/>
                <w:b/>
                <w:bCs/>
                <w:color w:val="000000"/>
              </w:rPr>
              <w:t>村（社区）名</w:t>
            </w:r>
          </w:p>
        </w:tc>
        <w:tc>
          <w:tcPr>
            <w:tcW w:w="7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19E5115">
            <w:pPr>
              <w:pStyle w:val="10"/>
              <w:bidi w:val="0"/>
              <w:jc w:val="center"/>
              <w:rPr>
                <w:rFonts w:hint="eastAsia"/>
                <w:b/>
                <w:bCs/>
                <w:color w:val="000000"/>
              </w:rPr>
            </w:pPr>
            <w:r>
              <w:rPr>
                <w:rFonts w:hint="eastAsia"/>
                <w:b/>
                <w:bCs/>
                <w:color w:val="000000"/>
              </w:rPr>
              <w:t>村小组数（个）</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B1D8C48">
            <w:pPr>
              <w:pStyle w:val="10"/>
              <w:bidi w:val="0"/>
              <w:jc w:val="center"/>
              <w:rPr>
                <w:rFonts w:hint="eastAsia"/>
                <w:b/>
                <w:bCs/>
                <w:color w:val="000000"/>
              </w:rPr>
            </w:pPr>
            <w:r>
              <w:rPr>
                <w:rFonts w:hint="eastAsia"/>
                <w:b/>
                <w:bCs/>
                <w:color w:val="000000"/>
              </w:rPr>
              <w:t>户数</w:t>
            </w:r>
          </w:p>
          <w:p w14:paraId="0A9C61C4">
            <w:pPr>
              <w:pStyle w:val="10"/>
              <w:bidi w:val="0"/>
              <w:jc w:val="center"/>
              <w:rPr>
                <w:rFonts w:hint="eastAsia"/>
                <w:b/>
                <w:bCs/>
                <w:color w:val="000000"/>
              </w:rPr>
            </w:pPr>
            <w:r>
              <w:rPr>
                <w:rFonts w:hint="eastAsia"/>
                <w:b/>
                <w:bCs/>
                <w:color w:val="000000"/>
              </w:rPr>
              <w:t>（户）</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12235FF">
            <w:pPr>
              <w:pStyle w:val="10"/>
              <w:bidi w:val="0"/>
              <w:jc w:val="center"/>
              <w:rPr>
                <w:rFonts w:hint="eastAsia"/>
                <w:b/>
                <w:bCs/>
                <w:color w:val="000000"/>
              </w:rPr>
            </w:pPr>
            <w:r>
              <w:rPr>
                <w:rFonts w:hint="eastAsia"/>
                <w:b/>
                <w:bCs/>
                <w:color w:val="000000"/>
              </w:rPr>
              <w:t>人口</w:t>
            </w:r>
          </w:p>
          <w:p w14:paraId="54D0E306">
            <w:pPr>
              <w:pStyle w:val="10"/>
              <w:bidi w:val="0"/>
              <w:jc w:val="center"/>
              <w:rPr>
                <w:rFonts w:hint="eastAsia"/>
                <w:b/>
                <w:bCs/>
                <w:color w:val="000000"/>
              </w:rPr>
            </w:pPr>
            <w:r>
              <w:rPr>
                <w:rFonts w:hint="eastAsia"/>
                <w:b/>
                <w:bCs/>
                <w:color w:val="000000"/>
              </w:rPr>
              <w:t>（人）</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A375CDB">
            <w:pPr>
              <w:pStyle w:val="10"/>
              <w:bidi w:val="0"/>
              <w:jc w:val="center"/>
              <w:rPr>
                <w:rFonts w:hint="eastAsia"/>
                <w:b/>
                <w:bCs/>
                <w:color w:val="000000"/>
              </w:rPr>
            </w:pPr>
            <w:r>
              <w:rPr>
                <w:rFonts w:hint="eastAsia"/>
                <w:b/>
                <w:bCs/>
                <w:color w:val="000000"/>
              </w:rPr>
              <w:t>耕地面积</w:t>
            </w:r>
          </w:p>
          <w:p w14:paraId="22531392">
            <w:pPr>
              <w:pStyle w:val="10"/>
              <w:bidi w:val="0"/>
              <w:jc w:val="center"/>
              <w:rPr>
                <w:rFonts w:hint="eastAsia"/>
                <w:b/>
                <w:bCs/>
                <w:color w:val="000000"/>
              </w:rPr>
            </w:pPr>
            <w:r>
              <w:rPr>
                <w:rFonts w:hint="eastAsia"/>
                <w:b/>
                <w:bCs/>
                <w:color w:val="000000"/>
              </w:rPr>
              <w:t>（公顷）</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81863B1">
            <w:pPr>
              <w:pStyle w:val="10"/>
              <w:bidi w:val="0"/>
              <w:jc w:val="center"/>
              <w:rPr>
                <w:rFonts w:hint="eastAsia"/>
                <w:b/>
                <w:bCs/>
                <w:color w:val="000000"/>
              </w:rPr>
            </w:pPr>
            <w:r>
              <w:rPr>
                <w:rFonts w:hint="eastAsia"/>
                <w:b/>
                <w:bCs/>
                <w:color w:val="000000"/>
              </w:rPr>
              <w:t>山林面积</w:t>
            </w:r>
          </w:p>
          <w:p w14:paraId="4D06050B">
            <w:pPr>
              <w:pStyle w:val="10"/>
              <w:bidi w:val="0"/>
              <w:jc w:val="center"/>
              <w:rPr>
                <w:rFonts w:hint="eastAsia"/>
                <w:b/>
                <w:bCs/>
                <w:color w:val="000000"/>
              </w:rPr>
            </w:pPr>
            <w:r>
              <w:rPr>
                <w:rFonts w:hint="eastAsia"/>
                <w:b/>
                <w:bCs/>
                <w:color w:val="000000"/>
              </w:rPr>
              <w:t>（公顷）</w:t>
            </w:r>
          </w:p>
        </w:tc>
        <w:tc>
          <w:tcPr>
            <w:tcW w:w="714" w:type="pct"/>
            <w:tcBorders>
              <w:top w:val="single" w:color="000000" w:sz="8" w:space="0"/>
              <w:left w:val="single" w:color="000000" w:sz="8" w:space="0"/>
              <w:bottom w:val="single" w:color="000000" w:sz="8" w:space="0"/>
            </w:tcBorders>
            <w:shd w:val="clear" w:color="auto" w:fill="FFFFFF"/>
            <w:noWrap w:val="0"/>
            <w:vAlign w:val="center"/>
          </w:tcPr>
          <w:p w14:paraId="2A69CCAF">
            <w:pPr>
              <w:pStyle w:val="10"/>
              <w:bidi w:val="0"/>
              <w:jc w:val="center"/>
              <w:rPr>
                <w:rFonts w:hint="eastAsia"/>
                <w:b/>
                <w:bCs/>
                <w:color w:val="000000"/>
              </w:rPr>
            </w:pPr>
            <w:r>
              <w:rPr>
                <w:rFonts w:hint="eastAsia"/>
                <w:b/>
                <w:bCs/>
                <w:color w:val="000000"/>
              </w:rPr>
              <w:t>集体收入</w:t>
            </w:r>
          </w:p>
          <w:p w14:paraId="7DE40EDE">
            <w:pPr>
              <w:pStyle w:val="10"/>
              <w:bidi w:val="0"/>
              <w:jc w:val="center"/>
              <w:rPr>
                <w:rFonts w:hint="eastAsia"/>
                <w:b/>
                <w:bCs/>
                <w:color w:val="000000"/>
              </w:rPr>
            </w:pPr>
            <w:r>
              <w:rPr>
                <w:rFonts w:hint="eastAsia"/>
                <w:b/>
                <w:bCs/>
                <w:color w:val="000000"/>
              </w:rPr>
              <w:t>（万元）</w:t>
            </w:r>
          </w:p>
        </w:tc>
      </w:tr>
      <w:tr w14:paraId="153F8E5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6" w:type="pct"/>
            <w:tcBorders>
              <w:top w:val="single" w:color="000000" w:sz="8" w:space="0"/>
              <w:bottom w:val="single" w:color="000000" w:sz="8" w:space="0"/>
              <w:right w:val="single" w:color="000000" w:sz="8" w:space="0"/>
            </w:tcBorders>
            <w:shd w:val="clear" w:color="auto" w:fill="FFFFFF"/>
            <w:noWrap w:val="0"/>
            <w:vAlign w:val="center"/>
          </w:tcPr>
          <w:p w14:paraId="0D94EF9F">
            <w:pPr>
              <w:pStyle w:val="10"/>
              <w:bidi w:val="0"/>
              <w:jc w:val="center"/>
              <w:rPr>
                <w:rFonts w:hint="eastAsia"/>
                <w:color w:val="000000"/>
              </w:rPr>
            </w:pPr>
            <w:r>
              <w:rPr>
                <w:rFonts w:hint="eastAsia"/>
                <w:color w:val="000000"/>
              </w:rPr>
              <w:t>老龙村</w:t>
            </w:r>
          </w:p>
        </w:tc>
        <w:tc>
          <w:tcPr>
            <w:tcW w:w="7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EF88020">
            <w:pPr>
              <w:pStyle w:val="10"/>
              <w:bidi w:val="0"/>
              <w:jc w:val="center"/>
              <w:rPr>
                <w:rFonts w:hint="eastAsia"/>
                <w:color w:val="000000"/>
              </w:rPr>
            </w:pPr>
            <w:r>
              <w:rPr>
                <w:rFonts w:hint="eastAsia"/>
                <w:color w:val="000000"/>
              </w:rPr>
              <w:t>11</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9638942">
            <w:pPr>
              <w:pStyle w:val="10"/>
              <w:bidi w:val="0"/>
              <w:jc w:val="center"/>
              <w:rPr>
                <w:rFonts w:hint="eastAsia"/>
                <w:color w:val="000000"/>
              </w:rPr>
            </w:pPr>
            <w:r>
              <w:rPr>
                <w:rFonts w:hint="eastAsia"/>
                <w:color w:val="000000"/>
              </w:rPr>
              <w:t>635</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31C105D">
            <w:pPr>
              <w:pStyle w:val="10"/>
              <w:bidi w:val="0"/>
              <w:jc w:val="center"/>
              <w:rPr>
                <w:rFonts w:hint="eastAsia"/>
                <w:color w:val="000000"/>
              </w:rPr>
            </w:pPr>
            <w:r>
              <w:rPr>
                <w:rFonts w:hint="eastAsia"/>
                <w:color w:val="000000"/>
              </w:rPr>
              <w:t>3825</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A97532F">
            <w:pPr>
              <w:pStyle w:val="10"/>
              <w:bidi w:val="0"/>
              <w:jc w:val="center"/>
              <w:rPr>
                <w:rFonts w:hint="eastAsia"/>
                <w:color w:val="000000"/>
              </w:rPr>
            </w:pPr>
            <w:r>
              <w:rPr>
                <w:rFonts w:hint="eastAsia"/>
                <w:color w:val="000000"/>
              </w:rPr>
              <w:t>224.13</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9564883">
            <w:pPr>
              <w:pStyle w:val="10"/>
              <w:bidi w:val="0"/>
              <w:jc w:val="center"/>
              <w:rPr>
                <w:rFonts w:hint="eastAsia"/>
                <w:color w:val="000000"/>
              </w:rPr>
            </w:pPr>
            <w:r>
              <w:rPr>
                <w:rFonts w:hint="eastAsia"/>
                <w:color w:val="000000"/>
              </w:rPr>
              <w:t>260.9</w:t>
            </w:r>
          </w:p>
        </w:tc>
        <w:tc>
          <w:tcPr>
            <w:tcW w:w="714" w:type="pct"/>
            <w:tcBorders>
              <w:top w:val="single" w:color="000000" w:sz="8" w:space="0"/>
              <w:left w:val="single" w:color="000000" w:sz="8" w:space="0"/>
              <w:bottom w:val="single" w:color="000000" w:sz="8" w:space="0"/>
            </w:tcBorders>
            <w:shd w:val="clear" w:color="auto" w:fill="FFFFFF"/>
            <w:noWrap w:val="0"/>
            <w:vAlign w:val="center"/>
          </w:tcPr>
          <w:p w14:paraId="0ADBAC92">
            <w:pPr>
              <w:pStyle w:val="10"/>
              <w:bidi w:val="0"/>
              <w:jc w:val="center"/>
              <w:rPr>
                <w:rFonts w:hint="eastAsia"/>
                <w:color w:val="000000"/>
              </w:rPr>
            </w:pPr>
            <w:r>
              <w:rPr>
                <w:rFonts w:hint="eastAsia"/>
                <w:color w:val="000000"/>
              </w:rPr>
              <w:t>22.99</w:t>
            </w:r>
          </w:p>
        </w:tc>
      </w:tr>
      <w:tr w14:paraId="5637EDA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6" w:type="pct"/>
            <w:tcBorders>
              <w:top w:val="single" w:color="000000" w:sz="8" w:space="0"/>
              <w:bottom w:val="single" w:color="000000" w:sz="8" w:space="0"/>
              <w:right w:val="single" w:color="000000" w:sz="8" w:space="0"/>
            </w:tcBorders>
            <w:shd w:val="clear" w:color="auto" w:fill="FFFFFF"/>
            <w:noWrap w:val="0"/>
            <w:vAlign w:val="center"/>
          </w:tcPr>
          <w:p w14:paraId="2FC17344">
            <w:pPr>
              <w:pStyle w:val="10"/>
              <w:bidi w:val="0"/>
              <w:jc w:val="center"/>
              <w:rPr>
                <w:rFonts w:hint="eastAsia"/>
                <w:color w:val="000000"/>
              </w:rPr>
            </w:pPr>
            <w:r>
              <w:rPr>
                <w:rFonts w:hint="eastAsia"/>
                <w:color w:val="000000"/>
              </w:rPr>
              <w:t>长坑村</w:t>
            </w:r>
          </w:p>
        </w:tc>
        <w:tc>
          <w:tcPr>
            <w:tcW w:w="7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9400395">
            <w:pPr>
              <w:pStyle w:val="10"/>
              <w:bidi w:val="0"/>
              <w:jc w:val="center"/>
              <w:rPr>
                <w:rFonts w:hint="eastAsia"/>
                <w:color w:val="000000"/>
              </w:rPr>
            </w:pPr>
            <w:r>
              <w:rPr>
                <w:rFonts w:hint="eastAsia"/>
                <w:color w:val="000000"/>
              </w:rPr>
              <w:t>7</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7A2B832">
            <w:pPr>
              <w:pStyle w:val="10"/>
              <w:bidi w:val="0"/>
              <w:jc w:val="center"/>
              <w:rPr>
                <w:rFonts w:hint="eastAsia"/>
                <w:color w:val="000000"/>
              </w:rPr>
            </w:pPr>
            <w:r>
              <w:rPr>
                <w:rFonts w:hint="eastAsia"/>
                <w:color w:val="000000"/>
              </w:rPr>
              <w:t>613</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D59E9DA">
            <w:pPr>
              <w:pStyle w:val="10"/>
              <w:bidi w:val="0"/>
              <w:jc w:val="center"/>
              <w:rPr>
                <w:rFonts w:hint="eastAsia"/>
                <w:color w:val="000000"/>
              </w:rPr>
            </w:pPr>
            <w:r>
              <w:rPr>
                <w:rFonts w:hint="eastAsia"/>
                <w:color w:val="000000"/>
              </w:rPr>
              <w:t>2306</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E0F7ACC">
            <w:pPr>
              <w:pStyle w:val="10"/>
              <w:bidi w:val="0"/>
              <w:jc w:val="center"/>
              <w:rPr>
                <w:rFonts w:hint="eastAsia"/>
                <w:color w:val="000000"/>
              </w:rPr>
            </w:pPr>
            <w:r>
              <w:rPr>
                <w:rFonts w:hint="eastAsia"/>
                <w:color w:val="000000"/>
              </w:rPr>
              <w:t>220.5</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D24128D">
            <w:pPr>
              <w:pStyle w:val="10"/>
              <w:bidi w:val="0"/>
              <w:jc w:val="center"/>
              <w:rPr>
                <w:rFonts w:hint="eastAsia"/>
                <w:color w:val="000000"/>
              </w:rPr>
            </w:pPr>
            <w:r>
              <w:rPr>
                <w:rFonts w:hint="eastAsia"/>
                <w:color w:val="000000"/>
              </w:rPr>
              <w:t>77.9</w:t>
            </w:r>
          </w:p>
        </w:tc>
        <w:tc>
          <w:tcPr>
            <w:tcW w:w="714" w:type="pct"/>
            <w:tcBorders>
              <w:top w:val="single" w:color="000000" w:sz="8" w:space="0"/>
              <w:left w:val="single" w:color="000000" w:sz="8" w:space="0"/>
              <w:bottom w:val="single" w:color="000000" w:sz="8" w:space="0"/>
            </w:tcBorders>
            <w:shd w:val="clear" w:color="auto" w:fill="FFFFFF"/>
            <w:noWrap w:val="0"/>
            <w:vAlign w:val="center"/>
          </w:tcPr>
          <w:p w14:paraId="569F3C50">
            <w:pPr>
              <w:pStyle w:val="10"/>
              <w:bidi w:val="0"/>
              <w:jc w:val="center"/>
              <w:rPr>
                <w:rFonts w:hint="eastAsia"/>
                <w:color w:val="000000"/>
              </w:rPr>
            </w:pPr>
            <w:r>
              <w:rPr>
                <w:rFonts w:hint="eastAsia"/>
                <w:color w:val="000000"/>
              </w:rPr>
              <w:t>11.25</w:t>
            </w:r>
          </w:p>
        </w:tc>
      </w:tr>
      <w:tr w14:paraId="15F26A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6" w:type="pct"/>
            <w:tcBorders>
              <w:top w:val="single" w:color="000000" w:sz="8" w:space="0"/>
              <w:bottom w:val="single" w:color="000000" w:sz="8" w:space="0"/>
              <w:right w:val="single" w:color="000000" w:sz="8" w:space="0"/>
            </w:tcBorders>
            <w:shd w:val="clear" w:color="auto" w:fill="FFFFFF"/>
            <w:noWrap w:val="0"/>
            <w:vAlign w:val="center"/>
          </w:tcPr>
          <w:p w14:paraId="466893F1">
            <w:pPr>
              <w:pStyle w:val="10"/>
              <w:bidi w:val="0"/>
              <w:jc w:val="center"/>
              <w:rPr>
                <w:rFonts w:hint="eastAsia"/>
                <w:color w:val="000000"/>
              </w:rPr>
            </w:pPr>
            <w:r>
              <w:rPr>
                <w:rFonts w:hint="eastAsia"/>
                <w:color w:val="000000"/>
              </w:rPr>
              <w:t>背迳村</w:t>
            </w:r>
          </w:p>
        </w:tc>
        <w:tc>
          <w:tcPr>
            <w:tcW w:w="7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3A7C6A9">
            <w:pPr>
              <w:pStyle w:val="10"/>
              <w:bidi w:val="0"/>
              <w:jc w:val="center"/>
              <w:rPr>
                <w:rFonts w:hint="eastAsia"/>
                <w:color w:val="000000"/>
              </w:rPr>
            </w:pPr>
            <w:r>
              <w:rPr>
                <w:rFonts w:hint="eastAsia"/>
                <w:color w:val="000000"/>
              </w:rPr>
              <w:t>14</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CCD411B">
            <w:pPr>
              <w:pStyle w:val="10"/>
              <w:bidi w:val="0"/>
              <w:jc w:val="center"/>
              <w:rPr>
                <w:rFonts w:hint="eastAsia"/>
                <w:color w:val="000000"/>
              </w:rPr>
            </w:pPr>
            <w:r>
              <w:rPr>
                <w:rFonts w:hint="eastAsia"/>
                <w:color w:val="000000"/>
              </w:rPr>
              <w:t>543</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DC10297">
            <w:pPr>
              <w:pStyle w:val="10"/>
              <w:bidi w:val="0"/>
              <w:jc w:val="center"/>
              <w:rPr>
                <w:rFonts w:hint="eastAsia"/>
                <w:color w:val="000000"/>
              </w:rPr>
            </w:pPr>
            <w:r>
              <w:rPr>
                <w:rFonts w:hint="eastAsia"/>
                <w:color w:val="000000"/>
              </w:rPr>
              <w:t>1807</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CE6083B">
            <w:pPr>
              <w:pStyle w:val="10"/>
              <w:bidi w:val="0"/>
              <w:jc w:val="center"/>
              <w:rPr>
                <w:rFonts w:hint="eastAsia"/>
                <w:color w:val="000000"/>
              </w:rPr>
            </w:pPr>
            <w:r>
              <w:rPr>
                <w:rFonts w:hint="eastAsia"/>
                <w:color w:val="000000"/>
              </w:rPr>
              <w:t>127.5</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CE5E46A">
            <w:pPr>
              <w:pStyle w:val="10"/>
              <w:bidi w:val="0"/>
              <w:jc w:val="center"/>
              <w:rPr>
                <w:rFonts w:hint="eastAsia"/>
                <w:color w:val="000000"/>
              </w:rPr>
            </w:pPr>
            <w:r>
              <w:rPr>
                <w:rFonts w:hint="eastAsia"/>
                <w:color w:val="000000"/>
              </w:rPr>
              <w:t>707.8</w:t>
            </w:r>
          </w:p>
        </w:tc>
        <w:tc>
          <w:tcPr>
            <w:tcW w:w="714" w:type="pct"/>
            <w:tcBorders>
              <w:top w:val="single" w:color="000000" w:sz="8" w:space="0"/>
              <w:left w:val="single" w:color="000000" w:sz="8" w:space="0"/>
              <w:bottom w:val="single" w:color="000000" w:sz="8" w:space="0"/>
            </w:tcBorders>
            <w:shd w:val="clear" w:color="auto" w:fill="FFFFFF"/>
            <w:noWrap w:val="0"/>
            <w:vAlign w:val="center"/>
          </w:tcPr>
          <w:p w14:paraId="2E44A972">
            <w:pPr>
              <w:pStyle w:val="10"/>
              <w:bidi w:val="0"/>
              <w:jc w:val="center"/>
              <w:rPr>
                <w:rFonts w:hint="eastAsia"/>
                <w:color w:val="000000"/>
              </w:rPr>
            </w:pPr>
            <w:r>
              <w:rPr>
                <w:rFonts w:hint="eastAsia"/>
                <w:color w:val="000000"/>
              </w:rPr>
              <w:t>46.52</w:t>
            </w:r>
          </w:p>
        </w:tc>
      </w:tr>
      <w:tr w14:paraId="30BB9AD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6" w:type="pct"/>
            <w:tcBorders>
              <w:top w:val="single" w:color="000000" w:sz="8" w:space="0"/>
              <w:bottom w:val="single" w:color="000000" w:sz="8" w:space="0"/>
              <w:right w:val="single" w:color="000000" w:sz="8" w:space="0"/>
            </w:tcBorders>
            <w:shd w:val="clear" w:color="auto" w:fill="FFFFFF"/>
            <w:noWrap w:val="0"/>
            <w:vAlign w:val="center"/>
          </w:tcPr>
          <w:p w14:paraId="498005E5">
            <w:pPr>
              <w:pStyle w:val="10"/>
              <w:bidi w:val="0"/>
              <w:jc w:val="center"/>
              <w:rPr>
                <w:rFonts w:hint="eastAsia"/>
                <w:color w:val="000000"/>
              </w:rPr>
            </w:pPr>
            <w:r>
              <w:rPr>
                <w:rFonts w:hint="eastAsia"/>
                <w:color w:val="000000"/>
              </w:rPr>
              <w:t>龙口村</w:t>
            </w:r>
          </w:p>
        </w:tc>
        <w:tc>
          <w:tcPr>
            <w:tcW w:w="7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BD96A43">
            <w:pPr>
              <w:pStyle w:val="10"/>
              <w:bidi w:val="0"/>
              <w:jc w:val="center"/>
              <w:rPr>
                <w:rFonts w:hint="eastAsia"/>
                <w:color w:val="000000"/>
              </w:rPr>
            </w:pPr>
            <w:r>
              <w:rPr>
                <w:rFonts w:hint="eastAsia"/>
                <w:color w:val="000000"/>
              </w:rPr>
              <w:t>10</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7AA0CD8">
            <w:pPr>
              <w:pStyle w:val="10"/>
              <w:bidi w:val="0"/>
              <w:jc w:val="center"/>
              <w:rPr>
                <w:rFonts w:hint="eastAsia"/>
                <w:color w:val="000000"/>
              </w:rPr>
            </w:pPr>
            <w:r>
              <w:rPr>
                <w:rFonts w:hint="eastAsia"/>
                <w:color w:val="000000"/>
              </w:rPr>
              <w:t>403</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21DEF1F">
            <w:pPr>
              <w:pStyle w:val="10"/>
              <w:bidi w:val="0"/>
              <w:jc w:val="center"/>
              <w:rPr>
                <w:rFonts w:hint="eastAsia"/>
                <w:color w:val="000000"/>
              </w:rPr>
            </w:pPr>
            <w:r>
              <w:rPr>
                <w:rFonts w:hint="eastAsia"/>
                <w:color w:val="000000"/>
              </w:rPr>
              <w:t>1380</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01F13E0">
            <w:pPr>
              <w:pStyle w:val="10"/>
              <w:bidi w:val="0"/>
              <w:jc w:val="center"/>
              <w:rPr>
                <w:rFonts w:hint="eastAsia"/>
                <w:color w:val="000000"/>
              </w:rPr>
            </w:pPr>
            <w:r>
              <w:rPr>
                <w:rFonts w:hint="eastAsia"/>
                <w:color w:val="000000"/>
              </w:rPr>
              <w:t>104.8</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195E690">
            <w:pPr>
              <w:pStyle w:val="10"/>
              <w:bidi w:val="0"/>
              <w:jc w:val="center"/>
              <w:rPr>
                <w:rFonts w:hint="eastAsia"/>
                <w:color w:val="000000"/>
              </w:rPr>
            </w:pPr>
            <w:r>
              <w:rPr>
                <w:rFonts w:hint="eastAsia"/>
                <w:color w:val="000000"/>
              </w:rPr>
              <w:t>331.8</w:t>
            </w:r>
          </w:p>
        </w:tc>
        <w:tc>
          <w:tcPr>
            <w:tcW w:w="714" w:type="pct"/>
            <w:tcBorders>
              <w:top w:val="single" w:color="000000" w:sz="8" w:space="0"/>
              <w:left w:val="single" w:color="000000" w:sz="8" w:space="0"/>
              <w:bottom w:val="single" w:color="000000" w:sz="8" w:space="0"/>
            </w:tcBorders>
            <w:shd w:val="clear" w:color="auto" w:fill="FFFFFF"/>
            <w:noWrap w:val="0"/>
            <w:vAlign w:val="center"/>
          </w:tcPr>
          <w:p w14:paraId="7D404114">
            <w:pPr>
              <w:pStyle w:val="10"/>
              <w:bidi w:val="0"/>
              <w:jc w:val="center"/>
              <w:rPr>
                <w:rFonts w:hint="eastAsia"/>
                <w:color w:val="000000"/>
              </w:rPr>
            </w:pPr>
            <w:r>
              <w:rPr>
                <w:rFonts w:hint="eastAsia"/>
                <w:color w:val="000000"/>
              </w:rPr>
              <w:t>22.18</w:t>
            </w:r>
          </w:p>
        </w:tc>
      </w:tr>
      <w:tr w14:paraId="5E7A472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6" w:type="pct"/>
            <w:tcBorders>
              <w:top w:val="single" w:color="000000" w:sz="8" w:space="0"/>
              <w:bottom w:val="single" w:color="000000" w:sz="8" w:space="0"/>
              <w:right w:val="single" w:color="000000" w:sz="8" w:space="0"/>
            </w:tcBorders>
            <w:shd w:val="clear" w:color="auto" w:fill="FFFFFF"/>
            <w:noWrap w:val="0"/>
            <w:vAlign w:val="center"/>
          </w:tcPr>
          <w:p w14:paraId="0899BE56">
            <w:pPr>
              <w:pStyle w:val="10"/>
              <w:bidi w:val="0"/>
              <w:jc w:val="center"/>
              <w:rPr>
                <w:rFonts w:hint="eastAsia"/>
                <w:color w:val="000000"/>
              </w:rPr>
            </w:pPr>
            <w:r>
              <w:rPr>
                <w:rFonts w:hint="eastAsia"/>
                <w:color w:val="000000"/>
              </w:rPr>
              <w:t>横岭村</w:t>
            </w:r>
          </w:p>
        </w:tc>
        <w:tc>
          <w:tcPr>
            <w:tcW w:w="7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660AFA5">
            <w:pPr>
              <w:pStyle w:val="10"/>
              <w:bidi w:val="0"/>
              <w:jc w:val="center"/>
              <w:rPr>
                <w:rFonts w:hint="eastAsia"/>
                <w:color w:val="000000"/>
              </w:rPr>
            </w:pPr>
            <w:r>
              <w:rPr>
                <w:rFonts w:hint="eastAsia"/>
                <w:color w:val="000000"/>
              </w:rPr>
              <w:t>11</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31E0C8E">
            <w:pPr>
              <w:pStyle w:val="10"/>
              <w:bidi w:val="0"/>
              <w:jc w:val="center"/>
              <w:rPr>
                <w:rFonts w:hint="eastAsia"/>
                <w:color w:val="000000"/>
              </w:rPr>
            </w:pPr>
            <w:r>
              <w:rPr>
                <w:rFonts w:hint="eastAsia"/>
                <w:color w:val="000000"/>
              </w:rPr>
              <w:t>432</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33DD8D5">
            <w:pPr>
              <w:pStyle w:val="10"/>
              <w:bidi w:val="0"/>
              <w:jc w:val="center"/>
              <w:rPr>
                <w:rFonts w:hint="eastAsia"/>
                <w:color w:val="000000"/>
              </w:rPr>
            </w:pPr>
            <w:r>
              <w:rPr>
                <w:rFonts w:hint="eastAsia"/>
                <w:color w:val="000000"/>
              </w:rPr>
              <w:t>1539</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D9A2E2A">
            <w:pPr>
              <w:pStyle w:val="10"/>
              <w:bidi w:val="0"/>
              <w:jc w:val="center"/>
              <w:rPr>
                <w:rFonts w:hint="eastAsia"/>
                <w:color w:val="000000"/>
              </w:rPr>
            </w:pPr>
            <w:r>
              <w:rPr>
                <w:rFonts w:hint="eastAsia"/>
                <w:color w:val="000000"/>
              </w:rPr>
              <w:t>125.7</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ECCA934">
            <w:pPr>
              <w:pStyle w:val="10"/>
              <w:bidi w:val="0"/>
              <w:jc w:val="center"/>
              <w:rPr>
                <w:rFonts w:hint="eastAsia"/>
                <w:color w:val="000000"/>
              </w:rPr>
            </w:pPr>
            <w:r>
              <w:rPr>
                <w:rFonts w:hint="eastAsia"/>
                <w:color w:val="000000"/>
              </w:rPr>
              <w:t>456.9</w:t>
            </w:r>
          </w:p>
        </w:tc>
        <w:tc>
          <w:tcPr>
            <w:tcW w:w="714" w:type="pct"/>
            <w:tcBorders>
              <w:top w:val="single" w:color="000000" w:sz="8" w:space="0"/>
              <w:left w:val="single" w:color="000000" w:sz="8" w:space="0"/>
              <w:bottom w:val="single" w:color="000000" w:sz="8" w:space="0"/>
            </w:tcBorders>
            <w:shd w:val="clear" w:color="auto" w:fill="FFFFFF"/>
            <w:noWrap w:val="0"/>
            <w:vAlign w:val="center"/>
          </w:tcPr>
          <w:p w14:paraId="27925064">
            <w:pPr>
              <w:pStyle w:val="10"/>
              <w:bidi w:val="0"/>
              <w:jc w:val="center"/>
              <w:rPr>
                <w:rFonts w:hint="eastAsia"/>
                <w:color w:val="000000"/>
              </w:rPr>
            </w:pPr>
            <w:r>
              <w:rPr>
                <w:rFonts w:hint="eastAsia"/>
                <w:color w:val="000000"/>
              </w:rPr>
              <w:t>31.45</w:t>
            </w:r>
          </w:p>
        </w:tc>
      </w:tr>
      <w:tr w14:paraId="4F39B4E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6" w:type="pct"/>
            <w:tcBorders>
              <w:top w:val="single" w:color="000000" w:sz="8" w:space="0"/>
              <w:bottom w:val="single" w:color="000000" w:sz="8" w:space="0"/>
              <w:right w:val="single" w:color="000000" w:sz="8" w:space="0"/>
            </w:tcBorders>
            <w:shd w:val="clear" w:color="auto" w:fill="FFFFFF"/>
            <w:noWrap w:val="0"/>
            <w:vAlign w:val="center"/>
          </w:tcPr>
          <w:p w14:paraId="51EBE2DB">
            <w:pPr>
              <w:pStyle w:val="10"/>
              <w:bidi w:val="0"/>
              <w:jc w:val="center"/>
              <w:rPr>
                <w:rFonts w:hint="eastAsia"/>
                <w:color w:val="000000"/>
              </w:rPr>
            </w:pPr>
            <w:r>
              <w:rPr>
                <w:rFonts w:hint="eastAsia"/>
                <w:color w:val="000000"/>
              </w:rPr>
              <w:t>小塘村</w:t>
            </w:r>
          </w:p>
        </w:tc>
        <w:tc>
          <w:tcPr>
            <w:tcW w:w="7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A0A422F">
            <w:pPr>
              <w:pStyle w:val="10"/>
              <w:bidi w:val="0"/>
              <w:jc w:val="center"/>
              <w:rPr>
                <w:rFonts w:hint="eastAsia"/>
                <w:color w:val="000000"/>
              </w:rPr>
            </w:pPr>
            <w:r>
              <w:rPr>
                <w:rFonts w:hint="eastAsia"/>
                <w:color w:val="000000"/>
              </w:rPr>
              <w:t>9</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476B5D9">
            <w:pPr>
              <w:pStyle w:val="10"/>
              <w:bidi w:val="0"/>
              <w:jc w:val="center"/>
              <w:rPr>
                <w:rFonts w:hint="eastAsia"/>
                <w:color w:val="000000"/>
              </w:rPr>
            </w:pPr>
            <w:r>
              <w:rPr>
                <w:rFonts w:hint="eastAsia"/>
                <w:color w:val="000000"/>
              </w:rPr>
              <w:t>403</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32EB56A">
            <w:pPr>
              <w:pStyle w:val="10"/>
              <w:bidi w:val="0"/>
              <w:jc w:val="center"/>
              <w:rPr>
                <w:rFonts w:hint="eastAsia"/>
                <w:color w:val="000000"/>
              </w:rPr>
            </w:pPr>
            <w:r>
              <w:rPr>
                <w:rFonts w:hint="eastAsia"/>
                <w:color w:val="000000"/>
              </w:rPr>
              <w:t>1314</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DA256EC">
            <w:pPr>
              <w:pStyle w:val="10"/>
              <w:bidi w:val="0"/>
              <w:jc w:val="center"/>
              <w:rPr>
                <w:rFonts w:hint="eastAsia"/>
                <w:color w:val="000000"/>
              </w:rPr>
            </w:pPr>
            <w:r>
              <w:rPr>
                <w:rFonts w:hint="eastAsia"/>
                <w:color w:val="000000"/>
              </w:rPr>
              <w:t>79.3</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8C63541">
            <w:pPr>
              <w:pStyle w:val="10"/>
              <w:bidi w:val="0"/>
              <w:jc w:val="center"/>
              <w:rPr>
                <w:rFonts w:hint="eastAsia"/>
                <w:color w:val="000000"/>
              </w:rPr>
            </w:pPr>
            <w:r>
              <w:rPr>
                <w:rFonts w:hint="eastAsia"/>
                <w:color w:val="000000"/>
              </w:rPr>
              <w:t>211.3</w:t>
            </w:r>
          </w:p>
        </w:tc>
        <w:tc>
          <w:tcPr>
            <w:tcW w:w="714" w:type="pct"/>
            <w:tcBorders>
              <w:top w:val="single" w:color="000000" w:sz="8" w:space="0"/>
              <w:left w:val="single" w:color="000000" w:sz="8" w:space="0"/>
              <w:bottom w:val="single" w:color="000000" w:sz="8" w:space="0"/>
            </w:tcBorders>
            <w:shd w:val="clear" w:color="auto" w:fill="FFFFFF"/>
            <w:noWrap w:val="0"/>
            <w:vAlign w:val="center"/>
          </w:tcPr>
          <w:p w14:paraId="5AB19510">
            <w:pPr>
              <w:pStyle w:val="10"/>
              <w:bidi w:val="0"/>
              <w:jc w:val="center"/>
              <w:rPr>
                <w:rFonts w:hint="eastAsia"/>
                <w:color w:val="000000"/>
              </w:rPr>
            </w:pPr>
            <w:r>
              <w:rPr>
                <w:rFonts w:hint="eastAsia"/>
                <w:color w:val="000000"/>
              </w:rPr>
              <w:t>13.00</w:t>
            </w:r>
          </w:p>
        </w:tc>
      </w:tr>
      <w:tr w14:paraId="6461FE0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6" w:type="pct"/>
            <w:tcBorders>
              <w:top w:val="single" w:color="000000" w:sz="8" w:space="0"/>
              <w:bottom w:val="single" w:color="000000" w:sz="8" w:space="0"/>
              <w:right w:val="single" w:color="000000" w:sz="8" w:space="0"/>
            </w:tcBorders>
            <w:shd w:val="clear" w:color="auto" w:fill="FFFFFF"/>
            <w:noWrap w:val="0"/>
            <w:vAlign w:val="center"/>
          </w:tcPr>
          <w:p w14:paraId="444C822D">
            <w:pPr>
              <w:pStyle w:val="10"/>
              <w:bidi w:val="0"/>
              <w:jc w:val="center"/>
              <w:rPr>
                <w:rFonts w:hint="eastAsia"/>
                <w:color w:val="000000"/>
              </w:rPr>
            </w:pPr>
            <w:r>
              <w:rPr>
                <w:rFonts w:hint="eastAsia"/>
                <w:color w:val="000000"/>
              </w:rPr>
              <w:t>官陂村</w:t>
            </w:r>
          </w:p>
        </w:tc>
        <w:tc>
          <w:tcPr>
            <w:tcW w:w="7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D37E427">
            <w:pPr>
              <w:pStyle w:val="10"/>
              <w:bidi w:val="0"/>
              <w:jc w:val="center"/>
              <w:rPr>
                <w:rFonts w:hint="eastAsia"/>
                <w:color w:val="000000"/>
              </w:rPr>
            </w:pPr>
            <w:r>
              <w:rPr>
                <w:rFonts w:hint="eastAsia"/>
                <w:color w:val="000000"/>
              </w:rPr>
              <w:t>11</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A3AC297">
            <w:pPr>
              <w:pStyle w:val="10"/>
              <w:bidi w:val="0"/>
              <w:jc w:val="center"/>
              <w:rPr>
                <w:rFonts w:hint="eastAsia"/>
                <w:color w:val="000000"/>
              </w:rPr>
            </w:pPr>
            <w:r>
              <w:rPr>
                <w:rFonts w:hint="eastAsia"/>
                <w:color w:val="000000"/>
              </w:rPr>
              <w:t>474</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D9F9354">
            <w:pPr>
              <w:pStyle w:val="10"/>
              <w:bidi w:val="0"/>
              <w:jc w:val="center"/>
              <w:rPr>
                <w:rFonts w:hint="eastAsia"/>
                <w:color w:val="000000"/>
              </w:rPr>
            </w:pPr>
            <w:r>
              <w:rPr>
                <w:rFonts w:hint="eastAsia"/>
                <w:color w:val="000000"/>
              </w:rPr>
              <w:t>1746</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4E1121E">
            <w:pPr>
              <w:pStyle w:val="10"/>
              <w:bidi w:val="0"/>
              <w:jc w:val="center"/>
              <w:rPr>
                <w:rFonts w:hint="eastAsia"/>
                <w:color w:val="000000"/>
              </w:rPr>
            </w:pPr>
            <w:r>
              <w:rPr>
                <w:rFonts w:hint="eastAsia"/>
                <w:color w:val="000000"/>
              </w:rPr>
              <w:t>185.6</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7021A79">
            <w:pPr>
              <w:pStyle w:val="10"/>
              <w:bidi w:val="0"/>
              <w:jc w:val="center"/>
              <w:rPr>
                <w:rFonts w:hint="eastAsia"/>
                <w:color w:val="000000"/>
              </w:rPr>
            </w:pPr>
            <w:r>
              <w:rPr>
                <w:rFonts w:hint="eastAsia"/>
                <w:color w:val="000000"/>
              </w:rPr>
              <w:t>382.7</w:t>
            </w:r>
          </w:p>
        </w:tc>
        <w:tc>
          <w:tcPr>
            <w:tcW w:w="714" w:type="pct"/>
            <w:tcBorders>
              <w:top w:val="single" w:color="000000" w:sz="8" w:space="0"/>
              <w:left w:val="single" w:color="000000" w:sz="8" w:space="0"/>
              <w:bottom w:val="single" w:color="000000" w:sz="8" w:space="0"/>
            </w:tcBorders>
            <w:shd w:val="clear" w:color="auto" w:fill="FFFFFF"/>
            <w:noWrap w:val="0"/>
            <w:vAlign w:val="center"/>
          </w:tcPr>
          <w:p w14:paraId="6B3A7427">
            <w:pPr>
              <w:pStyle w:val="10"/>
              <w:bidi w:val="0"/>
              <w:jc w:val="center"/>
              <w:rPr>
                <w:rFonts w:hint="eastAsia"/>
                <w:color w:val="000000"/>
              </w:rPr>
            </w:pPr>
            <w:r>
              <w:rPr>
                <w:rFonts w:hint="eastAsia"/>
                <w:color w:val="000000"/>
              </w:rPr>
              <w:t>5.01</w:t>
            </w:r>
          </w:p>
        </w:tc>
      </w:tr>
      <w:tr w14:paraId="0CEF85E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6" w:type="pct"/>
            <w:tcBorders>
              <w:top w:val="single" w:color="000000" w:sz="8" w:space="0"/>
              <w:bottom w:val="single" w:color="000000" w:sz="8" w:space="0"/>
              <w:right w:val="single" w:color="000000" w:sz="8" w:space="0"/>
            </w:tcBorders>
            <w:shd w:val="clear" w:color="auto" w:fill="FFFFFF"/>
            <w:noWrap w:val="0"/>
            <w:vAlign w:val="center"/>
          </w:tcPr>
          <w:p w14:paraId="6D50491D">
            <w:pPr>
              <w:pStyle w:val="10"/>
              <w:bidi w:val="0"/>
              <w:jc w:val="center"/>
              <w:rPr>
                <w:rFonts w:hint="eastAsia"/>
                <w:color w:val="000000"/>
              </w:rPr>
            </w:pPr>
            <w:r>
              <w:rPr>
                <w:rFonts w:hint="eastAsia"/>
                <w:color w:val="000000"/>
              </w:rPr>
              <w:t>坪湖村</w:t>
            </w:r>
          </w:p>
        </w:tc>
        <w:tc>
          <w:tcPr>
            <w:tcW w:w="7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ABF5E3D">
            <w:pPr>
              <w:pStyle w:val="10"/>
              <w:bidi w:val="0"/>
              <w:jc w:val="center"/>
              <w:rPr>
                <w:rFonts w:hint="eastAsia"/>
                <w:color w:val="000000"/>
              </w:rPr>
            </w:pPr>
            <w:r>
              <w:rPr>
                <w:rFonts w:hint="eastAsia"/>
                <w:color w:val="000000"/>
              </w:rPr>
              <w:t>8</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0F724AD">
            <w:pPr>
              <w:pStyle w:val="10"/>
              <w:bidi w:val="0"/>
              <w:jc w:val="center"/>
              <w:rPr>
                <w:rFonts w:hint="eastAsia"/>
                <w:color w:val="000000"/>
              </w:rPr>
            </w:pPr>
            <w:r>
              <w:rPr>
                <w:rFonts w:hint="eastAsia"/>
                <w:color w:val="000000"/>
              </w:rPr>
              <w:t>497</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370C168">
            <w:pPr>
              <w:pStyle w:val="10"/>
              <w:bidi w:val="0"/>
              <w:jc w:val="center"/>
              <w:rPr>
                <w:rFonts w:hint="eastAsia"/>
                <w:color w:val="000000"/>
              </w:rPr>
            </w:pPr>
            <w:r>
              <w:rPr>
                <w:rFonts w:hint="eastAsia"/>
                <w:color w:val="000000"/>
              </w:rPr>
              <w:t>1882</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976215A">
            <w:pPr>
              <w:pStyle w:val="10"/>
              <w:bidi w:val="0"/>
              <w:jc w:val="center"/>
              <w:rPr>
                <w:rFonts w:hint="eastAsia"/>
                <w:color w:val="000000"/>
              </w:rPr>
            </w:pPr>
            <w:r>
              <w:rPr>
                <w:rFonts w:hint="eastAsia"/>
                <w:color w:val="000000"/>
              </w:rPr>
              <w:t>75.6</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8C5DFB1">
            <w:pPr>
              <w:pStyle w:val="10"/>
              <w:bidi w:val="0"/>
              <w:jc w:val="center"/>
              <w:rPr>
                <w:rFonts w:hint="eastAsia"/>
                <w:color w:val="000000"/>
              </w:rPr>
            </w:pPr>
            <w:r>
              <w:rPr>
                <w:rFonts w:hint="eastAsia"/>
                <w:color w:val="000000"/>
              </w:rPr>
              <w:t>957.9</w:t>
            </w:r>
          </w:p>
        </w:tc>
        <w:tc>
          <w:tcPr>
            <w:tcW w:w="714" w:type="pct"/>
            <w:tcBorders>
              <w:top w:val="single" w:color="000000" w:sz="8" w:space="0"/>
              <w:left w:val="single" w:color="000000" w:sz="8" w:space="0"/>
              <w:bottom w:val="single" w:color="000000" w:sz="8" w:space="0"/>
            </w:tcBorders>
            <w:shd w:val="clear" w:color="auto" w:fill="FFFFFF"/>
            <w:noWrap w:val="0"/>
            <w:vAlign w:val="center"/>
          </w:tcPr>
          <w:p w14:paraId="7F4AB4C6">
            <w:pPr>
              <w:pStyle w:val="10"/>
              <w:bidi w:val="0"/>
              <w:jc w:val="center"/>
              <w:rPr>
                <w:rFonts w:hint="eastAsia"/>
                <w:color w:val="000000"/>
              </w:rPr>
            </w:pPr>
            <w:r>
              <w:rPr>
                <w:rFonts w:hint="eastAsia"/>
                <w:color w:val="000000"/>
              </w:rPr>
              <w:t>10.04</w:t>
            </w:r>
          </w:p>
        </w:tc>
      </w:tr>
      <w:tr w14:paraId="5AB3680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6" w:type="pct"/>
            <w:tcBorders>
              <w:top w:val="single" w:color="000000" w:sz="8" w:space="0"/>
              <w:bottom w:val="single" w:color="000000" w:sz="8" w:space="0"/>
              <w:right w:val="single" w:color="000000" w:sz="8" w:space="0"/>
            </w:tcBorders>
            <w:shd w:val="clear" w:color="auto" w:fill="FFFFFF"/>
            <w:noWrap w:val="0"/>
            <w:vAlign w:val="center"/>
          </w:tcPr>
          <w:p w14:paraId="590B3B1C">
            <w:pPr>
              <w:pStyle w:val="10"/>
              <w:bidi w:val="0"/>
              <w:jc w:val="center"/>
              <w:rPr>
                <w:rFonts w:hint="eastAsia"/>
                <w:color w:val="000000"/>
              </w:rPr>
            </w:pPr>
            <w:r>
              <w:rPr>
                <w:rFonts w:hint="eastAsia"/>
                <w:color w:val="000000"/>
              </w:rPr>
              <w:t>坪田村</w:t>
            </w:r>
          </w:p>
        </w:tc>
        <w:tc>
          <w:tcPr>
            <w:tcW w:w="7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0B395A6">
            <w:pPr>
              <w:pStyle w:val="10"/>
              <w:bidi w:val="0"/>
              <w:jc w:val="center"/>
              <w:rPr>
                <w:rFonts w:hint="eastAsia"/>
                <w:color w:val="000000"/>
              </w:rPr>
            </w:pPr>
            <w:r>
              <w:rPr>
                <w:rFonts w:hint="eastAsia"/>
                <w:color w:val="000000"/>
              </w:rPr>
              <w:t>12</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4C4CA24">
            <w:pPr>
              <w:pStyle w:val="10"/>
              <w:bidi w:val="0"/>
              <w:jc w:val="center"/>
              <w:rPr>
                <w:rFonts w:hint="eastAsia"/>
                <w:color w:val="000000"/>
              </w:rPr>
            </w:pPr>
            <w:r>
              <w:rPr>
                <w:rFonts w:hint="eastAsia"/>
                <w:color w:val="000000"/>
              </w:rPr>
              <w:t>487</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6FA5CC5">
            <w:pPr>
              <w:pStyle w:val="10"/>
              <w:bidi w:val="0"/>
              <w:jc w:val="center"/>
              <w:rPr>
                <w:rFonts w:hint="eastAsia"/>
                <w:color w:val="000000"/>
              </w:rPr>
            </w:pPr>
            <w:r>
              <w:rPr>
                <w:rFonts w:hint="eastAsia"/>
                <w:color w:val="000000"/>
              </w:rPr>
              <w:t>1690</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80FD2FE">
            <w:pPr>
              <w:pStyle w:val="10"/>
              <w:bidi w:val="0"/>
              <w:jc w:val="center"/>
              <w:rPr>
                <w:rFonts w:hint="eastAsia"/>
                <w:color w:val="000000"/>
              </w:rPr>
            </w:pPr>
            <w:r>
              <w:rPr>
                <w:rFonts w:hint="eastAsia"/>
                <w:color w:val="000000"/>
              </w:rPr>
              <w:t>67.4</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05E61BE">
            <w:pPr>
              <w:pStyle w:val="10"/>
              <w:bidi w:val="0"/>
              <w:jc w:val="center"/>
              <w:rPr>
                <w:rFonts w:hint="eastAsia"/>
                <w:color w:val="000000"/>
              </w:rPr>
            </w:pPr>
            <w:r>
              <w:rPr>
                <w:rFonts w:hint="eastAsia"/>
                <w:color w:val="000000"/>
              </w:rPr>
              <w:t>873.45</w:t>
            </w:r>
          </w:p>
        </w:tc>
        <w:tc>
          <w:tcPr>
            <w:tcW w:w="714" w:type="pct"/>
            <w:tcBorders>
              <w:top w:val="single" w:color="000000" w:sz="8" w:space="0"/>
              <w:left w:val="single" w:color="000000" w:sz="8" w:space="0"/>
              <w:bottom w:val="single" w:color="000000" w:sz="8" w:space="0"/>
            </w:tcBorders>
            <w:shd w:val="clear" w:color="auto" w:fill="FFFFFF"/>
            <w:noWrap w:val="0"/>
            <w:vAlign w:val="center"/>
          </w:tcPr>
          <w:p w14:paraId="2C60C321">
            <w:pPr>
              <w:pStyle w:val="10"/>
              <w:bidi w:val="0"/>
              <w:jc w:val="center"/>
              <w:rPr>
                <w:rFonts w:hint="eastAsia"/>
                <w:color w:val="000000"/>
              </w:rPr>
            </w:pPr>
            <w:r>
              <w:rPr>
                <w:rFonts w:hint="eastAsia"/>
                <w:color w:val="000000"/>
              </w:rPr>
              <w:t>12.49</w:t>
            </w:r>
          </w:p>
        </w:tc>
      </w:tr>
      <w:tr w14:paraId="3AB9807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6" w:type="pct"/>
            <w:tcBorders>
              <w:top w:val="single" w:color="000000" w:sz="8" w:space="0"/>
              <w:bottom w:val="single" w:color="000000" w:sz="8" w:space="0"/>
              <w:right w:val="single" w:color="000000" w:sz="8" w:space="0"/>
            </w:tcBorders>
            <w:shd w:val="clear" w:color="auto" w:fill="FFFFFF"/>
            <w:noWrap w:val="0"/>
            <w:vAlign w:val="center"/>
          </w:tcPr>
          <w:p w14:paraId="40A4A217">
            <w:pPr>
              <w:pStyle w:val="10"/>
              <w:bidi w:val="0"/>
              <w:jc w:val="center"/>
              <w:rPr>
                <w:rFonts w:hint="eastAsia"/>
                <w:color w:val="000000"/>
              </w:rPr>
            </w:pPr>
            <w:r>
              <w:rPr>
                <w:rFonts w:hint="eastAsia"/>
                <w:color w:val="000000"/>
              </w:rPr>
              <w:t>龙头村</w:t>
            </w:r>
          </w:p>
        </w:tc>
        <w:tc>
          <w:tcPr>
            <w:tcW w:w="7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71A707F">
            <w:pPr>
              <w:pStyle w:val="10"/>
              <w:bidi w:val="0"/>
              <w:jc w:val="center"/>
              <w:rPr>
                <w:rFonts w:hint="eastAsia"/>
                <w:color w:val="000000"/>
              </w:rPr>
            </w:pPr>
            <w:r>
              <w:rPr>
                <w:rFonts w:hint="eastAsia"/>
                <w:color w:val="000000"/>
              </w:rPr>
              <w:t>7</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BA0842F">
            <w:pPr>
              <w:pStyle w:val="10"/>
              <w:bidi w:val="0"/>
              <w:jc w:val="center"/>
              <w:rPr>
                <w:rFonts w:hint="eastAsia"/>
                <w:color w:val="000000"/>
              </w:rPr>
            </w:pPr>
            <w:r>
              <w:rPr>
                <w:rFonts w:hint="eastAsia"/>
                <w:color w:val="000000"/>
              </w:rPr>
              <w:t>295</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EEC5869">
            <w:pPr>
              <w:pStyle w:val="10"/>
              <w:bidi w:val="0"/>
              <w:jc w:val="center"/>
              <w:rPr>
                <w:rFonts w:hint="eastAsia"/>
                <w:color w:val="000000"/>
              </w:rPr>
            </w:pPr>
            <w:r>
              <w:rPr>
                <w:rFonts w:hint="eastAsia"/>
                <w:color w:val="000000"/>
              </w:rPr>
              <w:t>948</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D0B0BF9">
            <w:pPr>
              <w:pStyle w:val="10"/>
              <w:bidi w:val="0"/>
              <w:jc w:val="center"/>
              <w:rPr>
                <w:rFonts w:hint="eastAsia"/>
                <w:color w:val="000000"/>
              </w:rPr>
            </w:pPr>
            <w:r>
              <w:rPr>
                <w:rFonts w:hint="eastAsia"/>
                <w:color w:val="000000"/>
              </w:rPr>
              <w:t>79.6</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13B40EA">
            <w:pPr>
              <w:pStyle w:val="10"/>
              <w:bidi w:val="0"/>
              <w:jc w:val="center"/>
              <w:rPr>
                <w:rFonts w:hint="eastAsia"/>
                <w:color w:val="000000"/>
              </w:rPr>
            </w:pPr>
            <w:r>
              <w:rPr>
                <w:rFonts w:hint="eastAsia"/>
                <w:color w:val="000000"/>
              </w:rPr>
              <w:t>587.2</w:t>
            </w:r>
          </w:p>
        </w:tc>
        <w:tc>
          <w:tcPr>
            <w:tcW w:w="714" w:type="pct"/>
            <w:tcBorders>
              <w:top w:val="single" w:color="000000" w:sz="8" w:space="0"/>
              <w:left w:val="single" w:color="000000" w:sz="8" w:space="0"/>
              <w:bottom w:val="single" w:color="000000" w:sz="8" w:space="0"/>
            </w:tcBorders>
            <w:shd w:val="clear" w:color="auto" w:fill="FFFFFF"/>
            <w:noWrap w:val="0"/>
            <w:vAlign w:val="center"/>
          </w:tcPr>
          <w:p w14:paraId="44DE8945">
            <w:pPr>
              <w:pStyle w:val="10"/>
              <w:bidi w:val="0"/>
              <w:jc w:val="center"/>
              <w:rPr>
                <w:rFonts w:hint="eastAsia"/>
                <w:color w:val="000000"/>
              </w:rPr>
            </w:pPr>
            <w:r>
              <w:rPr>
                <w:rFonts w:hint="eastAsia"/>
                <w:color w:val="000000"/>
              </w:rPr>
              <w:t>23.92</w:t>
            </w:r>
          </w:p>
        </w:tc>
      </w:tr>
      <w:tr w14:paraId="490B2F5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6" w:type="pct"/>
            <w:tcBorders>
              <w:top w:val="single" w:color="000000" w:sz="8" w:space="0"/>
              <w:bottom w:val="single" w:color="000000" w:sz="8" w:space="0"/>
              <w:right w:val="single" w:color="000000" w:sz="8" w:space="0"/>
            </w:tcBorders>
            <w:shd w:val="clear" w:color="auto" w:fill="FFFFFF"/>
            <w:noWrap w:val="0"/>
            <w:vAlign w:val="center"/>
          </w:tcPr>
          <w:p w14:paraId="04B77614">
            <w:pPr>
              <w:pStyle w:val="10"/>
              <w:bidi w:val="0"/>
              <w:jc w:val="center"/>
              <w:rPr>
                <w:rFonts w:hint="eastAsia"/>
                <w:color w:val="000000"/>
              </w:rPr>
            </w:pPr>
            <w:r>
              <w:rPr>
                <w:rFonts w:hint="eastAsia"/>
                <w:color w:val="000000"/>
              </w:rPr>
              <w:t>迳洞村</w:t>
            </w:r>
          </w:p>
        </w:tc>
        <w:tc>
          <w:tcPr>
            <w:tcW w:w="7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23D7102">
            <w:pPr>
              <w:pStyle w:val="10"/>
              <w:bidi w:val="0"/>
              <w:jc w:val="center"/>
              <w:rPr>
                <w:rFonts w:hint="eastAsia"/>
                <w:color w:val="000000"/>
              </w:rPr>
            </w:pPr>
            <w:r>
              <w:rPr>
                <w:rFonts w:hint="eastAsia"/>
                <w:color w:val="000000"/>
              </w:rPr>
              <w:t>18</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04663C1">
            <w:pPr>
              <w:pStyle w:val="10"/>
              <w:bidi w:val="0"/>
              <w:jc w:val="center"/>
              <w:rPr>
                <w:rFonts w:hint="eastAsia"/>
                <w:color w:val="000000"/>
              </w:rPr>
            </w:pPr>
            <w:r>
              <w:rPr>
                <w:rFonts w:hint="eastAsia"/>
                <w:color w:val="000000"/>
              </w:rPr>
              <w:t>535</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3060FAC">
            <w:pPr>
              <w:pStyle w:val="10"/>
              <w:bidi w:val="0"/>
              <w:jc w:val="center"/>
              <w:rPr>
                <w:rFonts w:hint="eastAsia"/>
                <w:color w:val="000000"/>
              </w:rPr>
            </w:pPr>
            <w:r>
              <w:rPr>
                <w:rFonts w:hint="eastAsia"/>
                <w:color w:val="000000"/>
              </w:rPr>
              <w:t>2093</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E068DCE">
            <w:pPr>
              <w:pStyle w:val="10"/>
              <w:bidi w:val="0"/>
              <w:jc w:val="center"/>
              <w:rPr>
                <w:rFonts w:hint="eastAsia"/>
                <w:color w:val="000000"/>
              </w:rPr>
            </w:pPr>
            <w:r>
              <w:rPr>
                <w:rFonts w:hint="eastAsia"/>
                <w:color w:val="000000"/>
              </w:rPr>
              <w:t>91.8</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69F9696">
            <w:pPr>
              <w:pStyle w:val="10"/>
              <w:bidi w:val="0"/>
              <w:jc w:val="center"/>
              <w:rPr>
                <w:rFonts w:hint="eastAsia"/>
                <w:color w:val="000000"/>
              </w:rPr>
            </w:pPr>
            <w:r>
              <w:rPr>
                <w:rFonts w:hint="eastAsia"/>
                <w:color w:val="000000"/>
              </w:rPr>
              <w:t>1586.9</w:t>
            </w:r>
          </w:p>
        </w:tc>
        <w:tc>
          <w:tcPr>
            <w:tcW w:w="714" w:type="pct"/>
            <w:tcBorders>
              <w:top w:val="single" w:color="000000" w:sz="8" w:space="0"/>
              <w:left w:val="single" w:color="000000" w:sz="8" w:space="0"/>
              <w:bottom w:val="single" w:color="000000" w:sz="8" w:space="0"/>
            </w:tcBorders>
            <w:shd w:val="clear" w:color="auto" w:fill="FFFFFF"/>
            <w:noWrap w:val="0"/>
            <w:vAlign w:val="center"/>
          </w:tcPr>
          <w:p w14:paraId="51732649">
            <w:pPr>
              <w:pStyle w:val="10"/>
              <w:bidi w:val="0"/>
              <w:jc w:val="center"/>
              <w:rPr>
                <w:rFonts w:hint="eastAsia"/>
                <w:color w:val="000000"/>
              </w:rPr>
            </w:pPr>
            <w:r>
              <w:rPr>
                <w:rFonts w:hint="eastAsia"/>
                <w:color w:val="000000"/>
              </w:rPr>
              <w:t>9.96</w:t>
            </w:r>
          </w:p>
        </w:tc>
      </w:tr>
      <w:tr w14:paraId="16A28F0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6" w:type="pct"/>
            <w:tcBorders>
              <w:top w:val="single" w:color="000000" w:sz="8" w:space="0"/>
              <w:bottom w:val="single" w:color="000000" w:sz="8" w:space="0"/>
              <w:right w:val="single" w:color="000000" w:sz="8" w:space="0"/>
            </w:tcBorders>
            <w:shd w:val="clear" w:color="auto" w:fill="FFFFFF"/>
            <w:noWrap w:val="0"/>
            <w:vAlign w:val="center"/>
          </w:tcPr>
          <w:p w14:paraId="63260B94">
            <w:pPr>
              <w:pStyle w:val="10"/>
              <w:bidi w:val="0"/>
              <w:jc w:val="center"/>
              <w:rPr>
                <w:rFonts w:hint="eastAsia"/>
                <w:color w:val="000000"/>
              </w:rPr>
            </w:pPr>
            <w:r>
              <w:rPr>
                <w:rFonts w:hint="eastAsia"/>
                <w:color w:val="000000"/>
              </w:rPr>
              <w:t>新墟村</w:t>
            </w:r>
          </w:p>
        </w:tc>
        <w:tc>
          <w:tcPr>
            <w:tcW w:w="7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9A4FF8B">
            <w:pPr>
              <w:pStyle w:val="10"/>
              <w:bidi w:val="0"/>
              <w:jc w:val="center"/>
              <w:rPr>
                <w:rFonts w:hint="eastAsia"/>
                <w:color w:val="000000"/>
              </w:rPr>
            </w:pPr>
            <w:r>
              <w:rPr>
                <w:rFonts w:hint="eastAsia"/>
                <w:color w:val="000000"/>
              </w:rPr>
              <w:t>25</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F147C63">
            <w:pPr>
              <w:pStyle w:val="10"/>
              <w:bidi w:val="0"/>
              <w:jc w:val="center"/>
              <w:rPr>
                <w:rFonts w:hint="eastAsia"/>
                <w:color w:val="000000"/>
              </w:rPr>
            </w:pPr>
            <w:r>
              <w:rPr>
                <w:rFonts w:hint="eastAsia"/>
                <w:color w:val="000000"/>
              </w:rPr>
              <w:t>394</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F0B5DCD">
            <w:pPr>
              <w:pStyle w:val="10"/>
              <w:bidi w:val="0"/>
              <w:jc w:val="center"/>
              <w:rPr>
                <w:rFonts w:hint="eastAsia"/>
                <w:color w:val="000000"/>
              </w:rPr>
            </w:pPr>
            <w:r>
              <w:rPr>
                <w:rFonts w:hint="eastAsia"/>
                <w:color w:val="000000"/>
              </w:rPr>
              <w:t>1402</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68CC770">
            <w:pPr>
              <w:pStyle w:val="10"/>
              <w:bidi w:val="0"/>
              <w:jc w:val="center"/>
              <w:rPr>
                <w:rFonts w:hint="eastAsia"/>
                <w:color w:val="000000"/>
              </w:rPr>
            </w:pPr>
            <w:r>
              <w:rPr>
                <w:rFonts w:hint="eastAsia"/>
                <w:color w:val="000000"/>
              </w:rPr>
              <w:t>132.4</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203C4DB">
            <w:pPr>
              <w:pStyle w:val="10"/>
              <w:bidi w:val="0"/>
              <w:jc w:val="center"/>
              <w:rPr>
                <w:rFonts w:hint="eastAsia"/>
                <w:color w:val="000000"/>
              </w:rPr>
            </w:pPr>
            <w:r>
              <w:rPr>
                <w:rFonts w:hint="eastAsia"/>
                <w:color w:val="000000"/>
              </w:rPr>
              <w:t>472.7</w:t>
            </w:r>
          </w:p>
        </w:tc>
        <w:tc>
          <w:tcPr>
            <w:tcW w:w="714" w:type="pct"/>
            <w:tcBorders>
              <w:top w:val="single" w:color="000000" w:sz="8" w:space="0"/>
              <w:left w:val="single" w:color="000000" w:sz="8" w:space="0"/>
              <w:bottom w:val="single" w:color="000000" w:sz="8" w:space="0"/>
            </w:tcBorders>
            <w:shd w:val="clear" w:color="auto" w:fill="FFFFFF"/>
            <w:noWrap w:val="0"/>
            <w:vAlign w:val="center"/>
          </w:tcPr>
          <w:p w14:paraId="17B00856">
            <w:pPr>
              <w:pStyle w:val="10"/>
              <w:bidi w:val="0"/>
              <w:jc w:val="center"/>
              <w:rPr>
                <w:rFonts w:hint="eastAsia"/>
                <w:color w:val="000000"/>
              </w:rPr>
            </w:pPr>
            <w:r>
              <w:rPr>
                <w:rFonts w:hint="eastAsia"/>
                <w:color w:val="000000"/>
              </w:rPr>
              <w:t>45.03</w:t>
            </w:r>
          </w:p>
        </w:tc>
      </w:tr>
      <w:tr w14:paraId="3B690F8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6" w:type="pct"/>
            <w:tcBorders>
              <w:top w:val="single" w:color="000000" w:sz="8" w:space="0"/>
              <w:bottom w:val="single" w:color="000000" w:sz="8" w:space="0"/>
              <w:right w:val="single" w:color="000000" w:sz="8" w:space="0"/>
            </w:tcBorders>
            <w:shd w:val="clear" w:color="auto" w:fill="FFFFFF"/>
            <w:noWrap w:val="0"/>
            <w:vAlign w:val="center"/>
          </w:tcPr>
          <w:p w14:paraId="71DD54F0">
            <w:pPr>
              <w:pStyle w:val="10"/>
              <w:bidi w:val="0"/>
              <w:jc w:val="center"/>
              <w:rPr>
                <w:rFonts w:hint="eastAsia"/>
                <w:color w:val="000000"/>
              </w:rPr>
            </w:pPr>
            <w:r>
              <w:rPr>
                <w:rFonts w:hint="eastAsia"/>
                <w:color w:val="000000"/>
              </w:rPr>
              <w:t>老宅村</w:t>
            </w:r>
          </w:p>
        </w:tc>
        <w:tc>
          <w:tcPr>
            <w:tcW w:w="7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E093F9D">
            <w:pPr>
              <w:pStyle w:val="10"/>
              <w:bidi w:val="0"/>
              <w:jc w:val="center"/>
              <w:rPr>
                <w:rFonts w:hint="eastAsia"/>
                <w:color w:val="000000"/>
              </w:rPr>
            </w:pPr>
            <w:r>
              <w:rPr>
                <w:rFonts w:hint="eastAsia"/>
                <w:color w:val="000000"/>
              </w:rPr>
              <w:t>15</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1719694">
            <w:pPr>
              <w:pStyle w:val="10"/>
              <w:bidi w:val="0"/>
              <w:jc w:val="center"/>
              <w:rPr>
                <w:rFonts w:hint="eastAsia"/>
                <w:color w:val="000000"/>
              </w:rPr>
            </w:pPr>
            <w:r>
              <w:rPr>
                <w:rFonts w:hint="eastAsia"/>
                <w:color w:val="000000"/>
              </w:rPr>
              <w:t>417</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408C60B">
            <w:pPr>
              <w:pStyle w:val="10"/>
              <w:bidi w:val="0"/>
              <w:jc w:val="center"/>
              <w:rPr>
                <w:rFonts w:hint="eastAsia"/>
                <w:color w:val="000000"/>
              </w:rPr>
            </w:pPr>
            <w:r>
              <w:rPr>
                <w:rFonts w:hint="eastAsia"/>
                <w:color w:val="000000"/>
              </w:rPr>
              <w:t>1510</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8AD3748">
            <w:pPr>
              <w:pStyle w:val="10"/>
              <w:bidi w:val="0"/>
              <w:jc w:val="center"/>
              <w:rPr>
                <w:rFonts w:hint="eastAsia"/>
                <w:color w:val="000000"/>
              </w:rPr>
            </w:pPr>
            <w:r>
              <w:rPr>
                <w:rFonts w:hint="eastAsia"/>
                <w:color w:val="000000"/>
              </w:rPr>
              <w:t>100.9</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2E29A98">
            <w:pPr>
              <w:pStyle w:val="10"/>
              <w:bidi w:val="0"/>
              <w:jc w:val="center"/>
              <w:rPr>
                <w:rFonts w:hint="eastAsia"/>
                <w:color w:val="000000"/>
              </w:rPr>
            </w:pPr>
            <w:r>
              <w:rPr>
                <w:rFonts w:hint="eastAsia"/>
                <w:color w:val="000000"/>
              </w:rPr>
              <w:t>962.1</w:t>
            </w:r>
          </w:p>
        </w:tc>
        <w:tc>
          <w:tcPr>
            <w:tcW w:w="714" w:type="pct"/>
            <w:tcBorders>
              <w:top w:val="single" w:color="000000" w:sz="8" w:space="0"/>
              <w:left w:val="single" w:color="000000" w:sz="8" w:space="0"/>
              <w:bottom w:val="single" w:color="000000" w:sz="8" w:space="0"/>
            </w:tcBorders>
            <w:shd w:val="clear" w:color="auto" w:fill="FFFFFF"/>
            <w:noWrap w:val="0"/>
            <w:vAlign w:val="center"/>
          </w:tcPr>
          <w:p w14:paraId="1BE5A54C">
            <w:pPr>
              <w:pStyle w:val="10"/>
              <w:bidi w:val="0"/>
              <w:jc w:val="center"/>
              <w:rPr>
                <w:rFonts w:hint="eastAsia"/>
                <w:color w:val="000000"/>
              </w:rPr>
            </w:pPr>
            <w:r>
              <w:rPr>
                <w:rFonts w:hint="eastAsia"/>
                <w:color w:val="000000"/>
              </w:rPr>
              <w:t>63.97</w:t>
            </w:r>
          </w:p>
        </w:tc>
      </w:tr>
      <w:tr w14:paraId="218822A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6" w:type="pct"/>
            <w:tcBorders>
              <w:top w:val="single" w:color="000000" w:sz="8" w:space="0"/>
              <w:bottom w:val="single" w:color="000000" w:sz="8" w:space="0"/>
              <w:right w:val="single" w:color="000000" w:sz="8" w:space="0"/>
            </w:tcBorders>
            <w:shd w:val="clear" w:color="auto" w:fill="FFFFFF"/>
            <w:noWrap w:val="0"/>
            <w:vAlign w:val="center"/>
          </w:tcPr>
          <w:p w14:paraId="788AFD1D">
            <w:pPr>
              <w:pStyle w:val="10"/>
              <w:bidi w:val="0"/>
              <w:jc w:val="center"/>
              <w:rPr>
                <w:rFonts w:hint="eastAsia"/>
                <w:color w:val="000000"/>
              </w:rPr>
            </w:pPr>
            <w:r>
              <w:rPr>
                <w:rFonts w:hint="eastAsia"/>
                <w:color w:val="000000"/>
              </w:rPr>
              <w:t>中坪村</w:t>
            </w:r>
          </w:p>
        </w:tc>
        <w:tc>
          <w:tcPr>
            <w:tcW w:w="7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4D25671">
            <w:pPr>
              <w:pStyle w:val="10"/>
              <w:bidi w:val="0"/>
              <w:jc w:val="center"/>
              <w:rPr>
                <w:rFonts w:hint="eastAsia"/>
                <w:color w:val="000000"/>
              </w:rPr>
            </w:pPr>
            <w:r>
              <w:rPr>
                <w:rFonts w:hint="eastAsia"/>
                <w:color w:val="000000"/>
              </w:rPr>
              <w:t>21</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91C667B">
            <w:pPr>
              <w:pStyle w:val="10"/>
              <w:bidi w:val="0"/>
              <w:jc w:val="center"/>
              <w:rPr>
                <w:rFonts w:hint="eastAsia"/>
                <w:color w:val="000000"/>
              </w:rPr>
            </w:pPr>
            <w:r>
              <w:rPr>
                <w:rFonts w:hint="eastAsia"/>
                <w:color w:val="000000"/>
              </w:rPr>
              <w:t>496</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79F2472">
            <w:pPr>
              <w:pStyle w:val="10"/>
              <w:bidi w:val="0"/>
              <w:jc w:val="center"/>
              <w:rPr>
                <w:rFonts w:hint="eastAsia"/>
                <w:color w:val="000000"/>
              </w:rPr>
            </w:pPr>
            <w:r>
              <w:rPr>
                <w:rFonts w:hint="eastAsia"/>
                <w:color w:val="000000"/>
              </w:rPr>
              <w:t>1849</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6B049A5">
            <w:pPr>
              <w:pStyle w:val="10"/>
              <w:bidi w:val="0"/>
              <w:jc w:val="center"/>
              <w:rPr>
                <w:rFonts w:hint="eastAsia"/>
                <w:color w:val="000000"/>
              </w:rPr>
            </w:pPr>
            <w:r>
              <w:rPr>
                <w:rFonts w:hint="eastAsia"/>
                <w:color w:val="000000"/>
              </w:rPr>
              <w:t>108.6</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3EFDBE8">
            <w:pPr>
              <w:pStyle w:val="10"/>
              <w:bidi w:val="0"/>
              <w:jc w:val="center"/>
              <w:rPr>
                <w:rFonts w:hint="eastAsia"/>
                <w:color w:val="000000"/>
              </w:rPr>
            </w:pPr>
            <w:r>
              <w:rPr>
                <w:rFonts w:hint="eastAsia"/>
                <w:color w:val="000000"/>
              </w:rPr>
              <w:t>1676.9</w:t>
            </w:r>
          </w:p>
        </w:tc>
        <w:tc>
          <w:tcPr>
            <w:tcW w:w="714" w:type="pct"/>
            <w:tcBorders>
              <w:top w:val="single" w:color="000000" w:sz="8" w:space="0"/>
              <w:left w:val="single" w:color="000000" w:sz="8" w:space="0"/>
              <w:bottom w:val="single" w:color="000000" w:sz="8" w:space="0"/>
            </w:tcBorders>
            <w:shd w:val="clear" w:color="auto" w:fill="FFFFFF"/>
            <w:noWrap w:val="0"/>
            <w:vAlign w:val="center"/>
          </w:tcPr>
          <w:p w14:paraId="02BE1739">
            <w:pPr>
              <w:pStyle w:val="10"/>
              <w:bidi w:val="0"/>
              <w:jc w:val="center"/>
              <w:rPr>
                <w:rFonts w:hint="eastAsia"/>
                <w:color w:val="000000"/>
              </w:rPr>
            </w:pPr>
            <w:r>
              <w:rPr>
                <w:rFonts w:hint="eastAsia"/>
                <w:color w:val="000000"/>
              </w:rPr>
              <w:t>31.48</w:t>
            </w:r>
          </w:p>
        </w:tc>
      </w:tr>
      <w:tr w14:paraId="383C5E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6" w:type="pct"/>
            <w:tcBorders>
              <w:top w:val="single" w:color="000000" w:sz="8" w:space="0"/>
              <w:bottom w:val="single" w:color="000000" w:sz="8" w:space="0"/>
              <w:right w:val="single" w:color="000000" w:sz="8" w:space="0"/>
            </w:tcBorders>
            <w:shd w:val="clear" w:color="auto" w:fill="FFFFFF"/>
            <w:noWrap w:val="0"/>
            <w:vAlign w:val="center"/>
          </w:tcPr>
          <w:p w14:paraId="6A2AEC1F">
            <w:pPr>
              <w:pStyle w:val="10"/>
              <w:bidi w:val="0"/>
              <w:jc w:val="center"/>
              <w:rPr>
                <w:rFonts w:hint="eastAsia"/>
                <w:color w:val="000000"/>
              </w:rPr>
            </w:pPr>
            <w:r>
              <w:rPr>
                <w:rFonts w:hint="eastAsia"/>
                <w:color w:val="000000"/>
              </w:rPr>
              <w:t>社区</w:t>
            </w:r>
          </w:p>
        </w:tc>
        <w:tc>
          <w:tcPr>
            <w:tcW w:w="7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E45A13F">
            <w:pPr>
              <w:pStyle w:val="10"/>
              <w:bidi w:val="0"/>
              <w:jc w:val="center"/>
              <w:rPr>
                <w:rFonts w:hint="eastAsia"/>
                <w:color w:val="000000"/>
              </w:rPr>
            </w:pPr>
            <w:r>
              <w:rPr>
                <w:rFonts w:hint="eastAsia"/>
                <w:color w:val="000000"/>
              </w:rPr>
              <w:t>2</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A6B5B70">
            <w:pPr>
              <w:pStyle w:val="10"/>
              <w:bidi w:val="0"/>
              <w:jc w:val="center"/>
              <w:rPr>
                <w:rFonts w:hint="eastAsia"/>
                <w:color w:val="000000"/>
              </w:rPr>
            </w:pPr>
            <w:r>
              <w:rPr>
                <w:rFonts w:hint="eastAsia"/>
                <w:color w:val="000000"/>
              </w:rPr>
              <w:t>280</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3E4F4E0">
            <w:pPr>
              <w:pStyle w:val="10"/>
              <w:bidi w:val="0"/>
              <w:jc w:val="center"/>
              <w:rPr>
                <w:rFonts w:hint="eastAsia"/>
                <w:color w:val="000000"/>
              </w:rPr>
            </w:pPr>
            <w:r>
              <w:rPr>
                <w:rFonts w:hint="eastAsia"/>
                <w:color w:val="000000"/>
              </w:rPr>
              <w:t>1110</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09A9EB4">
            <w:pPr>
              <w:pStyle w:val="10"/>
              <w:bidi w:val="0"/>
              <w:jc w:val="center"/>
              <w:rPr>
                <w:rFonts w:hint="eastAsia"/>
                <w:color w:val="000000"/>
              </w:rPr>
            </w:pPr>
            <w:r>
              <w:rPr>
                <w:rFonts w:hint="eastAsia"/>
                <w:color w:val="000000"/>
              </w:rPr>
              <w:t>/</w:t>
            </w:r>
          </w:p>
        </w:tc>
        <w:tc>
          <w:tcPr>
            <w:tcW w:w="7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B5478CC">
            <w:pPr>
              <w:pStyle w:val="10"/>
              <w:bidi w:val="0"/>
              <w:jc w:val="center"/>
              <w:rPr>
                <w:rFonts w:hint="eastAsia"/>
                <w:color w:val="000000"/>
              </w:rPr>
            </w:pPr>
            <w:r>
              <w:rPr>
                <w:rFonts w:hint="eastAsia"/>
                <w:color w:val="000000"/>
              </w:rPr>
              <w:t>/</w:t>
            </w:r>
          </w:p>
        </w:tc>
        <w:tc>
          <w:tcPr>
            <w:tcW w:w="714" w:type="pct"/>
            <w:tcBorders>
              <w:top w:val="single" w:color="000000" w:sz="8" w:space="0"/>
              <w:left w:val="single" w:color="000000" w:sz="8" w:space="0"/>
              <w:bottom w:val="single" w:color="000000" w:sz="8" w:space="0"/>
            </w:tcBorders>
            <w:shd w:val="clear" w:color="auto" w:fill="FFFFFF"/>
            <w:noWrap w:val="0"/>
            <w:vAlign w:val="center"/>
          </w:tcPr>
          <w:p w14:paraId="6C22AFA4">
            <w:pPr>
              <w:pStyle w:val="10"/>
              <w:bidi w:val="0"/>
              <w:jc w:val="center"/>
              <w:rPr>
                <w:rFonts w:hint="eastAsia"/>
                <w:color w:val="000000"/>
              </w:rPr>
            </w:pPr>
            <w:r>
              <w:rPr>
                <w:rFonts w:hint="eastAsia"/>
                <w:color w:val="000000"/>
              </w:rPr>
              <w:t>/</w:t>
            </w:r>
          </w:p>
        </w:tc>
      </w:tr>
    </w:tbl>
    <w:p w14:paraId="1CBBD876">
      <w:pPr>
        <w:ind w:firstLine="420"/>
        <w:jc w:val="right"/>
        <w:rPr>
          <w:rFonts w:hint="eastAsia"/>
        </w:rPr>
      </w:pPr>
      <w:r>
        <w:rPr>
          <w:rFonts w:hint="eastAsia"/>
        </w:rPr>
        <w:t>（朱月娟）</w:t>
      </w:r>
    </w:p>
    <w:p w14:paraId="17ABCECB">
      <w:pPr>
        <w:pStyle w:val="10"/>
        <w:bidi w:val="0"/>
        <w:rPr>
          <w:b/>
          <w:bCs/>
        </w:rPr>
      </w:pPr>
      <w:r>
        <w:rPr>
          <w:rFonts w:hint="eastAsia"/>
          <w:b/>
          <w:bCs/>
        </w:rPr>
        <w:t>附：</w:t>
      </w:r>
      <w:r>
        <w:rPr>
          <w:b/>
          <w:bCs/>
        </w:rPr>
        <w:t>2013年坪田镇领导班子成员名单</w:t>
      </w:r>
    </w:p>
    <w:p w14:paraId="2562C51A">
      <w:pPr>
        <w:pStyle w:val="10"/>
        <w:bidi w:val="0"/>
        <w:rPr>
          <w:rFonts w:hint="eastAsia"/>
        </w:rPr>
      </w:pPr>
      <w:r>
        <w:rPr>
          <w:rFonts w:hint="eastAsia"/>
          <w:b/>
          <w:bCs/>
        </w:rPr>
        <w:t>党委书记、人大主席：</w:t>
      </w:r>
      <w:r>
        <w:rPr>
          <w:rFonts w:hint="eastAsia"/>
        </w:rPr>
        <w:t>何少波</w:t>
      </w:r>
    </w:p>
    <w:p w14:paraId="158834DA">
      <w:pPr>
        <w:pStyle w:val="10"/>
        <w:bidi w:val="0"/>
      </w:pPr>
      <w:r>
        <w:rPr>
          <w:rFonts w:hint="eastAsia"/>
          <w:b/>
          <w:bCs/>
        </w:rPr>
        <w:t>党委副书记、镇长：</w:t>
      </w:r>
      <w:r>
        <w:rPr>
          <w:rFonts w:hint="eastAsia"/>
        </w:rPr>
        <w:t>李明贤（</w:t>
      </w:r>
      <w:r>
        <w:t>9月任）</w:t>
      </w:r>
    </w:p>
    <w:p w14:paraId="1A041AB8">
      <w:pPr>
        <w:pStyle w:val="10"/>
        <w:bidi w:val="0"/>
        <w:rPr>
          <w:rFonts w:hint="eastAsia"/>
        </w:rPr>
      </w:pPr>
      <w:r>
        <w:rPr>
          <w:rFonts w:hint="eastAsia"/>
          <w:b/>
          <w:bCs/>
        </w:rPr>
        <w:t>党委副书记：</w:t>
      </w:r>
      <w:r>
        <w:rPr>
          <w:rFonts w:hint="eastAsia"/>
        </w:rPr>
        <w:t>陈如华</w:t>
      </w:r>
    </w:p>
    <w:p w14:paraId="266134D8">
      <w:pPr>
        <w:pStyle w:val="10"/>
        <w:bidi w:val="0"/>
        <w:rPr>
          <w:rFonts w:hint="eastAsia"/>
        </w:rPr>
      </w:pPr>
      <w:r>
        <w:rPr>
          <w:rFonts w:hint="eastAsia"/>
          <w:b/>
          <w:bCs/>
        </w:rPr>
        <w:t>纪检书记：</w:t>
      </w:r>
      <w:r>
        <w:rPr>
          <w:rFonts w:hint="eastAsia"/>
        </w:rPr>
        <w:t>张朝凤</w:t>
      </w:r>
    </w:p>
    <w:p w14:paraId="4FC06677">
      <w:pPr>
        <w:pStyle w:val="10"/>
        <w:bidi w:val="0"/>
        <w:rPr>
          <w:rFonts w:hint="eastAsia"/>
        </w:rPr>
      </w:pPr>
      <w:r>
        <w:rPr>
          <w:rFonts w:hint="eastAsia"/>
          <w:b/>
          <w:bCs/>
        </w:rPr>
        <w:t>组织委员：</w:t>
      </w:r>
      <w:r>
        <w:rPr>
          <w:rFonts w:hint="eastAsia"/>
        </w:rPr>
        <w:t>杜嗣卿</w:t>
      </w:r>
    </w:p>
    <w:p w14:paraId="2E357859">
      <w:pPr>
        <w:pStyle w:val="10"/>
        <w:bidi w:val="0"/>
        <w:rPr>
          <w:rFonts w:hint="eastAsia"/>
        </w:rPr>
      </w:pPr>
      <w:r>
        <w:rPr>
          <w:rFonts w:hint="eastAsia"/>
          <w:b/>
          <w:bCs/>
        </w:rPr>
        <w:t>宣传委员：</w:t>
      </w:r>
      <w:r>
        <w:rPr>
          <w:rFonts w:hint="eastAsia"/>
        </w:rPr>
        <w:t>黄得林</w:t>
      </w:r>
    </w:p>
    <w:p w14:paraId="1500756F">
      <w:pPr>
        <w:pStyle w:val="10"/>
        <w:bidi w:val="0"/>
        <w:rPr>
          <w:rFonts w:hint="eastAsia"/>
        </w:rPr>
      </w:pPr>
      <w:r>
        <w:rPr>
          <w:rFonts w:hint="eastAsia"/>
          <w:b/>
          <w:bCs/>
        </w:rPr>
        <w:t>人大副主席：</w:t>
      </w:r>
      <w:r>
        <w:rPr>
          <w:rFonts w:hint="eastAsia"/>
        </w:rPr>
        <w:t>叶银华</w:t>
      </w:r>
    </w:p>
    <w:p w14:paraId="22DADAC9">
      <w:pPr>
        <w:pStyle w:val="10"/>
        <w:bidi w:val="0"/>
        <w:rPr>
          <w:rFonts w:hint="eastAsia"/>
        </w:rPr>
      </w:pPr>
      <w:r>
        <w:rPr>
          <w:rFonts w:hint="eastAsia"/>
          <w:b/>
          <w:bCs/>
        </w:rPr>
        <w:t>武装部长：</w:t>
      </w:r>
      <w:r>
        <w:rPr>
          <w:rFonts w:hint="eastAsia"/>
        </w:rPr>
        <w:t>陈军良</w:t>
      </w:r>
    </w:p>
    <w:p w14:paraId="51D3C5F5">
      <w:pPr>
        <w:pStyle w:val="10"/>
        <w:bidi w:val="0"/>
        <w:rPr>
          <w:rFonts w:hint="eastAsia"/>
        </w:rPr>
      </w:pPr>
      <w:r>
        <w:rPr>
          <w:rFonts w:hint="eastAsia"/>
          <w:b/>
          <w:bCs/>
        </w:rPr>
        <w:t>综治办专职副主任：</w:t>
      </w:r>
      <w:r>
        <w:rPr>
          <w:rFonts w:hint="eastAsia"/>
        </w:rPr>
        <w:t>聂伟敏</w:t>
      </w:r>
    </w:p>
    <w:p w14:paraId="762AEA55">
      <w:pPr>
        <w:pStyle w:val="10"/>
        <w:bidi w:val="0"/>
        <w:rPr>
          <w:rFonts w:hint="eastAsia"/>
        </w:rPr>
      </w:pPr>
      <w:r>
        <w:rPr>
          <w:rFonts w:hint="eastAsia"/>
          <w:b/>
          <w:bCs/>
        </w:rPr>
        <w:t>副镇长：</w:t>
      </w:r>
      <w:r>
        <w:rPr>
          <w:rFonts w:hint="eastAsia"/>
        </w:rPr>
        <w:t>杨</w:t>
      </w:r>
      <w:r>
        <w:rPr>
          <w:rFonts w:hint="eastAsia"/>
          <w:lang w:val="en-US" w:eastAsia="zh-CN"/>
        </w:rPr>
        <w:t xml:space="preserve">  </w:t>
      </w:r>
      <w:r>
        <w:rPr>
          <w:rFonts w:hint="eastAsia"/>
        </w:rPr>
        <w:t>忠</w:t>
      </w:r>
      <w:r>
        <w:rPr>
          <w:rFonts w:hint="eastAsia"/>
          <w:lang w:val="en-US" w:eastAsia="zh-CN"/>
        </w:rPr>
        <w:t xml:space="preserve">   </w:t>
      </w:r>
      <w:r>
        <w:rPr>
          <w:rFonts w:hint="eastAsia"/>
        </w:rPr>
        <w:t>陈日军</w:t>
      </w:r>
      <w:r>
        <w:rPr>
          <w:rFonts w:hint="eastAsia"/>
          <w:lang w:val="en-US" w:eastAsia="zh-CN"/>
        </w:rPr>
        <w:t xml:space="preserve">   </w:t>
      </w:r>
      <w:r>
        <w:rPr>
          <w:rFonts w:hint="eastAsia"/>
        </w:rPr>
        <w:t>张</w:t>
      </w:r>
      <w:r>
        <w:rPr>
          <w:rFonts w:hint="eastAsia"/>
          <w:lang w:val="en-US" w:eastAsia="zh-CN"/>
        </w:rPr>
        <w:t xml:space="preserve">  </w:t>
      </w:r>
      <w:r>
        <w:rPr>
          <w:rFonts w:hint="eastAsia"/>
        </w:rPr>
        <w:t>旭</w:t>
      </w:r>
    </w:p>
    <w:p w14:paraId="273D5D40">
      <w:pPr>
        <w:pStyle w:val="3"/>
        <w:bidi w:val="0"/>
        <w:rPr>
          <w:rFonts w:hint="eastAsia"/>
        </w:rPr>
      </w:pPr>
      <w:r>
        <w:rPr>
          <w:rFonts w:hint="eastAsia"/>
        </w:rPr>
        <w:t>主田镇</w:t>
      </w:r>
    </w:p>
    <w:p w14:paraId="049F8EE6">
      <w:pPr>
        <w:pStyle w:val="4"/>
        <w:bidi w:val="0"/>
        <w:rPr>
          <w:rFonts w:hint="eastAsia"/>
        </w:rPr>
      </w:pPr>
      <w:r>
        <w:rPr>
          <w:rFonts w:hint="eastAsia"/>
        </w:rPr>
        <w:t>【概况】</w:t>
      </w:r>
    </w:p>
    <w:p w14:paraId="29021971">
      <w:pPr>
        <w:rPr>
          <w:rFonts w:hint="eastAsia"/>
        </w:rPr>
      </w:pPr>
      <w:r>
        <w:rPr>
          <w:rFonts w:hint="eastAsia"/>
        </w:rPr>
        <w:t>主田镇位于南雄市东南部，距南雄市区</w:t>
      </w:r>
      <w:r>
        <w:t>6公里，周边与江西全南、始兴澄江以及本市江头、</w:t>
      </w:r>
      <w:r>
        <w:rPr>
          <w:rFonts w:hint="eastAsia"/>
        </w:rPr>
        <w:t>古市、雄州等镇交界。地质属于燕山期花岗岩体及寒武纪震旦纪变质岩体，气候属于亚热带季风湿润气候区。全镇总面积</w:t>
      </w:r>
      <w:r>
        <w:t>187平方公里，辖8个行政村</w:t>
      </w:r>
      <w:r>
        <w:rPr>
          <w:rFonts w:hint="eastAsia"/>
        </w:rPr>
        <w:t>和</w:t>
      </w:r>
      <w:r>
        <w:t>1个居委会，共有102个村民小组，2013年末，</w:t>
      </w:r>
      <w:r>
        <w:rPr>
          <w:rFonts w:hint="eastAsia"/>
        </w:rPr>
        <w:t>辖区共有</w:t>
      </w:r>
      <w:r>
        <w:t>3804户，总人口14450人，其中，常住人</w:t>
      </w:r>
      <w:r>
        <w:rPr>
          <w:rFonts w:hint="eastAsia"/>
        </w:rPr>
        <w:t>口约</w:t>
      </w:r>
      <w:r>
        <w:t>8000人。全镇耕地面积18768亩，其中水田面</w:t>
      </w:r>
      <w:r>
        <w:rPr>
          <w:rFonts w:hint="eastAsia"/>
        </w:rPr>
        <w:t>积</w:t>
      </w:r>
      <w:r>
        <w:t>14705亩，旱地面积4063亩。镇内森林、水利、</w:t>
      </w:r>
      <w:r>
        <w:rPr>
          <w:rFonts w:hint="eastAsia"/>
        </w:rPr>
        <w:t>矿产资源丰富，市区饮用水源瀑布水库，省级自然保护区小流坑一青嶂山，省级企业棉土窝钨矿在该镇境内。</w:t>
      </w:r>
    </w:p>
    <w:p w14:paraId="4425CC9D">
      <w:pPr>
        <w:pStyle w:val="4"/>
        <w:bidi w:val="0"/>
        <w:rPr>
          <w:rFonts w:hint="eastAsia"/>
        </w:rPr>
      </w:pPr>
      <w:r>
        <w:rPr>
          <w:rFonts w:hint="eastAsia"/>
        </w:rPr>
        <w:t>【经济社会发展】</w:t>
      </w:r>
    </w:p>
    <w:p w14:paraId="4B64FA7F">
      <w:r>
        <w:rPr>
          <w:rFonts w:hint="eastAsia"/>
        </w:rPr>
        <w:t>主田镇经济社会快速发展。全镇耕地面积</w:t>
      </w:r>
      <w:r>
        <w:t>1.87万亩，林地面积19.38万亩，是典</w:t>
      </w:r>
      <w:r>
        <w:rPr>
          <w:rFonts w:hint="eastAsia"/>
        </w:rPr>
        <w:t>型的以农林业为主的山区乡镇。粮食作物以水稻、花生为主。主要经济作物有黄烟（烤烟型）、竹木等。</w:t>
      </w:r>
      <w:r>
        <w:t>2013年全镇黄烟种植面积0.89万亩，产量</w:t>
      </w:r>
      <w:r>
        <w:rPr>
          <w:rFonts w:hint="eastAsia"/>
        </w:rPr>
        <w:t>（烘烤干后）</w:t>
      </w:r>
      <w:r>
        <w:t>1290吨，收购资金3096万元左右，均</w:t>
      </w:r>
      <w:r>
        <w:rPr>
          <w:rFonts w:hint="eastAsia"/>
        </w:rPr>
        <w:t>价每市斤</w:t>
      </w:r>
      <w:r>
        <w:t>12元。2013年农民人均纯收入8256元</w:t>
      </w:r>
      <w:r>
        <w:rPr>
          <w:rFonts w:hint="eastAsia"/>
          <w:lang w:eastAsia="zh-CN"/>
        </w:rPr>
        <w:t>。</w:t>
      </w:r>
      <w:r>
        <w:rPr>
          <w:rFonts w:hint="eastAsia"/>
        </w:rPr>
        <w:t>境内有规模以上工业企业</w:t>
      </w:r>
      <w:r>
        <w:t>1家（省广晟集团棉土窝</w:t>
      </w:r>
      <w:r>
        <w:rPr>
          <w:rFonts w:hint="eastAsia"/>
        </w:rPr>
        <w:t>钨矿，位于大坝村委会棉土窝）。</w:t>
      </w:r>
      <w:r>
        <w:t>2013年财政总收</w:t>
      </w:r>
      <w:r>
        <w:rPr>
          <w:rFonts w:hint="eastAsia"/>
          <w:lang w:eastAsia="zh-CN"/>
        </w:rPr>
        <w:t>入</w:t>
      </w:r>
      <w:r>
        <w:t>681.8万元。</w:t>
      </w:r>
    </w:p>
    <w:p w14:paraId="6A48AC26">
      <w:pPr>
        <w:pStyle w:val="4"/>
        <w:bidi w:val="0"/>
        <w:rPr>
          <w:rFonts w:hint="eastAsia"/>
        </w:rPr>
      </w:pPr>
      <w:r>
        <w:rPr>
          <w:rFonts w:hint="eastAsia"/>
        </w:rPr>
        <w:t>【招商引</w:t>
      </w:r>
      <w:r>
        <w:rPr>
          <w:rFonts w:hint="eastAsia"/>
          <w:lang w:val="en-US" w:eastAsia="zh-CN"/>
        </w:rPr>
        <w:t>资</w:t>
      </w:r>
      <w:r>
        <w:rPr>
          <w:rFonts w:hint="eastAsia"/>
        </w:rPr>
        <w:t>工作】</w:t>
      </w:r>
    </w:p>
    <w:p w14:paraId="017887B4">
      <w:pPr>
        <w:rPr>
          <w:rFonts w:hint="eastAsia"/>
        </w:rPr>
      </w:pPr>
      <w:r>
        <w:rPr>
          <w:rFonts w:hint="eastAsia"/>
        </w:rPr>
        <w:t>立足于生态旅游产业招好商、招大商。上半年，成功引进东莞台商会落户开发农业旅游产业（度假区），该项目的引进，将为此前进驻主田镇的生态观光休闲农场（樱花基地）项目锦上添花；深圳高山水公司的万花千卉园项目正在进行前期筹备工作。</w:t>
      </w:r>
    </w:p>
    <w:p w14:paraId="0CE57C15">
      <w:pPr>
        <w:pStyle w:val="4"/>
        <w:bidi w:val="0"/>
        <w:rPr>
          <w:rFonts w:hint="eastAsia"/>
        </w:rPr>
      </w:pPr>
      <w:r>
        <w:rPr>
          <w:rFonts w:hint="eastAsia"/>
        </w:rPr>
        <w:t>【重点工程项目建设】</w:t>
      </w:r>
    </w:p>
    <w:p w14:paraId="6A310DE3">
      <w:pPr>
        <w:rPr>
          <w:rFonts w:hint="eastAsia"/>
        </w:rPr>
      </w:pPr>
      <w:r>
        <w:rPr>
          <w:rFonts w:hint="eastAsia"/>
        </w:rPr>
        <w:t>一是樱花基地项目全面动工，截至</w:t>
      </w:r>
      <w:r>
        <w:t>2013年底已完成30多公里观光和生产道</w:t>
      </w:r>
      <w:r>
        <w:rPr>
          <w:rFonts w:hint="eastAsia"/>
        </w:rPr>
        <w:t>路挖掘平整、</w:t>
      </w:r>
      <w:r>
        <w:t>40万米消防灌溉管道铺设、3600多</w:t>
      </w:r>
      <w:r>
        <w:rPr>
          <w:rFonts w:hint="eastAsia"/>
        </w:rPr>
        <w:t>亩林地的清山备耕和</w:t>
      </w:r>
      <w:r>
        <w:t>10公里主路的茶花、樱花和</w:t>
      </w:r>
      <w:r>
        <w:rPr>
          <w:rFonts w:hint="eastAsia"/>
        </w:rPr>
        <w:t>部分林地的海棠、梅花、银杏等观赏苗木种植，完成投资金额达五千万元；二是竹篙坑旅游度假区项目全面启动，征地租地工作基本完成，景区首条观赏大道建设初步完成。</w:t>
      </w:r>
    </w:p>
    <w:p w14:paraId="21908CED">
      <w:pPr>
        <w:pStyle w:val="4"/>
        <w:bidi w:val="0"/>
        <w:rPr>
          <w:rFonts w:hint="eastAsia"/>
        </w:rPr>
      </w:pPr>
      <w:r>
        <w:rPr>
          <w:rFonts w:hint="eastAsia"/>
          <w:lang w:eastAsia="zh-CN"/>
        </w:rPr>
        <w:t>【</w:t>
      </w:r>
      <w:r>
        <w:rPr>
          <w:rFonts w:hint="eastAsia"/>
        </w:rPr>
        <w:t>新农村建设】</w:t>
      </w:r>
    </w:p>
    <w:p w14:paraId="71D816A1">
      <w:pPr>
        <w:rPr>
          <w:rFonts w:hint="eastAsia"/>
        </w:rPr>
      </w:pPr>
      <w:r>
        <w:rPr>
          <w:rFonts w:hint="eastAsia"/>
        </w:rPr>
        <w:t>主田新农村项目正在进行前期准备工作，已完成建设用地的土地测量、规划设计</w:t>
      </w:r>
      <w:r>
        <w:rPr>
          <w:rFonts w:hint="eastAsia"/>
          <w:lang w:eastAsia="zh-CN"/>
        </w:rPr>
        <w:t>、</w:t>
      </w:r>
      <w:r>
        <w:rPr>
          <w:rFonts w:hint="eastAsia"/>
        </w:rPr>
        <w:t>土地利用总体规划调整、用地报批等工作。</w:t>
      </w:r>
    </w:p>
    <w:p w14:paraId="0B9D78DA">
      <w:pPr>
        <w:pStyle w:val="4"/>
        <w:bidi w:val="0"/>
        <w:rPr>
          <w:rFonts w:hint="eastAsia"/>
        </w:rPr>
      </w:pPr>
      <w:r>
        <w:rPr>
          <w:rFonts w:hint="eastAsia"/>
        </w:rPr>
        <w:t>【民生事业】</w:t>
      </w:r>
    </w:p>
    <w:p w14:paraId="2BF62AD1">
      <w:pPr>
        <w:rPr>
          <w:rFonts w:hint="eastAsia"/>
        </w:rPr>
      </w:pPr>
      <w:r>
        <w:t>2013年，新建新型烤烟房80间</w:t>
      </w:r>
      <w:r>
        <w:rPr>
          <w:rFonts w:hint="eastAsia"/>
          <w:lang w:eastAsia="zh-CN"/>
        </w:rPr>
        <w:t>，</w:t>
      </w:r>
      <w:r>
        <w:rPr>
          <w:rFonts w:hint="eastAsia"/>
        </w:rPr>
        <w:t>争取了</w:t>
      </w:r>
      <w:r>
        <w:t>70万元资金兴建农田三面光水渠；城门村3.2公里路道水泥硬化工程全面完工，西洞村6公</w:t>
      </w:r>
      <w:r>
        <w:rPr>
          <w:rFonts w:hint="eastAsia"/>
        </w:rPr>
        <w:t>里路道水泥硬化工程已立项。</w:t>
      </w:r>
    </w:p>
    <w:p w14:paraId="7E78FA3C">
      <w:pPr>
        <w:pStyle w:val="4"/>
        <w:bidi w:val="0"/>
        <w:rPr>
          <w:rFonts w:hint="eastAsia"/>
        </w:rPr>
      </w:pPr>
      <w:r>
        <w:rPr>
          <w:rFonts w:hint="eastAsia"/>
        </w:rPr>
        <w:t>【农村卫生】</w:t>
      </w:r>
    </w:p>
    <w:p w14:paraId="460095B1">
      <w:pPr>
        <w:rPr>
          <w:rFonts w:hint="eastAsia"/>
        </w:rPr>
      </w:pPr>
      <w:r>
        <w:rPr>
          <w:rFonts w:hint="eastAsia"/>
        </w:rPr>
        <w:t>农村垃圾统一收集、运输工作启动，乡村“清洁美”和“万村绿”工程扎实推进。</w:t>
      </w:r>
    </w:p>
    <w:p w14:paraId="1AD344D3">
      <w:pPr>
        <w:pStyle w:val="4"/>
        <w:bidi w:val="0"/>
        <w:rPr>
          <w:rFonts w:hint="eastAsia"/>
        </w:rPr>
      </w:pPr>
      <w:r>
        <w:rPr>
          <w:rFonts w:hint="eastAsia"/>
        </w:rPr>
        <w:t>【教育卫生】</w:t>
      </w:r>
    </w:p>
    <w:p w14:paraId="46888EFD">
      <w:r>
        <w:t>2013年末有幼儿园（所）1所，在</w:t>
      </w:r>
      <w:r>
        <w:rPr>
          <w:rFonts w:hint="eastAsia"/>
        </w:rPr>
        <w:t>园幼儿</w:t>
      </w:r>
      <w:r>
        <w:t>47人，专任教师4人；小学1所，在校生261人，专任教师46人，小学适龄儿童入学率100%；初中适龄人口入学率100%，小升初升学率100%，九年义务教育覆盖率达100%。有公立卫生</w:t>
      </w:r>
      <w:r>
        <w:rPr>
          <w:rFonts w:hint="eastAsia"/>
        </w:rPr>
        <w:t>院</w:t>
      </w:r>
      <w:r>
        <w:t>1所，病床18张，专业卫生人员17人，其中执</w:t>
      </w:r>
      <w:r>
        <w:rPr>
          <w:rFonts w:hint="eastAsia"/>
        </w:rPr>
        <w:t>业医师</w:t>
      </w:r>
      <w:r>
        <w:t>5人，执业助理医师5人，注册护士7人。</w:t>
      </w:r>
      <w:r>
        <w:rPr>
          <w:rFonts w:hint="eastAsia"/>
        </w:rPr>
        <w:t>农村安全饮用水普及率</w:t>
      </w:r>
      <w:r>
        <w:t>29%。广播电视机顶盒用户473户。电信企业1家，服务网点1个。</w:t>
      </w:r>
    </w:p>
    <w:p w14:paraId="615BA6D8">
      <w:pPr>
        <w:pStyle w:val="4"/>
        <w:bidi w:val="0"/>
        <w:rPr>
          <w:rFonts w:hint="eastAsia"/>
        </w:rPr>
      </w:pPr>
      <w:r>
        <w:rPr>
          <w:rFonts w:hint="eastAsia"/>
        </w:rPr>
        <w:t>【电力企业】</w:t>
      </w:r>
    </w:p>
    <w:p w14:paraId="08D8F711">
      <w:r>
        <w:rPr>
          <w:rFonts w:hint="eastAsia"/>
        </w:rPr>
        <w:t>发电企业</w:t>
      </w:r>
      <w:r>
        <w:t>12家，2013年发电0.096</w:t>
      </w:r>
      <w:r>
        <w:rPr>
          <w:rFonts w:hint="eastAsia"/>
        </w:rPr>
        <w:t>亿千瓦时，综合电压合格率</w:t>
      </w:r>
      <w:r>
        <w:t>99.98%，供电可靠</w:t>
      </w:r>
      <w:r>
        <w:rPr>
          <w:rFonts w:hint="eastAsia"/>
        </w:rPr>
        <w:t>率</w:t>
      </w:r>
      <w:r>
        <w:t>99.98%。</w:t>
      </w:r>
    </w:p>
    <w:p w14:paraId="4F5EA30E">
      <w:pPr>
        <w:pStyle w:val="4"/>
        <w:bidi w:val="0"/>
        <w:rPr>
          <w:rFonts w:hint="eastAsia"/>
        </w:rPr>
      </w:pPr>
      <w:r>
        <w:rPr>
          <w:rFonts w:hint="eastAsia"/>
        </w:rPr>
        <w:t>【社会保障】</w:t>
      </w:r>
    </w:p>
    <w:p w14:paraId="6C20E503">
      <w:pPr>
        <w:rPr>
          <w:rFonts w:hint="eastAsia"/>
          <w:lang w:eastAsia="zh-CN"/>
        </w:rPr>
      </w:pPr>
      <w:r>
        <w:t>2013年城镇最低生活保障有3户</w:t>
      </w:r>
      <w:r>
        <w:rPr>
          <w:rFonts w:hint="eastAsia"/>
          <w:lang w:eastAsia="zh-CN"/>
        </w:rPr>
        <w:t>、</w:t>
      </w:r>
      <w:r>
        <w:t>6人，月人均242元；农村最低生活保障198户</w:t>
      </w:r>
      <w:r>
        <w:rPr>
          <w:rFonts w:hint="eastAsia"/>
          <w:lang w:eastAsia="zh-CN"/>
        </w:rPr>
        <w:t>、</w:t>
      </w:r>
      <w:r>
        <w:t>392人，月人均109元。农村五保集中供养34人，</w:t>
      </w:r>
      <w:r>
        <w:rPr>
          <w:rFonts w:hint="eastAsia"/>
        </w:rPr>
        <w:t>支出</w:t>
      </w:r>
      <w:r>
        <w:t>20.8万元；农村五保分散供养35人，支出17.22万元；国家抚恤、补助各类优抚对象67人。</w:t>
      </w:r>
      <w:r>
        <w:rPr>
          <w:rFonts w:hint="eastAsia"/>
        </w:rPr>
        <w:t>全年为低保户、困难户等弱势群体发放大米</w:t>
      </w:r>
      <w:r>
        <w:t>12000</w:t>
      </w:r>
      <w:r>
        <w:rPr>
          <w:rFonts w:hint="eastAsia"/>
        </w:rPr>
        <w:t>斤，棉被、棉服</w:t>
      </w:r>
      <w:r>
        <w:t>60件，为12户困难群众申请了大</w:t>
      </w:r>
      <w:r>
        <w:rPr>
          <w:rFonts w:hint="eastAsia"/>
        </w:rPr>
        <w:t>病医疗救助，为</w:t>
      </w:r>
      <w:r>
        <w:t>20户房屋全倒户每户申请救助1</w:t>
      </w:r>
      <w:r>
        <w:rPr>
          <w:rFonts w:hint="eastAsia"/>
        </w:rPr>
        <w:t>万元，为</w:t>
      </w:r>
      <w:r>
        <w:t>26名特困群众办理了生活补贴。同时，</w:t>
      </w:r>
      <w:r>
        <w:rPr>
          <w:rFonts w:hint="eastAsia"/>
        </w:rPr>
        <w:t>积极推进农村合作医疗参保工作，</w:t>
      </w:r>
      <w:r>
        <w:t>2013年参保人数</w:t>
      </w:r>
      <w:r>
        <w:rPr>
          <w:rFonts w:hint="eastAsia"/>
        </w:rPr>
        <w:t>达到</w:t>
      </w:r>
      <w:r>
        <w:t>13140人，完成市下达任务的100%；。城镇居</w:t>
      </w:r>
      <w:r>
        <w:rPr>
          <w:rFonts w:hint="eastAsia"/>
        </w:rPr>
        <w:t>民医保参保</w:t>
      </w:r>
      <w:r>
        <w:t>226人，完成任务数的122%；城镇居</w:t>
      </w:r>
      <w:r>
        <w:rPr>
          <w:rFonts w:hint="eastAsia"/>
        </w:rPr>
        <w:t>民养老保险完成任务数的</w:t>
      </w:r>
      <w:r>
        <w:t>100%；新农保完成续保</w:t>
      </w:r>
      <w:r>
        <w:rPr>
          <w:rFonts w:hint="eastAsia"/>
        </w:rPr>
        <w:t>任务数的</w:t>
      </w:r>
      <w:r>
        <w:t>90%以上</w:t>
      </w:r>
      <w:r>
        <w:rPr>
          <w:rFonts w:hint="eastAsia"/>
          <w:lang w:eastAsia="zh-CN"/>
        </w:rPr>
        <w:t>。</w:t>
      </w:r>
    </w:p>
    <w:p w14:paraId="797E4678">
      <w:pPr>
        <w:pStyle w:val="4"/>
        <w:bidi w:val="0"/>
        <w:rPr>
          <w:rFonts w:hint="eastAsia"/>
        </w:rPr>
      </w:pPr>
      <w:r>
        <w:rPr>
          <w:rFonts w:hint="eastAsia"/>
        </w:rPr>
        <w:t>【林业生态环境保护】</w:t>
      </w:r>
    </w:p>
    <w:p w14:paraId="3EDE7CE2">
      <w:pPr>
        <w:rPr>
          <w:rFonts w:hint="eastAsia"/>
        </w:rPr>
      </w:pPr>
      <w:r>
        <w:rPr>
          <w:rFonts w:hint="eastAsia"/>
        </w:rPr>
        <w:t>坚持生态立镇战略和生态强镇目标不动摇，进一步加大了生态环境保护和整治力度；</w:t>
      </w:r>
      <w:r>
        <w:t>2013年增加生态公益林面积2.8万亩；镇</w:t>
      </w:r>
      <w:r>
        <w:rPr>
          <w:rFonts w:hint="eastAsia"/>
        </w:rPr>
        <w:t>村护林队伍建设进一步加强，加大了打击非法偷</w:t>
      </w:r>
      <w:r>
        <w:rPr>
          <w:rFonts w:hint="eastAsia"/>
          <w:lang w:eastAsia="zh-CN"/>
        </w:rPr>
        <w:t>盗</w:t>
      </w:r>
      <w:r>
        <w:rPr>
          <w:rFonts w:hint="eastAsia"/>
        </w:rPr>
        <w:t>林木违法行为，山林火灾高发势头得到有效遏制；联办林场历史遗留问题逐步解决，经营管理权明确划归主田镇政府，为做好林业生态保护和发展工作提供了新的契机。</w:t>
      </w:r>
    </w:p>
    <w:p w14:paraId="332C6A96">
      <w:pPr>
        <w:pStyle w:val="4"/>
        <w:bidi w:val="0"/>
        <w:rPr>
          <w:rFonts w:hint="eastAsia"/>
        </w:rPr>
      </w:pPr>
      <w:r>
        <w:rPr>
          <w:rFonts w:hint="eastAsia"/>
        </w:rPr>
        <w:t>【计生工作】</w:t>
      </w:r>
    </w:p>
    <w:p w14:paraId="24BCAC58">
      <w:pPr>
        <w:rPr>
          <w:rFonts w:hint="eastAsia"/>
        </w:rPr>
      </w:pPr>
      <w:r>
        <w:rPr>
          <w:rFonts w:hint="eastAsia"/>
        </w:rPr>
        <w:t>人口与计划生育工作在市人口计生局的精心指导下，紧紧围绕稳定低生育水平、提高出生人口素质和群众满意率这一总体目标，落实党政一把手亲自抓、负总责，始终坚持贯彻“三为主”工作方针。计划生育各项指标优良，</w:t>
      </w:r>
      <w:r>
        <w:t>2013年</w:t>
      </w:r>
      <w:r>
        <w:rPr>
          <w:rFonts w:hint="eastAsia"/>
        </w:rPr>
        <w:t>（计生年度）全镇政策生育率为</w:t>
      </w:r>
      <w:r>
        <w:t>86.84%，完成</w:t>
      </w:r>
      <w:r>
        <w:rPr>
          <w:rFonts w:hint="eastAsia"/>
        </w:rPr>
        <w:t>“四术”</w:t>
      </w:r>
      <w:r>
        <w:t>113例，</w:t>
      </w:r>
      <w:r>
        <w:rPr>
          <w:rFonts w:hint="eastAsia"/>
          <w:lang w:eastAsia="zh-CN"/>
        </w:rPr>
        <w:t>查</w:t>
      </w:r>
      <w:r>
        <w:t>环</w:t>
      </w:r>
      <w:r>
        <w:rPr>
          <w:rFonts w:hint="eastAsia"/>
          <w:lang w:eastAsia="zh-CN"/>
        </w:rPr>
        <w:t>查</w:t>
      </w:r>
      <w:r>
        <w:t>孕率为73.77%开展创</w:t>
      </w:r>
      <w:r>
        <w:rPr>
          <w:rFonts w:hint="eastAsia"/>
        </w:rPr>
        <w:t>“两无”活动，推动计生工作不断发展。</w:t>
      </w:r>
    </w:p>
    <w:p w14:paraId="2845A5C1">
      <w:pPr>
        <w:pStyle w:val="4"/>
        <w:bidi w:val="0"/>
        <w:rPr>
          <w:rFonts w:hint="eastAsia"/>
        </w:rPr>
      </w:pPr>
      <w:r>
        <w:rPr>
          <w:rFonts w:hint="eastAsia"/>
        </w:rPr>
        <w:t>【社会维稳】</w:t>
      </w:r>
    </w:p>
    <w:p w14:paraId="417C32EB">
      <w:r>
        <w:rPr>
          <w:rFonts w:hint="eastAsia"/>
        </w:rPr>
        <w:t>主田镇做好各种矛盾纠纷排</w:t>
      </w:r>
      <w:r>
        <w:rPr>
          <w:rFonts w:hint="eastAsia"/>
          <w:lang w:eastAsia="zh-CN"/>
        </w:rPr>
        <w:t>查</w:t>
      </w:r>
      <w:r>
        <w:rPr>
          <w:rFonts w:hint="eastAsia"/>
        </w:rPr>
        <w:t>和调处工作，建立党政领导班子包案制和领导大接访制度，把各种矛盾和隐患解决在基层，消灭在萌芽状态。</w:t>
      </w:r>
      <w:r>
        <w:t>2013年受理群众来信来访19宗，成功办结18</w:t>
      </w:r>
      <w:r>
        <w:rPr>
          <w:rFonts w:hint="eastAsia"/>
        </w:rPr>
        <w:t>宗，办结率达</w:t>
      </w:r>
      <w:r>
        <w:t>95%。</w:t>
      </w:r>
    </w:p>
    <w:p w14:paraId="3200A24D">
      <w:pPr>
        <w:pStyle w:val="4"/>
        <w:bidi w:val="0"/>
        <w:rPr>
          <w:rFonts w:hint="eastAsia"/>
        </w:rPr>
      </w:pPr>
      <w:r>
        <w:rPr>
          <w:rFonts w:hint="eastAsia"/>
          <w:lang w:eastAsia="zh-CN"/>
        </w:rPr>
        <w:t>【</w:t>
      </w:r>
      <w:r>
        <w:rPr>
          <w:rFonts w:hint="eastAsia"/>
          <w:lang w:val="en-US" w:eastAsia="zh-CN"/>
        </w:rPr>
        <w:t>荣</w:t>
      </w:r>
      <w:r>
        <w:rPr>
          <w:rFonts w:hint="eastAsia"/>
        </w:rPr>
        <w:t>誉称号】</w:t>
      </w:r>
    </w:p>
    <w:p w14:paraId="154963C2">
      <w:pPr>
        <w:rPr>
          <w:rFonts w:hint="eastAsia"/>
        </w:rPr>
      </w:pPr>
      <w:r>
        <w:rPr>
          <w:rFonts w:hint="eastAsia"/>
        </w:rPr>
        <w:t>在南雄市</w:t>
      </w:r>
      <w:r>
        <w:t>2013年镇（街道）经济社</w:t>
      </w:r>
      <w:r>
        <w:rPr>
          <w:rFonts w:hint="eastAsia"/>
        </w:rPr>
        <w:t>会科学发展考核中获得第九名，位列三等奖。</w:t>
      </w:r>
    </w:p>
    <w:p w14:paraId="4AFDD231">
      <w:pPr>
        <w:pStyle w:val="4"/>
        <w:bidi w:val="0"/>
        <w:rPr>
          <w:rFonts w:hint="eastAsia"/>
        </w:rPr>
      </w:pPr>
      <w:r>
        <w:rPr>
          <w:rFonts w:hint="eastAsia"/>
        </w:rPr>
        <w:t>【各村委会（社区）基本情况】</w:t>
      </w:r>
    </w:p>
    <w:p w14:paraId="125AACB9">
      <w:r>
        <w:rPr>
          <w:rFonts w:hint="eastAsia"/>
          <w:b/>
          <w:bCs/>
        </w:rPr>
        <w:t>主田社区</w:t>
      </w:r>
      <w:r>
        <w:rPr>
          <w:rFonts w:hint="eastAsia"/>
          <w:b/>
          <w:bCs/>
          <w:lang w:val="en-US" w:eastAsia="zh-CN"/>
        </w:rPr>
        <w:t xml:space="preserve">  </w:t>
      </w:r>
      <w:r>
        <w:rPr>
          <w:rFonts w:hint="eastAsia"/>
        </w:rPr>
        <w:t>主田社区位于主田镇中部，距镇政府</w:t>
      </w:r>
      <w:r>
        <w:t>1公里，地质属于燕山期花岗岩体及寒武纪震旦</w:t>
      </w:r>
      <w:r>
        <w:rPr>
          <w:rFonts w:hint="eastAsia"/>
        </w:rPr>
        <w:t>纪变质岩体，气候属于亚热带季风湿润气候区。总人口为</w:t>
      </w:r>
      <w:r>
        <w:t>1437人，其中劳动力人口为1266人，党员</w:t>
      </w:r>
      <w:r>
        <w:rPr>
          <w:rFonts w:hint="eastAsia"/>
        </w:rPr>
        <w:t>数为</w:t>
      </w:r>
      <w:r>
        <w:t>9人，居委会干部3人。</w:t>
      </w:r>
    </w:p>
    <w:p w14:paraId="616760AB">
      <w:pPr>
        <w:rPr>
          <w:rFonts w:hint="eastAsia"/>
          <w:lang w:eastAsia="zh-CN"/>
        </w:rPr>
      </w:pPr>
      <w:r>
        <w:rPr>
          <w:rFonts w:hint="eastAsia"/>
          <w:b/>
          <w:bCs/>
        </w:rPr>
        <w:t>城门村</w:t>
      </w:r>
      <w:r>
        <w:rPr>
          <w:rFonts w:hint="eastAsia"/>
          <w:lang w:val="en-US" w:eastAsia="zh-CN"/>
        </w:rPr>
        <w:t xml:space="preserve">  </w:t>
      </w:r>
      <w:r>
        <w:rPr>
          <w:rFonts w:hint="eastAsia"/>
        </w:rPr>
        <w:t>城门村位于主田镇西部，距镇政府</w:t>
      </w:r>
      <w:r>
        <w:t>2.5公里，地质属于燕山期花岗岩体及寒武纪震旦</w:t>
      </w:r>
      <w:r>
        <w:rPr>
          <w:rFonts w:hint="eastAsia"/>
        </w:rPr>
        <w:t>纪变质岩体，气候属于亚热带季风湿润气候区。城门村共</w:t>
      </w:r>
      <w:r>
        <w:t>18个村小组，总户数867户，全村总人口3274人，其中常住人口2855人。党员人数71人，</w:t>
      </w:r>
      <w:r>
        <w:rPr>
          <w:rFonts w:hint="eastAsia"/>
        </w:rPr>
        <w:t>村</w:t>
      </w:r>
      <w:r>
        <w:rPr>
          <w:rFonts w:hint="eastAsia"/>
          <w:lang w:eastAsia="zh-CN"/>
        </w:rPr>
        <w:t>干部</w:t>
      </w:r>
      <w:r>
        <w:t>6人。全村总面积11561亩，山林面积9981</w:t>
      </w:r>
      <w:r>
        <w:rPr>
          <w:rFonts w:hint="eastAsia"/>
        </w:rPr>
        <w:t>亩，耕地面积</w:t>
      </w:r>
      <w:r>
        <w:t>4796亩，其中有水田2741亩，旱地2055亩。以种植黄烟、水稻、花生为主。2013年</w:t>
      </w:r>
      <w:r>
        <w:rPr>
          <w:rFonts w:hint="eastAsia"/>
        </w:rPr>
        <w:t>交售烟叶</w:t>
      </w:r>
      <w:r>
        <w:t>9357担，收购金额1331万元，水稻种植</w:t>
      </w:r>
      <w:r>
        <w:rPr>
          <w:rFonts w:hint="eastAsia"/>
        </w:rPr>
        <w:t>面积</w:t>
      </w:r>
      <w:r>
        <w:t>2812.89亩，花生种植面积813亩。2013年人</w:t>
      </w:r>
      <w:r>
        <w:rPr>
          <w:rFonts w:hint="eastAsia"/>
        </w:rPr>
        <w:t>均收入</w:t>
      </w:r>
      <w:r>
        <w:t>8501元</w:t>
      </w:r>
      <w:r>
        <w:rPr>
          <w:rFonts w:hint="eastAsia"/>
          <w:lang w:eastAsia="zh-CN"/>
        </w:rPr>
        <w:t>。</w:t>
      </w:r>
    </w:p>
    <w:p w14:paraId="067394CF">
      <w:r>
        <w:rPr>
          <w:rFonts w:hint="eastAsia"/>
          <w:b/>
          <w:bCs/>
        </w:rPr>
        <w:t>主田村</w:t>
      </w:r>
      <w:r>
        <w:rPr>
          <w:rFonts w:hint="eastAsia"/>
          <w:b/>
          <w:bCs/>
          <w:lang w:val="en-US" w:eastAsia="zh-CN"/>
        </w:rPr>
        <w:t xml:space="preserve"> </w:t>
      </w:r>
      <w:r>
        <w:rPr>
          <w:rFonts w:hint="eastAsia"/>
          <w:lang w:val="en-US" w:eastAsia="zh-CN"/>
        </w:rPr>
        <w:t xml:space="preserve"> </w:t>
      </w:r>
      <w:r>
        <w:rPr>
          <w:rFonts w:hint="eastAsia"/>
        </w:rPr>
        <w:t>主田村位于主田镇北部，距镇政府</w:t>
      </w:r>
      <w:r>
        <w:t>1</w:t>
      </w:r>
      <w:r>
        <w:rPr>
          <w:rFonts w:hint="eastAsia"/>
        </w:rPr>
        <w:t>公里，地质属于燕山期花岗岩体及寒武纪震旦纪变质岩体，气候属于亚热带季风湿润气候区。全村有</w:t>
      </w:r>
      <w:r>
        <w:t>15个村小组，总户数530户，总人口2014人，其</w:t>
      </w:r>
      <w:r>
        <w:rPr>
          <w:rFonts w:hint="eastAsia"/>
        </w:rPr>
        <w:t>中常住人口</w:t>
      </w:r>
      <w:r>
        <w:t>1650人，党员70人，村干部5人。全</w:t>
      </w:r>
      <w:r>
        <w:rPr>
          <w:rFonts w:hint="eastAsia"/>
        </w:rPr>
        <w:t>村总面积</w:t>
      </w:r>
      <w:r>
        <w:t>1.5万亩，山林面积</w:t>
      </w:r>
      <w:r>
        <w:rPr>
          <w:rFonts w:hint="eastAsia"/>
          <w:lang w:val="en-US" w:eastAsia="zh-CN"/>
        </w:rPr>
        <w:t>0</w:t>
      </w:r>
      <w:r>
        <w:t>.86万亩，耕地面</w:t>
      </w:r>
      <w:r>
        <w:rPr>
          <w:rFonts w:hint="eastAsia"/>
        </w:rPr>
        <w:t>积</w:t>
      </w:r>
      <w:r>
        <w:t>3442亩，其中水田2028亩，旱地1414亩。主要</w:t>
      </w:r>
      <w:r>
        <w:rPr>
          <w:rFonts w:hint="eastAsia"/>
        </w:rPr>
        <w:t>经济农作物以黄烟、水稻为主。</w:t>
      </w:r>
      <w:r>
        <w:t>2013年交售烟叶6768担，收购金额958万元，水稻种植面积2469</w:t>
      </w:r>
      <w:r>
        <w:rPr>
          <w:rFonts w:hint="eastAsia"/>
        </w:rPr>
        <w:t>亩，花生种植面积</w:t>
      </w:r>
      <w:r>
        <w:t>716亩。主要特色产业为养殖</w:t>
      </w:r>
      <w:r>
        <w:rPr>
          <w:rFonts w:hint="eastAsia"/>
        </w:rPr>
        <w:t>业。主田村先后兴建了先锋新村，莲花新村，梨园新村，古子坑新村、世纪新村、朝阳新村，全村</w:t>
      </w:r>
      <w:r>
        <w:t>80%以上农户住上钢筋水泥楼房。有14个村小组</w:t>
      </w:r>
      <w:r>
        <w:rPr>
          <w:rFonts w:hint="eastAsia"/>
        </w:rPr>
        <w:t>已通水泥路、有线电视，实现有线电话全覆盖。</w:t>
      </w:r>
      <w:r>
        <w:t>2013年人均</w:t>
      </w:r>
      <w:r>
        <w:rPr>
          <w:rFonts w:hint="eastAsia"/>
          <w:lang w:eastAsia="zh-CN"/>
        </w:rPr>
        <w:t>收入</w:t>
      </w:r>
      <w:r>
        <w:t>8070元。</w:t>
      </w:r>
    </w:p>
    <w:p w14:paraId="5B57EFEA">
      <w:r>
        <w:rPr>
          <w:rFonts w:hint="eastAsia"/>
          <w:b/>
          <w:bCs/>
        </w:rPr>
        <w:t>大坝村</w:t>
      </w:r>
      <w:r>
        <w:rPr>
          <w:rFonts w:hint="eastAsia"/>
          <w:lang w:val="en-US" w:eastAsia="zh-CN"/>
        </w:rPr>
        <w:t xml:space="preserve">  </w:t>
      </w:r>
      <w:r>
        <w:rPr>
          <w:rFonts w:hint="eastAsia"/>
        </w:rPr>
        <w:t>大坝村位于主田镇中部，距镇政府</w:t>
      </w:r>
      <w:r>
        <w:t>0.5公里，地质属于燕山期花岗岩体及寒武纪震旦</w:t>
      </w:r>
      <w:r>
        <w:rPr>
          <w:rFonts w:hint="eastAsia"/>
        </w:rPr>
        <w:t>纪变质岩体，气候属于亚热带季风湿润气候区。全村有</w:t>
      </w:r>
      <w:r>
        <w:t>18个村小组，总户数671户，总人口2549人，</w:t>
      </w:r>
      <w:r>
        <w:rPr>
          <w:rFonts w:hint="eastAsia"/>
        </w:rPr>
        <w:t>其中常住人口</w:t>
      </w:r>
      <w:r>
        <w:t>1902人，党员60人，村干部6人。</w:t>
      </w:r>
      <w:r>
        <w:rPr>
          <w:rFonts w:hint="eastAsia"/>
        </w:rPr>
        <w:t>全村总面积</w:t>
      </w:r>
      <w:r>
        <w:t>32816.44亩，山林面积29310.04亩，</w:t>
      </w:r>
      <w:r>
        <w:rPr>
          <w:rFonts w:hint="eastAsia"/>
        </w:rPr>
        <w:t>耕地面积</w:t>
      </w:r>
      <w:r>
        <w:t>3037亩，其中水田2868亩，旱地169亩。</w:t>
      </w:r>
      <w:r>
        <w:rPr>
          <w:rFonts w:hint="eastAsia"/>
        </w:rPr>
        <w:t>主要经济农作物以黄烟、水稻为主。</w:t>
      </w:r>
      <w:r>
        <w:t>2013年交售烟</w:t>
      </w:r>
      <w:r>
        <w:rPr>
          <w:rFonts w:hint="eastAsia"/>
        </w:rPr>
        <w:t>叶</w:t>
      </w:r>
      <w:r>
        <w:t>5794担，收购金额816万元，水稻种植面积3785亩，花生种植面积798亩。2013年人均收入8500元。</w:t>
      </w:r>
    </w:p>
    <w:p w14:paraId="4D30FF1E">
      <w:r>
        <w:rPr>
          <w:rFonts w:hint="eastAsia"/>
          <w:b/>
          <w:bCs/>
        </w:rPr>
        <w:t>塘山村</w:t>
      </w:r>
      <w:r>
        <w:rPr>
          <w:rFonts w:hint="eastAsia"/>
          <w:lang w:val="en-US" w:eastAsia="zh-CN"/>
        </w:rPr>
        <w:t xml:space="preserve">  </w:t>
      </w:r>
      <w:r>
        <w:rPr>
          <w:rFonts w:hint="eastAsia"/>
        </w:rPr>
        <w:t>塘山村位于主田镇的西南部，距镇政府</w:t>
      </w:r>
      <w:r>
        <w:t>4公里，地质属于燕山期花岗岩体及寒武纪震旦</w:t>
      </w:r>
      <w:r>
        <w:rPr>
          <w:rFonts w:hint="eastAsia"/>
        </w:rPr>
        <w:t>纪变质岩体，气候属于亚热带季风湿润气候区。辖区共</w:t>
      </w:r>
      <w:r>
        <w:t>14个村小组，总户数为270户，全村总人口</w:t>
      </w:r>
      <w:r>
        <w:rPr>
          <w:rFonts w:hint="eastAsia"/>
        </w:rPr>
        <w:t>为</w:t>
      </w:r>
      <w:r>
        <w:t>1028人，其中常住人口770人，党员49人，村</w:t>
      </w:r>
      <w:r>
        <w:rPr>
          <w:rFonts w:hint="eastAsia"/>
        </w:rPr>
        <w:t>干部</w:t>
      </w:r>
      <w:r>
        <w:t>4人。全村总面积为2.8万亩，山林面积2.7</w:t>
      </w:r>
      <w:r>
        <w:rPr>
          <w:rFonts w:hint="eastAsia"/>
        </w:rPr>
        <w:t>万亩，耕地面积</w:t>
      </w:r>
      <w:r>
        <w:t>1330亩，其中水田1268亩，旱地62亩。主要经济农作物以黄烟、水稻为主，2013</w:t>
      </w:r>
      <w:r>
        <w:rPr>
          <w:rFonts w:hint="eastAsia"/>
        </w:rPr>
        <w:t>年交售烟叶</w:t>
      </w:r>
      <w:r>
        <w:t>1317担，收购金额188万元，水稻种</w:t>
      </w:r>
      <w:r>
        <w:rPr>
          <w:rFonts w:hint="eastAsia"/>
        </w:rPr>
        <w:t>植面积</w:t>
      </w:r>
      <w:r>
        <w:t>1517亩，花生种植面积260亩。2013年人</w:t>
      </w:r>
      <w:r>
        <w:rPr>
          <w:rFonts w:hint="eastAsia"/>
        </w:rPr>
        <w:t>均收入</w:t>
      </w:r>
      <w:r>
        <w:t>8060元。</w:t>
      </w:r>
    </w:p>
    <w:p w14:paraId="20CA7064">
      <w:r>
        <w:rPr>
          <w:rFonts w:hint="eastAsia"/>
          <w:b/>
          <w:bCs/>
        </w:rPr>
        <w:t>西坪村</w:t>
      </w:r>
      <w:r>
        <w:rPr>
          <w:rFonts w:hint="eastAsia"/>
          <w:lang w:val="en-US" w:eastAsia="zh-CN"/>
        </w:rPr>
        <w:t xml:space="preserve">  </w:t>
      </w:r>
      <w:r>
        <w:rPr>
          <w:rFonts w:hint="eastAsia"/>
        </w:rPr>
        <w:t>主田镇西坪村位于主田镇的东南部，距镇政府</w:t>
      </w:r>
      <w:r>
        <w:t>20公里，地质属于燕山期花岗岩体及寒</w:t>
      </w:r>
      <w:r>
        <w:rPr>
          <w:rFonts w:hint="eastAsia"/>
        </w:rPr>
        <w:t>武纪震旦纪变质岩体，气候属于亚热带季风湿润气候区。辖区共</w:t>
      </w:r>
      <w:r>
        <w:t>6个村小组，总户数174户，全村总</w:t>
      </w:r>
      <w:r>
        <w:rPr>
          <w:rFonts w:hint="eastAsia"/>
        </w:rPr>
        <w:t>人口</w:t>
      </w:r>
      <w:r>
        <w:t>662人，其中常住人口487人，党员21人，村</w:t>
      </w:r>
      <w:r>
        <w:rPr>
          <w:rFonts w:hint="eastAsia"/>
        </w:rPr>
        <w:t>干部</w:t>
      </w:r>
      <w:r>
        <w:t>4人。全村总面积2.69万亩，山林面积2.59</w:t>
      </w:r>
      <w:r>
        <w:rPr>
          <w:rFonts w:hint="eastAsia"/>
        </w:rPr>
        <w:t>万亩，耕地面积</w:t>
      </w:r>
      <w:r>
        <w:t>985亩，其中水田957亩，旱田28</w:t>
      </w:r>
      <w:r>
        <w:rPr>
          <w:rFonts w:hint="eastAsia"/>
        </w:rPr>
        <w:t>亩。主要经济农作物以黄烟、水稻、花生为主，</w:t>
      </w:r>
      <w:r>
        <w:t>2013年交售烟叶806担，收购金额113万元，水稻</w:t>
      </w:r>
      <w:r>
        <w:rPr>
          <w:rFonts w:hint="eastAsia"/>
        </w:rPr>
        <w:t>种植面积</w:t>
      </w:r>
      <w:r>
        <w:t>919亩，花生种植面积166亩。2013年人</w:t>
      </w:r>
      <w:r>
        <w:rPr>
          <w:rFonts w:hint="eastAsia"/>
        </w:rPr>
        <w:t>均收入</w:t>
      </w:r>
      <w:r>
        <w:t>7995元。</w:t>
      </w:r>
    </w:p>
    <w:p w14:paraId="26012688">
      <w:r>
        <w:rPr>
          <w:rFonts w:hint="eastAsia"/>
          <w:b/>
          <w:bCs/>
        </w:rPr>
        <w:t>西洞村</w:t>
      </w:r>
      <w:r>
        <w:rPr>
          <w:rFonts w:hint="eastAsia"/>
          <w:b/>
          <w:bCs/>
          <w:lang w:val="en-US" w:eastAsia="zh-CN"/>
        </w:rPr>
        <w:t xml:space="preserve"> </w:t>
      </w:r>
      <w:r>
        <w:rPr>
          <w:rFonts w:hint="eastAsia"/>
          <w:lang w:val="en-US" w:eastAsia="zh-CN"/>
        </w:rPr>
        <w:t xml:space="preserve"> </w:t>
      </w:r>
      <w:r>
        <w:rPr>
          <w:rFonts w:hint="eastAsia"/>
        </w:rPr>
        <w:t>西洞村位于主田镇的东南部，距镇政府</w:t>
      </w:r>
      <w:r>
        <w:t>20公里，地质属于燕山期花岗岩体及寒武纪震</w:t>
      </w:r>
      <w:r>
        <w:rPr>
          <w:rFonts w:hint="eastAsia"/>
        </w:rPr>
        <w:t>旦纪变质岩体，气候属于亚热带季风湿润气候区</w:t>
      </w:r>
      <w:r>
        <w:rPr>
          <w:rFonts w:hint="eastAsia"/>
          <w:lang w:eastAsia="zh-CN"/>
        </w:rPr>
        <w:t>。</w:t>
      </w:r>
      <w:r>
        <w:rPr>
          <w:rFonts w:hint="eastAsia"/>
        </w:rPr>
        <w:t>辖区共</w:t>
      </w:r>
      <w:r>
        <w:t>8个村小组，总户数315户，全村总人口1197人，其中农村常住人口832人，党员37人，</w:t>
      </w:r>
      <w:r>
        <w:rPr>
          <w:rFonts w:hint="eastAsia"/>
        </w:rPr>
        <w:t>村干部</w:t>
      </w:r>
      <w:r>
        <w:t>5人。全村总面积3.26万亩，山林面积3.1</w:t>
      </w:r>
      <w:r>
        <w:rPr>
          <w:rFonts w:hint="eastAsia"/>
        </w:rPr>
        <w:t>万亩，耕地面积</w:t>
      </w:r>
      <w:r>
        <w:t>1612亩，其中水田1530亩，旱地82亩。主要经济农作物以黄烟、水稻为主，2013</w:t>
      </w:r>
      <w:r>
        <w:rPr>
          <w:rFonts w:hint="eastAsia"/>
        </w:rPr>
        <w:t>年交售烟叶</w:t>
      </w:r>
      <w:r>
        <w:t>1027担，收购金额138万元，水稻种</w:t>
      </w:r>
      <w:r>
        <w:rPr>
          <w:rFonts w:hint="eastAsia"/>
        </w:rPr>
        <w:t>植面积</w:t>
      </w:r>
      <w:r>
        <w:t>1289亩，花生种植面积202亩。主要特色</w:t>
      </w:r>
      <w:r>
        <w:rPr>
          <w:rFonts w:hint="eastAsia"/>
        </w:rPr>
        <w:t>产业为种植果树，成立了西洞果业专业合作社。</w:t>
      </w:r>
      <w:r>
        <w:t>2013年人均收入7998元。</w:t>
      </w:r>
    </w:p>
    <w:p w14:paraId="4274C194">
      <w:r>
        <w:rPr>
          <w:rFonts w:hint="eastAsia"/>
          <w:b/>
          <w:bCs/>
        </w:rPr>
        <w:t>窑合村</w:t>
      </w:r>
      <w:r>
        <w:rPr>
          <w:rFonts w:hint="eastAsia"/>
          <w:lang w:val="en-US" w:eastAsia="zh-CN"/>
        </w:rPr>
        <w:t xml:space="preserve">  </w:t>
      </w:r>
      <w:r>
        <w:rPr>
          <w:rFonts w:hint="eastAsia"/>
        </w:rPr>
        <w:t>主田镇窑合村位于主田镇的东南部</w:t>
      </w:r>
      <w:r>
        <w:rPr>
          <w:rFonts w:hint="eastAsia"/>
          <w:lang w:eastAsia="zh-CN"/>
        </w:rPr>
        <w:t>，</w:t>
      </w:r>
      <w:r>
        <w:rPr>
          <w:rFonts w:hint="eastAsia"/>
        </w:rPr>
        <w:t>距镇政府</w:t>
      </w:r>
      <w:r>
        <w:t>25公里，地质属于燕山期花岗岩体及寒</w:t>
      </w:r>
      <w:r>
        <w:rPr>
          <w:rFonts w:hint="eastAsia"/>
        </w:rPr>
        <w:t>武纪震旦纪变质岩体，气候属于亚热带季风湿润气候区。辖区共</w:t>
      </w:r>
      <w:r>
        <w:t>9个村小组，，总户数283户，全村</w:t>
      </w:r>
      <w:r>
        <w:rPr>
          <w:rFonts w:hint="eastAsia"/>
        </w:rPr>
        <w:t>总人口</w:t>
      </w:r>
      <w:r>
        <w:t>983人，其中常住人口653人，党员41人，</w:t>
      </w:r>
      <w:r>
        <w:rPr>
          <w:rFonts w:hint="eastAsia"/>
        </w:rPr>
        <w:t>村干部</w:t>
      </w:r>
      <w:r>
        <w:t>4人。全村总面积3.11万亩，山林面积2.9</w:t>
      </w:r>
      <w:r>
        <w:rPr>
          <w:rFonts w:hint="eastAsia"/>
        </w:rPr>
        <w:t>万亩，耕地面积</w:t>
      </w:r>
      <w:r>
        <w:t>1907万亩，其中水田1839亩，旱</w:t>
      </w:r>
      <w:r>
        <w:rPr>
          <w:rFonts w:hint="eastAsia"/>
        </w:rPr>
        <w:t>地</w:t>
      </w:r>
      <w:r>
        <w:t>68亩。主要经济农作物以黄烟、水稻为主，2013年交售烟叶682担，收购金额93万元，水稻</w:t>
      </w:r>
      <w:r>
        <w:rPr>
          <w:rFonts w:hint="eastAsia"/>
        </w:rPr>
        <w:t>种植面积</w:t>
      </w:r>
      <w:r>
        <w:t>1635亩，花生种植面积175亩。2013年</w:t>
      </w:r>
      <w:r>
        <w:rPr>
          <w:rFonts w:hint="eastAsia"/>
        </w:rPr>
        <w:t>人均</w:t>
      </w:r>
      <w:r>
        <w:rPr>
          <w:rFonts w:hint="eastAsia"/>
          <w:lang w:eastAsia="zh-CN"/>
        </w:rPr>
        <w:t>收入</w:t>
      </w:r>
      <w:r>
        <w:t>8051元。</w:t>
      </w:r>
    </w:p>
    <w:p w14:paraId="2753F8C4">
      <w:r>
        <w:rPr>
          <w:rFonts w:hint="eastAsia"/>
          <w:b/>
          <w:bCs/>
        </w:rPr>
        <w:t>高峰村</w:t>
      </w:r>
      <w:r>
        <w:rPr>
          <w:rFonts w:hint="eastAsia"/>
          <w:lang w:val="en-US" w:eastAsia="zh-CN"/>
        </w:rPr>
        <w:t xml:space="preserve">  </w:t>
      </w:r>
      <w:r>
        <w:rPr>
          <w:rFonts w:hint="eastAsia"/>
          <w:lang w:eastAsia="zh-CN"/>
        </w:rPr>
        <w:t>高</w:t>
      </w:r>
      <w:r>
        <w:rPr>
          <w:rFonts w:hint="eastAsia"/>
        </w:rPr>
        <w:t>峰村位于主田镇东南部，距镇政府</w:t>
      </w:r>
      <w:r>
        <w:t>26公里，是少数民族革命老区村，是主田镇最偏远</w:t>
      </w:r>
      <w:r>
        <w:rPr>
          <w:rFonts w:hint="eastAsia"/>
        </w:rPr>
        <w:t>的山区村。地质属于燕山期花</w:t>
      </w:r>
      <w:r>
        <w:rPr>
          <w:rFonts w:hint="eastAsia"/>
          <w:lang w:val="en-US" w:eastAsia="zh-CN"/>
        </w:rPr>
        <w:t>岗</w:t>
      </w:r>
      <w:r>
        <w:rPr>
          <w:rFonts w:hint="eastAsia"/>
        </w:rPr>
        <w:t>岩体及寒武纪震旦纪变质岩体，气候属于亚热带季风湿润气候区。辖区共</w:t>
      </w:r>
      <w:r>
        <w:t>14个村小组，总户数为259户，全村总人口</w:t>
      </w:r>
      <w:r>
        <w:rPr>
          <w:rFonts w:hint="eastAsia"/>
        </w:rPr>
        <w:t>为</w:t>
      </w:r>
      <w:r>
        <w:t>983人，常住人口653人，党员38人，村干部5</w:t>
      </w:r>
      <w:r>
        <w:rPr>
          <w:rFonts w:hint="eastAsia"/>
        </w:rPr>
        <w:t>人。全村总面积</w:t>
      </w:r>
      <w:r>
        <w:t>4万亩，山林面积2万亩，耕地面</w:t>
      </w:r>
      <w:r>
        <w:rPr>
          <w:rFonts w:hint="eastAsia"/>
        </w:rPr>
        <w:t>积</w:t>
      </w:r>
      <w:r>
        <w:t>1665亩，其中水田1550亩，旱地100亩。主要</w:t>
      </w:r>
      <w:r>
        <w:rPr>
          <w:rFonts w:hint="eastAsia"/>
        </w:rPr>
        <w:t>经济农作物以水稻为主，主要特色产业为竹木。</w:t>
      </w:r>
      <w:r>
        <w:t>2013年水稻种植面积1231.5亩，花生种植面积246</w:t>
      </w:r>
      <w:r>
        <w:rPr>
          <w:rFonts w:hint="eastAsia"/>
        </w:rPr>
        <w:t>亩。</w:t>
      </w:r>
      <w:r>
        <w:t>2013年人均收入8110元。</w:t>
      </w:r>
    </w:p>
    <w:p w14:paraId="4A302316">
      <w:pPr>
        <w:jc w:val="right"/>
        <w:rPr>
          <w:rFonts w:hint="eastAsia"/>
          <w:b w:val="0"/>
          <w:bCs w:val="0"/>
          <w:lang w:eastAsia="zh-CN"/>
        </w:rPr>
      </w:pPr>
      <w:r>
        <w:rPr>
          <w:rFonts w:hint="eastAsia"/>
          <w:b w:val="0"/>
          <w:bCs w:val="0"/>
        </w:rPr>
        <w:t>（马伟伟</w:t>
      </w:r>
      <w:r>
        <w:rPr>
          <w:rFonts w:hint="eastAsia"/>
          <w:b w:val="0"/>
          <w:bCs w:val="0"/>
          <w:lang w:eastAsia="zh-CN"/>
        </w:rPr>
        <w:t>）</w:t>
      </w:r>
    </w:p>
    <w:p w14:paraId="4364E21F">
      <w:pPr>
        <w:pStyle w:val="10"/>
        <w:bidi w:val="0"/>
        <w:rPr>
          <w:b/>
          <w:bCs/>
        </w:rPr>
      </w:pPr>
      <w:r>
        <w:rPr>
          <w:rFonts w:hint="eastAsia"/>
          <w:b/>
          <w:bCs/>
        </w:rPr>
        <w:t>附：</w:t>
      </w:r>
      <w:r>
        <w:rPr>
          <w:b/>
          <w:bCs/>
        </w:rPr>
        <w:t>2013年主田镇领导班子成员名单</w:t>
      </w:r>
    </w:p>
    <w:p w14:paraId="0C3A5994">
      <w:pPr>
        <w:pStyle w:val="10"/>
        <w:bidi w:val="0"/>
        <w:rPr>
          <w:rFonts w:hint="eastAsia"/>
        </w:rPr>
      </w:pPr>
      <w:r>
        <w:rPr>
          <w:rFonts w:hint="eastAsia"/>
          <w:b/>
          <w:bCs/>
        </w:rPr>
        <w:t>党委书记、人大主席：</w:t>
      </w:r>
      <w:r>
        <w:rPr>
          <w:rFonts w:hint="eastAsia"/>
        </w:rPr>
        <w:t>刘飞</w:t>
      </w:r>
    </w:p>
    <w:p w14:paraId="3F1FEDCA">
      <w:pPr>
        <w:pStyle w:val="10"/>
        <w:bidi w:val="0"/>
        <w:rPr>
          <w:rFonts w:hint="eastAsia"/>
          <w:lang w:eastAsia="zh-CN"/>
        </w:rPr>
      </w:pPr>
      <w:r>
        <w:rPr>
          <w:rFonts w:hint="eastAsia"/>
          <w:b/>
          <w:bCs/>
        </w:rPr>
        <w:t>党委副书记、镇长：</w:t>
      </w:r>
      <w:r>
        <w:rPr>
          <w:rFonts w:hint="eastAsia"/>
        </w:rPr>
        <w:t>郭才标（任至</w:t>
      </w:r>
      <w:r>
        <w:t>8月</w:t>
      </w:r>
      <w:r>
        <w:rPr>
          <w:rFonts w:hint="eastAsia"/>
          <w:lang w:eastAsia="zh-CN"/>
        </w:rPr>
        <w:t>）</w:t>
      </w:r>
    </w:p>
    <w:p w14:paraId="6F1A3F9A">
      <w:pPr>
        <w:pStyle w:val="10"/>
        <w:bidi w:val="0"/>
        <w:ind w:firstLine="1890" w:firstLineChars="900"/>
      </w:pPr>
      <w:r>
        <w:rPr>
          <w:rFonts w:hint="eastAsia"/>
        </w:rPr>
        <w:t>丘铭山（</w:t>
      </w:r>
      <w:r>
        <w:t>9月任）</w:t>
      </w:r>
    </w:p>
    <w:p w14:paraId="0279C540">
      <w:pPr>
        <w:pStyle w:val="10"/>
        <w:bidi w:val="0"/>
        <w:rPr>
          <w:rFonts w:hint="eastAsia"/>
        </w:rPr>
      </w:pPr>
      <w:r>
        <w:rPr>
          <w:rFonts w:hint="eastAsia"/>
          <w:b/>
          <w:bCs/>
        </w:rPr>
        <w:t>党委副书记：</w:t>
      </w:r>
      <w:r>
        <w:rPr>
          <w:rFonts w:hint="eastAsia"/>
        </w:rPr>
        <w:t>何军平</w:t>
      </w:r>
    </w:p>
    <w:p w14:paraId="49AC921E">
      <w:pPr>
        <w:pStyle w:val="10"/>
        <w:bidi w:val="0"/>
        <w:rPr>
          <w:rFonts w:hint="eastAsia"/>
        </w:rPr>
      </w:pPr>
      <w:r>
        <w:rPr>
          <w:rFonts w:hint="eastAsia"/>
          <w:b/>
          <w:bCs/>
        </w:rPr>
        <w:t>纪委书记：</w:t>
      </w:r>
      <w:r>
        <w:rPr>
          <w:rFonts w:hint="eastAsia"/>
        </w:rPr>
        <w:t>钟华山</w:t>
      </w:r>
    </w:p>
    <w:p w14:paraId="562CDADA">
      <w:pPr>
        <w:pStyle w:val="10"/>
        <w:bidi w:val="0"/>
        <w:rPr>
          <w:rFonts w:hint="eastAsia"/>
        </w:rPr>
      </w:pPr>
      <w:r>
        <w:rPr>
          <w:rFonts w:hint="eastAsia"/>
          <w:b/>
          <w:bCs/>
        </w:rPr>
        <w:t>组织委员：</w:t>
      </w:r>
      <w:r>
        <w:rPr>
          <w:rFonts w:hint="eastAsia"/>
        </w:rPr>
        <w:t>黄世明</w:t>
      </w:r>
    </w:p>
    <w:p w14:paraId="0BE31464">
      <w:pPr>
        <w:pStyle w:val="10"/>
        <w:bidi w:val="0"/>
        <w:rPr>
          <w:rFonts w:hint="eastAsia"/>
        </w:rPr>
      </w:pPr>
      <w:r>
        <w:rPr>
          <w:rFonts w:hint="eastAsia"/>
          <w:b/>
          <w:bCs/>
        </w:rPr>
        <w:t>宣传委员：</w:t>
      </w:r>
      <w:r>
        <w:rPr>
          <w:rFonts w:hint="eastAsia"/>
          <w:b w:val="0"/>
          <w:bCs w:val="0"/>
        </w:rPr>
        <w:t>何</w:t>
      </w:r>
      <w:r>
        <w:rPr>
          <w:rFonts w:hint="eastAsia"/>
        </w:rPr>
        <w:t>东红</w:t>
      </w:r>
    </w:p>
    <w:p w14:paraId="16246442">
      <w:pPr>
        <w:pStyle w:val="10"/>
        <w:bidi w:val="0"/>
        <w:rPr>
          <w:rFonts w:hint="eastAsia"/>
        </w:rPr>
      </w:pPr>
      <w:r>
        <w:rPr>
          <w:rFonts w:hint="eastAsia"/>
          <w:b/>
          <w:bCs/>
        </w:rPr>
        <w:t>人大副主席</w:t>
      </w:r>
      <w:r>
        <w:rPr>
          <w:rFonts w:hint="eastAsia"/>
        </w:rPr>
        <w:t>：衷旭春</w:t>
      </w:r>
    </w:p>
    <w:p w14:paraId="13DB12A6">
      <w:pPr>
        <w:pStyle w:val="10"/>
        <w:bidi w:val="0"/>
        <w:rPr>
          <w:rFonts w:hint="eastAsia"/>
        </w:rPr>
      </w:pPr>
      <w:r>
        <w:rPr>
          <w:rFonts w:hint="eastAsia"/>
          <w:b/>
          <w:bCs/>
        </w:rPr>
        <w:t>武装部长：</w:t>
      </w:r>
      <w:r>
        <w:rPr>
          <w:rFonts w:hint="eastAsia"/>
        </w:rPr>
        <w:t>卢隆舟</w:t>
      </w:r>
    </w:p>
    <w:p w14:paraId="09FB1AB6">
      <w:pPr>
        <w:pStyle w:val="10"/>
        <w:bidi w:val="0"/>
        <w:rPr>
          <w:rFonts w:hint="eastAsia"/>
        </w:rPr>
      </w:pPr>
      <w:r>
        <w:rPr>
          <w:rFonts w:hint="eastAsia"/>
          <w:b/>
          <w:bCs/>
        </w:rPr>
        <w:t>综治办专职副主任：</w:t>
      </w:r>
      <w:r>
        <w:rPr>
          <w:rFonts w:hint="eastAsia"/>
        </w:rPr>
        <w:t>林四珍</w:t>
      </w:r>
    </w:p>
    <w:p w14:paraId="4AA2FF40">
      <w:pPr>
        <w:pStyle w:val="10"/>
        <w:bidi w:val="0"/>
        <w:rPr>
          <w:rFonts w:hint="eastAsia"/>
        </w:rPr>
      </w:pPr>
      <w:r>
        <w:rPr>
          <w:rFonts w:hint="eastAsia"/>
          <w:b/>
          <w:bCs/>
        </w:rPr>
        <w:t>副镇长</w:t>
      </w:r>
      <w:r>
        <w:rPr>
          <w:rFonts w:hint="eastAsia"/>
        </w:rPr>
        <w:t>：刘宏艺</w:t>
      </w:r>
      <w:r>
        <w:rPr>
          <w:rFonts w:hint="eastAsia"/>
          <w:lang w:val="en-US" w:eastAsia="zh-CN"/>
        </w:rPr>
        <w:t xml:space="preserve">   </w:t>
      </w:r>
      <w:r>
        <w:rPr>
          <w:rFonts w:hint="eastAsia"/>
        </w:rPr>
        <w:t>廖海泉</w:t>
      </w:r>
      <w:r>
        <w:rPr>
          <w:rFonts w:hint="eastAsia"/>
          <w:lang w:val="en-US" w:eastAsia="zh-CN"/>
        </w:rPr>
        <w:t xml:space="preserve">   </w:t>
      </w:r>
      <w:r>
        <w:rPr>
          <w:rFonts w:hint="eastAsia"/>
        </w:rPr>
        <w:t>陈彩红</w:t>
      </w:r>
    </w:p>
    <w:p w14:paraId="494408D4">
      <w:pPr>
        <w:pStyle w:val="10"/>
        <w:bidi w:val="0"/>
        <w:ind w:firstLine="840" w:firstLineChars="400"/>
      </w:pPr>
      <w:r>
        <w:rPr>
          <w:rFonts w:hint="eastAsia"/>
        </w:rPr>
        <w:t>彭卫华（</w:t>
      </w:r>
      <w:r>
        <w:t>10月挂任）</w:t>
      </w:r>
    </w:p>
    <w:p w14:paraId="2138F740">
      <w:pPr>
        <w:pStyle w:val="3"/>
        <w:bidi w:val="0"/>
        <w:rPr>
          <w:rFonts w:hint="eastAsia"/>
        </w:rPr>
      </w:pPr>
      <w:r>
        <w:rPr>
          <w:rFonts w:hint="eastAsia"/>
        </w:rPr>
        <w:t>水口镇</w:t>
      </w:r>
    </w:p>
    <w:p w14:paraId="7846954E">
      <w:pPr>
        <w:pStyle w:val="4"/>
        <w:bidi w:val="0"/>
        <w:rPr>
          <w:rFonts w:hint="eastAsia"/>
        </w:rPr>
      </w:pPr>
      <w:r>
        <w:rPr>
          <w:rFonts w:hint="eastAsia"/>
        </w:rPr>
        <w:t>【概况】</w:t>
      </w:r>
    </w:p>
    <w:p w14:paraId="1D56F901">
      <w:r>
        <w:rPr>
          <w:rFonts w:hint="eastAsia"/>
        </w:rPr>
        <w:t>水口镇位于南雄市东南部，属革命老区镇，是</w:t>
      </w:r>
      <w:r>
        <w:t>1932年发生的著名的水口战役所在地。镇</w:t>
      </w:r>
      <w:r>
        <w:rPr>
          <w:rFonts w:hint="eastAsia"/>
        </w:rPr>
        <w:t>政府驻地水口墟，距南雄市区</w:t>
      </w:r>
      <w:r>
        <w:t>21公里，与本市江</w:t>
      </w:r>
      <w:r>
        <w:rPr>
          <w:rFonts w:hint="eastAsia"/>
        </w:rPr>
        <w:t>头、南亩、黄坑、湖口等镇及雄州街道相邻，西南面与江西省全南县接壤。辖区面积</w:t>
      </w:r>
      <w:r>
        <w:t>114平方公里。2013年末辖13个村委会和水口社区1个居委会；</w:t>
      </w:r>
      <w:r>
        <w:rPr>
          <w:rFonts w:hint="eastAsia"/>
        </w:rPr>
        <w:t>下设</w:t>
      </w:r>
      <w:r>
        <w:t>184个村民小组和1个居民小组。2013年末辖</w:t>
      </w:r>
      <w:r>
        <w:rPr>
          <w:rFonts w:hint="eastAsia"/>
        </w:rPr>
        <w:t>区总人口</w:t>
      </w:r>
      <w:r>
        <w:t>6528户，24780人，其中农业人口23337</w:t>
      </w:r>
      <w:r>
        <w:rPr>
          <w:rFonts w:hint="eastAsia"/>
        </w:rPr>
        <w:t>人，城镇人口</w:t>
      </w:r>
      <w:r>
        <w:t>1443人，城镇化率5.8%。总人口24483人，以汉族为主，占98.8%；有畲族、壮</w:t>
      </w:r>
      <w:r>
        <w:rPr>
          <w:rFonts w:hint="eastAsia"/>
        </w:rPr>
        <w:t>族、瑶族、苗族、土家族、垌族、布依族、水族等</w:t>
      </w:r>
      <w:r>
        <w:t>8个少数民族，人口297人，占1.2%。除畲族外，</w:t>
      </w:r>
      <w:r>
        <w:rPr>
          <w:rFonts w:hint="eastAsia"/>
        </w:rPr>
        <w:t>其他</w:t>
      </w:r>
      <w:r>
        <w:t>7个少数民族以外来婚进女性为主。2013年人</w:t>
      </w:r>
      <w:r>
        <w:rPr>
          <w:rFonts w:hint="eastAsia"/>
        </w:rPr>
        <w:t>口出生率</w:t>
      </w:r>
      <w:r>
        <w:t>12.11</w:t>
      </w:r>
      <w:r>
        <w:rPr>
          <w:rFonts w:hint="eastAsia" w:ascii="宋体" w:hAnsi="宋体" w:cs="宋体"/>
        </w:rPr>
        <w:t>‰</w:t>
      </w:r>
      <w:r>
        <w:t>，人均收入7563元。</w:t>
      </w:r>
    </w:p>
    <w:p w14:paraId="319A426E">
      <w:pPr>
        <w:pStyle w:val="4"/>
        <w:bidi w:val="0"/>
        <w:rPr>
          <w:rFonts w:hint="eastAsia"/>
        </w:rPr>
      </w:pPr>
      <w:r>
        <w:rPr>
          <w:rFonts w:hint="eastAsia"/>
          <w:lang w:eastAsia="zh-CN"/>
        </w:rPr>
        <w:t>【</w:t>
      </w:r>
      <w:r>
        <w:rPr>
          <w:rFonts w:hint="eastAsia"/>
        </w:rPr>
        <w:t>自然条件】</w:t>
      </w:r>
    </w:p>
    <w:p w14:paraId="062A3CC0">
      <w:pPr>
        <w:rPr>
          <w:rFonts w:hint="eastAsia"/>
        </w:rPr>
      </w:pPr>
      <w:r>
        <w:rPr>
          <w:rFonts w:hint="eastAsia"/>
        </w:rPr>
        <w:t>水口镇地势东南高西北低。除泷头村属山区外，其余</w:t>
      </w:r>
      <w:r>
        <w:t>12个村属丘陵地带。地质属红</w:t>
      </w:r>
      <w:r>
        <w:rPr>
          <w:rFonts w:hint="eastAsia"/>
        </w:rPr>
        <w:t>色砂砾岩。属亚热带季风湿润气候，四季分明。常年平均气温</w:t>
      </w:r>
      <w:r>
        <w:t>19℃，年平均降雨量1345毫米左右，</w:t>
      </w:r>
      <w:r>
        <w:rPr>
          <w:rFonts w:hint="eastAsia"/>
        </w:rPr>
        <w:t>年平均日照</w:t>
      </w:r>
      <w:r>
        <w:t>1850小时，无霜期285天。矿产资源</w:t>
      </w:r>
      <w:r>
        <w:rPr>
          <w:rFonts w:hint="eastAsia"/>
        </w:rPr>
        <w:t>有稀土。浈江河穿镇而过。境内有</w:t>
      </w:r>
      <w:r>
        <w:t>1宗中型水库，8宗小型水库，万方以上山塘63宗，陂头、电排众</w:t>
      </w:r>
      <w:r>
        <w:rPr>
          <w:rFonts w:hint="eastAsia"/>
        </w:rPr>
        <w:t>多，灌溉水源充足，水利设施完善。境内有国营泷头林场，林木资源较为丰富。</w:t>
      </w:r>
    </w:p>
    <w:p w14:paraId="7DE5553C">
      <w:pPr>
        <w:pStyle w:val="4"/>
        <w:bidi w:val="0"/>
        <w:rPr>
          <w:rFonts w:hint="eastAsia"/>
        </w:rPr>
      </w:pPr>
      <w:r>
        <w:rPr>
          <w:rFonts w:hint="eastAsia"/>
          <w:lang w:eastAsia="zh-CN"/>
        </w:rPr>
        <w:t>【</w:t>
      </w:r>
      <w:r>
        <w:rPr>
          <w:rFonts w:hint="eastAsia"/>
        </w:rPr>
        <w:t>经济社会发展】</w:t>
      </w:r>
    </w:p>
    <w:p w14:paraId="0DFDEA12">
      <w:pPr>
        <w:rPr>
          <w:rFonts w:hint="eastAsia"/>
        </w:rPr>
      </w:pPr>
      <w:r>
        <w:rPr>
          <w:rFonts w:hint="eastAsia"/>
        </w:rPr>
        <w:t>第一产业尤其是农业占绝大比重。</w:t>
      </w:r>
      <w:r>
        <w:rPr>
          <w:rFonts w:hint="eastAsia"/>
          <w:lang w:eastAsia="zh-CN"/>
        </w:rPr>
        <w:t>全</w:t>
      </w:r>
      <w:r>
        <w:rPr>
          <w:rFonts w:hint="eastAsia"/>
        </w:rPr>
        <w:t>镇耕地面积</w:t>
      </w:r>
      <w:r>
        <w:t>2.69万亩，农业科学技术得到</w:t>
      </w:r>
      <w:r>
        <w:rPr>
          <w:rFonts w:hint="eastAsia"/>
        </w:rPr>
        <w:t>广泛应用。主要经济作物有黄烟、花生等，烤烟漂浮育苗、地膜覆盖种植、密集式电烤房烘烤烟叶等新科技日益普及，地膜花生栽培技术全面普及。</w:t>
      </w:r>
      <w:r>
        <w:t>2013年，烟叶种植8456亩，收购总量达24181担，</w:t>
      </w:r>
      <w:r>
        <w:rPr>
          <w:rFonts w:hint="eastAsia"/>
        </w:rPr>
        <w:t>收购总资金达</w:t>
      </w:r>
      <w:r>
        <w:t>2800多万元，水稻种植22984亩，产</w:t>
      </w:r>
      <w:r>
        <w:rPr>
          <w:rFonts w:hint="eastAsia"/>
        </w:rPr>
        <w:t>量达</w:t>
      </w:r>
      <w:r>
        <w:t>12480吨，花生种植6015亩，花生产量约1293吨。水产业主要为鲩鱼、鲢鱼、鳙鱼养殖，2013年末，水产养殖总产量946吨。生猪饲养量4.35万头，出栏量2.11万头。三鸟出栏量51600</w:t>
      </w:r>
      <w:r>
        <w:rPr>
          <w:rFonts w:hint="eastAsia"/>
        </w:rPr>
        <w:t>万羽。</w:t>
      </w:r>
    </w:p>
    <w:p w14:paraId="7E245B19">
      <w:pPr>
        <w:pStyle w:val="4"/>
        <w:bidi w:val="0"/>
        <w:rPr>
          <w:rFonts w:hint="eastAsia"/>
        </w:rPr>
      </w:pPr>
      <w:r>
        <w:rPr>
          <w:rFonts w:hint="eastAsia"/>
          <w:lang w:eastAsia="zh-CN"/>
        </w:rPr>
        <w:t>【</w:t>
      </w:r>
      <w:r>
        <w:rPr>
          <w:rFonts w:hint="eastAsia"/>
        </w:rPr>
        <w:t>城镇化建设】</w:t>
      </w:r>
    </w:p>
    <w:p w14:paraId="3A5DD410">
      <w:pPr>
        <w:rPr>
          <w:rFonts w:hint="eastAsia"/>
        </w:rPr>
      </w:pPr>
      <w:r>
        <w:rPr>
          <w:rFonts w:hint="eastAsia"/>
        </w:rPr>
        <w:t>一是投资</w:t>
      </w:r>
      <w:r>
        <w:t>150多万元开展墟镇基</w:t>
      </w:r>
      <w:r>
        <w:rPr>
          <w:rFonts w:hint="eastAsia"/>
        </w:rPr>
        <w:t>础设施建设工作。新增路灯</w:t>
      </w:r>
      <w:r>
        <w:t>20盏，对街道排水</w:t>
      </w:r>
      <w:r>
        <w:rPr>
          <w:rFonts w:hint="eastAsia"/>
          <w:lang w:eastAsia="zh-CN"/>
        </w:rPr>
        <w:t>、</w:t>
      </w:r>
      <w:r>
        <w:rPr>
          <w:rFonts w:hint="eastAsia"/>
        </w:rPr>
        <w:t>排污设施进行升级改造，对墟镇内乱搭乱建等违章建筑进行拆除，杜绝占道经营行为，对水口战役纪念公园大门坪进行美化，要求各住户实行门前三包（即包卫生、包绿化、包秩序）；二是投资</w:t>
      </w:r>
      <w:r>
        <w:t>1000多</w:t>
      </w:r>
      <w:r>
        <w:rPr>
          <w:rFonts w:hint="eastAsia"/>
        </w:rPr>
        <w:t>万对农贸市场进行改造，现已完成地基平整工作三是投资</w:t>
      </w:r>
      <w:r>
        <w:t>20多万元开展农村环境卫生整治工作，</w:t>
      </w:r>
      <w:r>
        <w:rPr>
          <w:rFonts w:hint="eastAsia"/>
        </w:rPr>
        <w:t>为全镇</w:t>
      </w:r>
      <w:r>
        <w:t>184个村小组配备统一的垃圾桶，在各村及</w:t>
      </w:r>
      <w:r>
        <w:rPr>
          <w:rFonts w:hint="eastAsia"/>
        </w:rPr>
        <w:t>墟镇沿途建立了垃圾屋，并在下楼村建设一个镇垃圾中转站，提高城镇化管理水平；四是建设好弱过围仂新村、水口长圳村及下楼青水塘的“幸福村居”建设示范片。城镇化建设工作得到稳步有序的推进。</w:t>
      </w:r>
    </w:p>
    <w:p w14:paraId="6872673E">
      <w:pPr>
        <w:pStyle w:val="4"/>
        <w:bidi w:val="0"/>
        <w:rPr>
          <w:rFonts w:hint="eastAsia"/>
        </w:rPr>
      </w:pPr>
      <w:r>
        <w:rPr>
          <w:rFonts w:hint="eastAsia"/>
        </w:rPr>
        <w:t>【民生项目建设】</w:t>
      </w:r>
    </w:p>
    <w:p w14:paraId="2836D015">
      <w:r>
        <w:rPr>
          <w:rFonts w:hint="eastAsia"/>
        </w:rPr>
        <w:t>一是高标准基本农田建设项目全面实施。投入资金</w:t>
      </w:r>
      <w:r>
        <w:t>2000万元涉及面积17000多亩</w:t>
      </w:r>
      <w:r>
        <w:rPr>
          <w:rFonts w:hint="eastAsia"/>
        </w:rPr>
        <w:t>的高标准基本农田建设项目已全面实施；二是完成水口村大仚何屋大门坪、长圳新村村道约一公里的村道硬底化工程，投资</w:t>
      </w:r>
      <w:r>
        <w:t>1.5万元修建好塘胜洞白泥</w:t>
      </w:r>
      <w:r>
        <w:rPr>
          <w:rFonts w:hint="eastAsia"/>
        </w:rPr>
        <w:t>井防洪道桥梁一座，完成大部、水口、下湖、云西等农田水利三面光工程近</w:t>
      </w:r>
      <w:r>
        <w:t>6公里，新建大部村龙角</w:t>
      </w:r>
      <w:r>
        <w:rPr>
          <w:rFonts w:hint="eastAsia"/>
        </w:rPr>
        <w:t>电排机房，并建好电排三面光工程</w:t>
      </w:r>
      <w:r>
        <w:t>4公里；三是投</w:t>
      </w:r>
      <w:r>
        <w:rPr>
          <w:rFonts w:hint="eastAsia"/>
        </w:rPr>
        <w:t>入资金</w:t>
      </w:r>
      <w:r>
        <w:t>40多万元，搞好长圳新村绿化工程，抓好</w:t>
      </w:r>
      <w:r>
        <w:rPr>
          <w:rFonts w:hint="eastAsia"/>
        </w:rPr>
        <w:t>大部新村、河村祠堂等“名村”建设工作；四是投入</w:t>
      </w:r>
      <w:r>
        <w:t>26万多元对镇婚育学校、计生服务所进行修缮，</w:t>
      </w:r>
      <w:r>
        <w:rPr>
          <w:rFonts w:hint="eastAsia"/>
        </w:rPr>
        <w:t>建立高标准“六统一”乡镇计生服务所；五是投资</w:t>
      </w:r>
      <w:r>
        <w:t>20万元改建水口镇沙头村老人活动中心。</w:t>
      </w:r>
    </w:p>
    <w:p w14:paraId="696EAD0E">
      <w:pPr>
        <w:pStyle w:val="4"/>
        <w:bidi w:val="0"/>
        <w:rPr>
          <w:rFonts w:hint="eastAsia"/>
        </w:rPr>
      </w:pPr>
      <w:r>
        <w:rPr>
          <w:rFonts w:hint="eastAsia"/>
        </w:rPr>
        <w:t>【文教卫生事业】</w:t>
      </w:r>
    </w:p>
    <w:p w14:paraId="52B1077C">
      <w:r>
        <w:t>2013年，镇内有九年一贯制学</w:t>
      </w:r>
      <w:r>
        <w:rPr>
          <w:rFonts w:hint="eastAsia"/>
        </w:rPr>
        <w:t>校</w:t>
      </w:r>
      <w:r>
        <w:t>1所，完全小学1所，村级教学点2个，公办幼</w:t>
      </w:r>
      <w:r>
        <w:rPr>
          <w:rFonts w:hint="eastAsia"/>
        </w:rPr>
        <w:t>儿园</w:t>
      </w:r>
      <w:r>
        <w:t>2所。初中在校生430人，小学在校生890人，</w:t>
      </w:r>
      <w:r>
        <w:rPr>
          <w:rFonts w:hint="eastAsia"/>
        </w:rPr>
        <w:t>入园幼儿</w:t>
      </w:r>
      <w:r>
        <w:t>302人，中小学在编教职工138人。小学</w:t>
      </w:r>
      <w:r>
        <w:rPr>
          <w:rFonts w:hint="eastAsia"/>
        </w:rPr>
        <w:t>适龄儿童入学率</w:t>
      </w:r>
      <w:r>
        <w:t>100%，小升初升学率100%，九</w:t>
      </w:r>
      <w:r>
        <w:rPr>
          <w:rFonts w:hint="eastAsia"/>
        </w:rPr>
        <w:t>年义务教育覆盖率达</w:t>
      </w:r>
      <w:r>
        <w:t>100%。2012-2013学年度初</w:t>
      </w:r>
      <w:r>
        <w:rPr>
          <w:rFonts w:hint="eastAsia"/>
        </w:rPr>
        <w:t>升高报考人数</w:t>
      </w:r>
      <w:r>
        <w:t>176人，升入重点高中88人，升学</w:t>
      </w:r>
      <w:r>
        <w:rPr>
          <w:rFonts w:hint="eastAsia"/>
        </w:rPr>
        <w:t>比例为</w:t>
      </w:r>
      <w:r>
        <w:t>50%。</w:t>
      </w:r>
    </w:p>
    <w:p w14:paraId="4ECA6518">
      <w:r>
        <w:rPr>
          <w:rFonts w:hint="eastAsia"/>
        </w:rPr>
        <w:t>镇级</w:t>
      </w:r>
      <w:r>
        <w:rPr>
          <w:rFonts w:hint="eastAsia"/>
          <w:lang w:val="en-US" w:eastAsia="zh-CN"/>
        </w:rPr>
        <w:t>卫</w:t>
      </w:r>
      <w:r>
        <w:rPr>
          <w:rFonts w:hint="eastAsia"/>
        </w:rPr>
        <w:t>生院</w:t>
      </w:r>
      <w:r>
        <w:t>1所、村级卫生站13个，在编职</w:t>
      </w:r>
      <w:r>
        <w:rPr>
          <w:rFonts w:hint="eastAsia"/>
        </w:rPr>
        <w:t>工</w:t>
      </w:r>
      <w:r>
        <w:t>20人。镇、村医疗机构标准规范化建设工作全</w:t>
      </w:r>
      <w:r>
        <w:rPr>
          <w:rFonts w:hint="eastAsia"/>
        </w:rPr>
        <w:t>面推进，产妇住院分娩率、儿童强制预防接种免疫率分别达</w:t>
      </w:r>
      <w:r>
        <w:t>100%。</w:t>
      </w:r>
    </w:p>
    <w:p w14:paraId="03417B9A">
      <w:pPr>
        <w:pStyle w:val="4"/>
        <w:bidi w:val="0"/>
        <w:rPr>
          <w:rFonts w:hint="eastAsia"/>
        </w:rPr>
      </w:pPr>
      <w:r>
        <w:rPr>
          <w:rFonts w:hint="eastAsia"/>
        </w:rPr>
        <w:t>【社会保障】</w:t>
      </w:r>
    </w:p>
    <w:p w14:paraId="25F3C9D7">
      <w:r>
        <w:t>2013年，全镇享受农村最低生活保</w:t>
      </w:r>
      <w:r>
        <w:rPr>
          <w:rFonts w:hint="eastAsia"/>
        </w:rPr>
        <w:t>障有</w:t>
      </w:r>
      <w:r>
        <w:t>343户，537人；农村五保集体、分散供养105</w:t>
      </w:r>
      <w:r>
        <w:rPr>
          <w:rFonts w:hint="eastAsia"/>
        </w:rPr>
        <w:t>人；农村医疗救助</w:t>
      </w:r>
      <w:r>
        <w:t>28人次，救助资金12.36万元。2013年，新型农村合作医疗覆盖率100%，全年补</w:t>
      </w:r>
      <w:r>
        <w:rPr>
          <w:rFonts w:hint="eastAsia"/>
        </w:rPr>
        <w:t>偿的农村居民达</w:t>
      </w:r>
      <w:r>
        <w:t>18629人次，补偿资金达499.84万</w:t>
      </w:r>
      <w:r>
        <w:rPr>
          <w:rFonts w:hint="eastAsia"/>
        </w:rPr>
        <w:t>元。</w:t>
      </w:r>
      <w:r>
        <w:t>8685人参加新型农村养老保险。</w:t>
      </w:r>
    </w:p>
    <w:p w14:paraId="11D8F6F1">
      <w:pPr>
        <w:pStyle w:val="4"/>
        <w:bidi w:val="0"/>
        <w:rPr>
          <w:rFonts w:hint="eastAsia"/>
        </w:rPr>
      </w:pPr>
      <w:r>
        <w:rPr>
          <w:rFonts w:hint="eastAsia"/>
        </w:rPr>
        <w:t>【扶贫“双到”工作】</w:t>
      </w:r>
    </w:p>
    <w:p w14:paraId="53692227">
      <w:r>
        <w:rPr>
          <w:rFonts w:hint="eastAsia"/>
        </w:rPr>
        <w:t>水口镇有云西、大部、大坪、河村、下楼、石庄</w:t>
      </w:r>
      <w:r>
        <w:t>6个村被列入省级重点帮扶</w:t>
      </w:r>
      <w:r>
        <w:rPr>
          <w:rFonts w:hint="eastAsia"/>
        </w:rPr>
        <w:t>贫困村，由</w:t>
      </w:r>
      <w:r>
        <w:t>10个帮扶单位挂点帮扶。贫困村共有</w:t>
      </w:r>
      <w:r>
        <w:rPr>
          <w:rFonts w:hint="eastAsia"/>
        </w:rPr>
        <w:t>贫困户</w:t>
      </w:r>
      <w:r>
        <w:t>199户，贫困人口640人。一是投入130万</w:t>
      </w:r>
      <w:r>
        <w:rPr>
          <w:rFonts w:hint="eastAsia"/>
        </w:rPr>
        <w:t>元入股浈江电业，每年</w:t>
      </w:r>
      <w:r>
        <w:t>8%的股息分红确保村集体</w:t>
      </w:r>
      <w:r>
        <w:rPr>
          <w:rFonts w:hint="eastAsia"/>
        </w:rPr>
        <w:t>经济收入稳定增加。二是投入帮扶资金</w:t>
      </w:r>
      <w:r>
        <w:t>1553.8915</w:t>
      </w:r>
      <w:r>
        <w:rPr>
          <w:rFonts w:hint="eastAsia"/>
        </w:rPr>
        <w:t>万元资金，完成基础设施，改善贫困村群众生产生活条件。其中各级行业扶贫资金</w:t>
      </w:r>
      <w:r>
        <w:t>1171.34万元，社</w:t>
      </w:r>
      <w:r>
        <w:rPr>
          <w:rFonts w:hint="eastAsia"/>
        </w:rPr>
        <w:t>会扶贫资金</w:t>
      </w:r>
      <w:r>
        <w:t>22.9624万元，各级财政资金178.8401</w:t>
      </w:r>
      <w:r>
        <w:rPr>
          <w:rFonts w:hint="eastAsia"/>
        </w:rPr>
        <w:t>万元，帮扶单位自筹</w:t>
      </w:r>
      <w:r>
        <w:t>180.749万元。</w:t>
      </w:r>
    </w:p>
    <w:p w14:paraId="00323B9C">
      <w:pPr>
        <w:pStyle w:val="4"/>
        <w:bidi w:val="0"/>
        <w:rPr>
          <w:rFonts w:hint="eastAsia"/>
        </w:rPr>
      </w:pPr>
      <w:r>
        <w:rPr>
          <w:rFonts w:hint="eastAsia"/>
        </w:rPr>
        <w:t>【计生工作】</w:t>
      </w:r>
    </w:p>
    <w:p w14:paraId="3F48F778">
      <w:pPr>
        <w:rPr>
          <w:rFonts w:hint="eastAsia"/>
        </w:rPr>
      </w:pPr>
      <w:r>
        <w:rPr>
          <w:rFonts w:hint="eastAsia"/>
        </w:rPr>
        <w:t>人口出生率为</w:t>
      </w:r>
      <w:r>
        <w:t>12.11%，计划生育</w:t>
      </w:r>
      <w:r>
        <w:rPr>
          <w:rFonts w:hint="eastAsia"/>
        </w:rPr>
        <w:t>率为</w:t>
      </w:r>
      <w:r>
        <w:t>87.82%，人口与计划生育目标管理工作任务</w:t>
      </w:r>
      <w:r>
        <w:rPr>
          <w:rFonts w:hint="eastAsia"/>
        </w:rPr>
        <w:t>全面完成。</w:t>
      </w:r>
    </w:p>
    <w:p w14:paraId="7694B741">
      <w:pPr>
        <w:pStyle w:val="4"/>
        <w:bidi w:val="0"/>
        <w:rPr>
          <w:rFonts w:hint="eastAsia"/>
        </w:rPr>
      </w:pPr>
      <w:r>
        <w:rPr>
          <w:rFonts w:hint="eastAsia"/>
        </w:rPr>
        <w:t>【林业工作】</w:t>
      </w:r>
    </w:p>
    <w:p w14:paraId="4C0D2FC7">
      <w:pPr>
        <w:rPr>
          <w:rFonts w:hint="eastAsia"/>
          <w:lang w:eastAsia="zh-CN"/>
        </w:rPr>
      </w:pPr>
      <w:r>
        <w:rPr>
          <w:rFonts w:hint="eastAsia"/>
        </w:rPr>
        <w:t>山林面积</w:t>
      </w:r>
      <w:r>
        <w:t>90441亩，森林覆盖率达62</w:t>
      </w:r>
      <w:r>
        <w:rPr>
          <w:rFonts w:hint="eastAsia"/>
          <w:lang w:val="en-US" w:eastAsia="zh-CN"/>
        </w:rPr>
        <w:t>%</w:t>
      </w:r>
      <w:r>
        <w:t>，其中生态公益林面积44028亩，2013年，</w:t>
      </w:r>
      <w:r>
        <w:rPr>
          <w:rFonts w:hint="eastAsia"/>
        </w:rPr>
        <w:t>该镇造林面积</w:t>
      </w:r>
      <w:r>
        <w:t>400多亩，成活率90%，抚育面积1000多亩，种植各种绿化树苗1423株。认真做好</w:t>
      </w:r>
      <w:r>
        <w:rPr>
          <w:rFonts w:hint="eastAsia"/>
        </w:rPr>
        <w:t>森林防火和病虫害防治工作，加强林区巡逻布控，打击破坏森林资源的违法犯罪行为，</w:t>
      </w:r>
      <w:r>
        <w:t>2013年全镇无</w:t>
      </w:r>
      <w:r>
        <w:rPr>
          <w:rFonts w:hint="eastAsia"/>
          <w:lang w:val="en-US" w:eastAsia="zh-CN"/>
        </w:rPr>
        <w:t>一</w:t>
      </w:r>
      <w:r>
        <w:rPr>
          <w:rFonts w:hint="eastAsia"/>
        </w:rPr>
        <w:t>例大的病虫害，无一起重大森林火灾发生</w:t>
      </w:r>
      <w:r>
        <w:rPr>
          <w:rFonts w:hint="eastAsia"/>
          <w:lang w:eastAsia="zh-CN"/>
        </w:rPr>
        <w:t>。</w:t>
      </w:r>
    </w:p>
    <w:p w14:paraId="487A1C56">
      <w:pPr>
        <w:pStyle w:val="4"/>
        <w:bidi w:val="0"/>
        <w:rPr>
          <w:rFonts w:hint="eastAsia"/>
        </w:rPr>
      </w:pPr>
      <w:r>
        <w:rPr>
          <w:rFonts w:hint="eastAsia"/>
        </w:rPr>
        <w:t>【维稳综治工作】</w:t>
      </w:r>
    </w:p>
    <w:p w14:paraId="6833012D">
      <w:r>
        <w:rPr>
          <w:rFonts w:hint="eastAsia"/>
        </w:rPr>
        <w:t>落实领导接访制度，领导信访包案责任制度，</w:t>
      </w:r>
      <w:r>
        <w:t>2013年排</w:t>
      </w:r>
      <w:r>
        <w:rPr>
          <w:rFonts w:hint="eastAsia"/>
          <w:lang w:eastAsia="zh-CN"/>
        </w:rPr>
        <w:t>查</w:t>
      </w:r>
      <w:r>
        <w:t>出各类矛盾纠纷12宗，</w:t>
      </w:r>
      <w:r>
        <w:rPr>
          <w:rFonts w:hint="eastAsia"/>
        </w:rPr>
        <w:t>调处纠纷</w:t>
      </w:r>
      <w:r>
        <w:t>196起，调处成功193起，调解率</w:t>
      </w:r>
      <w:r>
        <w:rPr>
          <w:rFonts w:hint="eastAsia"/>
        </w:rPr>
        <w:t>达</w:t>
      </w:r>
      <w:r>
        <w:t>98%。</w:t>
      </w:r>
    </w:p>
    <w:p w14:paraId="19E8F547">
      <w:pPr>
        <w:pStyle w:val="4"/>
        <w:bidi w:val="0"/>
        <w:rPr>
          <w:rFonts w:hint="eastAsia"/>
        </w:rPr>
      </w:pPr>
      <w:r>
        <w:rPr>
          <w:rFonts w:hint="eastAsia"/>
          <w:lang w:eastAsia="zh-CN"/>
        </w:rPr>
        <w:t>【</w:t>
      </w:r>
      <w:r>
        <w:rPr>
          <w:rFonts w:hint="eastAsia"/>
        </w:rPr>
        <w:t>各村委会（社区）基本情况】</w:t>
      </w:r>
    </w:p>
    <w:p w14:paraId="4524DE6A">
      <w:r>
        <w:rPr>
          <w:rFonts w:hint="eastAsia"/>
          <w:b/>
          <w:bCs/>
        </w:rPr>
        <w:t>云西村</w:t>
      </w:r>
      <w:r>
        <w:rPr>
          <w:rFonts w:hint="eastAsia"/>
          <w:b/>
          <w:bCs/>
          <w:lang w:val="en-US" w:eastAsia="zh-CN"/>
        </w:rPr>
        <w:t xml:space="preserve"> </w:t>
      </w:r>
      <w:r>
        <w:rPr>
          <w:rFonts w:hint="eastAsia"/>
          <w:lang w:val="en-US" w:eastAsia="zh-CN"/>
        </w:rPr>
        <w:t xml:space="preserve"> </w:t>
      </w:r>
      <w:r>
        <w:rPr>
          <w:rFonts w:hint="eastAsia"/>
        </w:rPr>
        <w:t>位于水口镇东部。全村耕地</w:t>
      </w:r>
      <w:r>
        <w:t>1295亩，</w:t>
      </w:r>
      <w:r>
        <w:rPr>
          <w:rFonts w:hint="eastAsia"/>
        </w:rPr>
        <w:t>林地</w:t>
      </w:r>
      <w:r>
        <w:t>8340亩，辖17个村民小组，283户，1051人，</w:t>
      </w:r>
      <w:r>
        <w:rPr>
          <w:rFonts w:hint="eastAsia"/>
        </w:rPr>
        <w:t>现有村“两委”干部</w:t>
      </w:r>
      <w:r>
        <w:t>4人，党员31人。全村主要</w:t>
      </w:r>
      <w:r>
        <w:rPr>
          <w:rFonts w:hint="eastAsia"/>
        </w:rPr>
        <w:t>产业以农业为主，主要经济作物有黄烟、水稻、花生等。</w:t>
      </w:r>
      <w:r>
        <w:t>2013年人均收入7566.21元。</w:t>
      </w:r>
    </w:p>
    <w:p w14:paraId="60181E68">
      <w:pPr>
        <w:rPr>
          <w:rFonts w:hint="eastAsia"/>
          <w:lang w:eastAsia="zh-CN"/>
        </w:rPr>
      </w:pPr>
      <w:r>
        <w:rPr>
          <w:rFonts w:hint="eastAsia"/>
          <w:b/>
          <w:bCs/>
        </w:rPr>
        <w:t>篛过村</w:t>
      </w:r>
      <w:r>
        <w:rPr>
          <w:rFonts w:hint="eastAsia"/>
          <w:b/>
          <w:bCs/>
          <w:lang w:val="en-US" w:eastAsia="zh-CN"/>
        </w:rPr>
        <w:t xml:space="preserve">  </w:t>
      </w:r>
      <w:r>
        <w:rPr>
          <w:rFonts w:hint="eastAsia"/>
        </w:rPr>
        <w:t>位于水口镇东北部，是革命老区村。全村耕地</w:t>
      </w:r>
      <w:r>
        <w:t>2396亩，林地4362亩，辖18个村民小</w:t>
      </w:r>
      <w:r>
        <w:rPr>
          <w:rFonts w:hint="eastAsia"/>
        </w:rPr>
        <w:t>组，</w:t>
      </w:r>
      <w:r>
        <w:t>596户，2213人，现有村“两委”干部5人，</w:t>
      </w:r>
      <w:r>
        <w:rPr>
          <w:rFonts w:hint="eastAsia"/>
        </w:rPr>
        <w:t>党员</w:t>
      </w:r>
      <w:r>
        <w:t>50人。全村主要产业以农业为主，主要经济</w:t>
      </w:r>
      <w:r>
        <w:rPr>
          <w:rFonts w:hint="eastAsia"/>
        </w:rPr>
        <w:t>作物有黄烟、水稻、花生等。</w:t>
      </w:r>
      <w:r>
        <w:t>2013年人均收入7538.11元</w:t>
      </w:r>
      <w:r>
        <w:rPr>
          <w:rFonts w:hint="eastAsia"/>
          <w:lang w:eastAsia="zh-CN"/>
        </w:rPr>
        <w:t>。</w:t>
      </w:r>
    </w:p>
    <w:p w14:paraId="33E2EEF8">
      <w:r>
        <w:rPr>
          <w:rFonts w:hint="eastAsia"/>
          <w:b/>
          <w:bCs/>
        </w:rPr>
        <w:t>水口村</w:t>
      </w:r>
      <w:r>
        <w:rPr>
          <w:rFonts w:hint="eastAsia"/>
          <w:b/>
          <w:bCs/>
          <w:lang w:val="en-US" w:eastAsia="zh-CN"/>
        </w:rPr>
        <w:t xml:space="preserve">  </w:t>
      </w:r>
      <w:r>
        <w:rPr>
          <w:rFonts w:hint="eastAsia"/>
        </w:rPr>
        <w:t>位于水口镇中心，是革命老区村。全村总面积约</w:t>
      </w:r>
      <w:r>
        <w:t>5平方公里，耕地4410亩，林地15916</w:t>
      </w:r>
      <w:r>
        <w:rPr>
          <w:rFonts w:hint="eastAsia"/>
        </w:rPr>
        <w:t>亩，辖</w:t>
      </w:r>
      <w:r>
        <w:t>30个村民小组，959户，3656人，现有村</w:t>
      </w:r>
      <w:r>
        <w:rPr>
          <w:rFonts w:hint="eastAsia"/>
        </w:rPr>
        <w:t>“两委”干部</w:t>
      </w:r>
      <w:r>
        <w:t>5人，党员76人。全村主要产业以农</w:t>
      </w:r>
      <w:r>
        <w:rPr>
          <w:rFonts w:hint="eastAsia"/>
        </w:rPr>
        <w:t>业为主，主要经济作物有黄烟、水稻、花生等。</w:t>
      </w:r>
      <w:r>
        <w:t>2013年人均收入7581.23元。</w:t>
      </w:r>
    </w:p>
    <w:p w14:paraId="2E8E0C34">
      <w:pPr>
        <w:rPr>
          <w:rFonts w:hint="eastAsia"/>
          <w:lang w:eastAsia="zh-CN"/>
        </w:rPr>
      </w:pPr>
      <w:r>
        <w:rPr>
          <w:rFonts w:hint="eastAsia"/>
          <w:b/>
          <w:bCs/>
        </w:rPr>
        <w:t>大部村</w:t>
      </w:r>
      <w:r>
        <w:rPr>
          <w:rFonts w:hint="eastAsia"/>
          <w:b/>
          <w:bCs/>
          <w:lang w:val="en-US" w:eastAsia="zh-CN"/>
        </w:rPr>
        <w:t xml:space="preserve">  </w:t>
      </w:r>
      <w:r>
        <w:rPr>
          <w:rFonts w:hint="eastAsia"/>
        </w:rPr>
        <w:t>位于水口镇北部，是革命老区村。全村耕地</w:t>
      </w:r>
      <w:r>
        <w:t>3551亩，林地2619亩，辖16个村民小组，656户，2500人，现有村“两委”干部5人，党员65人。全村主要产业以农业为主，主要经济作物有</w:t>
      </w:r>
      <w:r>
        <w:rPr>
          <w:rFonts w:hint="eastAsia"/>
        </w:rPr>
        <w:t>黄烟、水稻、花生等。</w:t>
      </w:r>
      <w:r>
        <w:t>2013年人均收入7558.64元</w:t>
      </w:r>
      <w:r>
        <w:rPr>
          <w:rFonts w:hint="eastAsia"/>
          <w:lang w:eastAsia="zh-CN"/>
        </w:rPr>
        <w:t>。</w:t>
      </w:r>
    </w:p>
    <w:p w14:paraId="073A086A">
      <w:r>
        <w:rPr>
          <w:rFonts w:hint="eastAsia"/>
          <w:b/>
          <w:bCs/>
        </w:rPr>
        <w:t>河村</w:t>
      </w:r>
      <w:r>
        <w:rPr>
          <w:rFonts w:hint="eastAsia"/>
          <w:b/>
          <w:bCs/>
          <w:lang w:val="en-US" w:eastAsia="zh-CN"/>
        </w:rPr>
        <w:t xml:space="preserve">  </w:t>
      </w:r>
      <w:r>
        <w:rPr>
          <w:rFonts w:hint="eastAsia"/>
        </w:rPr>
        <w:t>位于水口镇西部。全村总面积</w:t>
      </w:r>
      <w:r>
        <w:t>3平方公</w:t>
      </w:r>
      <w:r>
        <w:rPr>
          <w:rFonts w:hint="eastAsia"/>
        </w:rPr>
        <w:t>里，耕地</w:t>
      </w:r>
      <w:r>
        <w:t>2157亩，林地1050亩，辖13个村民小</w:t>
      </w:r>
      <w:r>
        <w:rPr>
          <w:rFonts w:hint="eastAsia"/>
        </w:rPr>
        <w:t>组，</w:t>
      </w:r>
      <w:r>
        <w:t>556户，2119人，现有村“两委”干部5人，</w:t>
      </w:r>
      <w:r>
        <w:rPr>
          <w:rFonts w:hint="eastAsia"/>
        </w:rPr>
        <w:t>党员</w:t>
      </w:r>
      <w:r>
        <w:t>52人。全村主要产业以农业为主，主要经济</w:t>
      </w:r>
      <w:r>
        <w:rPr>
          <w:rFonts w:hint="eastAsia"/>
        </w:rPr>
        <w:t>作物有黄烟、水稻、花生等。</w:t>
      </w:r>
      <w:r>
        <w:t>2013年人均收入7557.33元。</w:t>
      </w:r>
    </w:p>
    <w:p w14:paraId="45B362CF">
      <w:pPr>
        <w:rPr>
          <w:rFonts w:hint="eastAsia"/>
          <w:lang w:eastAsia="zh-CN"/>
        </w:rPr>
      </w:pPr>
      <w:r>
        <w:rPr>
          <w:rFonts w:hint="eastAsia"/>
          <w:b/>
          <w:bCs/>
        </w:rPr>
        <w:t>大坪村</w:t>
      </w:r>
      <w:r>
        <w:rPr>
          <w:rFonts w:hint="eastAsia"/>
          <w:b/>
          <w:bCs/>
          <w:lang w:val="en-US" w:eastAsia="zh-CN"/>
        </w:rPr>
        <w:t xml:space="preserve">  </w:t>
      </w:r>
      <w:r>
        <w:rPr>
          <w:rFonts w:hint="eastAsia"/>
        </w:rPr>
        <w:t>位于水口镇中部。全村耕地</w:t>
      </w:r>
      <w:r>
        <w:t>1365亩</w:t>
      </w:r>
      <w:r>
        <w:rPr>
          <w:rFonts w:hint="eastAsia"/>
          <w:lang w:eastAsia="zh-CN"/>
        </w:rPr>
        <w:t>，</w:t>
      </w:r>
      <w:r>
        <w:rPr>
          <w:rFonts w:hint="eastAsia"/>
        </w:rPr>
        <w:t>林地</w:t>
      </w:r>
      <w:r>
        <w:t>1952亩，辖7个村民小组，342户，1303人，</w:t>
      </w:r>
      <w:r>
        <w:rPr>
          <w:rFonts w:hint="eastAsia"/>
        </w:rPr>
        <w:t>现有村“两委”干部</w:t>
      </w:r>
      <w:r>
        <w:t>4人，党员49人。全村主要</w:t>
      </w:r>
      <w:r>
        <w:rPr>
          <w:rFonts w:hint="eastAsia"/>
        </w:rPr>
        <w:t>产业以农业为主，主要经济作物有黄烟、水稻、花生等。</w:t>
      </w:r>
      <w:r>
        <w:t>2013年人均收入7553.68元</w:t>
      </w:r>
      <w:r>
        <w:rPr>
          <w:rFonts w:hint="eastAsia"/>
          <w:lang w:eastAsia="zh-CN"/>
        </w:rPr>
        <w:t>。</w:t>
      </w:r>
    </w:p>
    <w:p w14:paraId="1D234304">
      <w:r>
        <w:rPr>
          <w:rFonts w:hint="eastAsia"/>
          <w:b/>
          <w:bCs/>
        </w:rPr>
        <w:t>沙头村</w:t>
      </w:r>
      <w:r>
        <w:rPr>
          <w:rFonts w:hint="eastAsia"/>
          <w:b/>
          <w:bCs/>
          <w:lang w:val="en-US" w:eastAsia="zh-CN"/>
        </w:rPr>
        <w:t xml:space="preserve">  </w:t>
      </w:r>
      <w:r>
        <w:rPr>
          <w:rFonts w:hint="eastAsia"/>
        </w:rPr>
        <w:t>位于水口镇西南部，是革命老区村。全村耕地</w:t>
      </w:r>
      <w:r>
        <w:t>3082亩，林地1220亩，辖15个村民小</w:t>
      </w:r>
      <w:r>
        <w:rPr>
          <w:rFonts w:hint="eastAsia"/>
        </w:rPr>
        <w:t>组，</w:t>
      </w:r>
      <w:r>
        <w:t>591户，2249人，现有村“两委”干部5人，</w:t>
      </w:r>
      <w:r>
        <w:rPr>
          <w:rFonts w:hint="eastAsia"/>
        </w:rPr>
        <w:t>党员</w:t>
      </w:r>
      <w:r>
        <w:t>65人。全村主要产业以农业为主，主要经济</w:t>
      </w:r>
      <w:r>
        <w:rPr>
          <w:rFonts w:hint="eastAsia"/>
        </w:rPr>
        <w:t>作物有黄烟、水稻、花生等。</w:t>
      </w:r>
      <w:r>
        <w:t>2013年人均收入7471.10元。</w:t>
      </w:r>
    </w:p>
    <w:p w14:paraId="24E6C001">
      <w:r>
        <w:rPr>
          <w:rFonts w:hint="eastAsia"/>
          <w:b/>
          <w:bCs/>
        </w:rPr>
        <w:t>下湖村</w:t>
      </w:r>
      <w:r>
        <w:rPr>
          <w:rFonts w:hint="eastAsia"/>
          <w:b/>
          <w:bCs/>
          <w:lang w:val="en-US" w:eastAsia="zh-CN"/>
        </w:rPr>
        <w:t xml:space="preserve">  </w:t>
      </w:r>
      <w:r>
        <w:rPr>
          <w:rFonts w:hint="eastAsia"/>
        </w:rPr>
        <w:t>位于水口镇西南部，是革命老区村。全村耕地</w:t>
      </w:r>
      <w:r>
        <w:t>1589亩，林地1052亩，辖7个村民小组，281户，1067人，现有村“两委”干部4人，党员35人。全村主要产业以农业为主，主要经济作物有</w:t>
      </w:r>
      <w:r>
        <w:rPr>
          <w:rFonts w:hint="eastAsia"/>
        </w:rPr>
        <w:t>黄烟、水稻、花生等。</w:t>
      </w:r>
      <w:r>
        <w:t>2013年人均收入7555.87元。</w:t>
      </w:r>
    </w:p>
    <w:p w14:paraId="5A72E5AD">
      <w:r>
        <w:rPr>
          <w:rFonts w:hint="eastAsia"/>
          <w:b/>
          <w:bCs/>
        </w:rPr>
        <w:t>赤岭村</w:t>
      </w:r>
      <w:r>
        <w:rPr>
          <w:rFonts w:hint="eastAsia"/>
          <w:b/>
          <w:bCs/>
          <w:lang w:val="en-US" w:eastAsia="zh-CN"/>
        </w:rPr>
        <w:t xml:space="preserve">  </w:t>
      </w:r>
      <w:r>
        <w:rPr>
          <w:rFonts w:hint="eastAsia"/>
        </w:rPr>
        <w:t>位于水口镇南部，是革命老区村。全村耕地</w:t>
      </w:r>
      <w:r>
        <w:t>1360亩，林地4956亩，辖12个村民小组，382户，1456人，现有村“两委”干部4人，党员39人。全村主要产业以农业为主，主要经济作物有</w:t>
      </w:r>
      <w:r>
        <w:rPr>
          <w:rFonts w:hint="eastAsia"/>
        </w:rPr>
        <w:t>黄烟、水稻、花生等。</w:t>
      </w:r>
      <w:r>
        <w:t>2013年人均收入7569.08元。</w:t>
      </w:r>
    </w:p>
    <w:p w14:paraId="14947138">
      <w:r>
        <w:rPr>
          <w:rFonts w:hint="eastAsia"/>
          <w:b/>
          <w:bCs/>
        </w:rPr>
        <w:t>群星村</w:t>
      </w:r>
      <w:r>
        <w:rPr>
          <w:rFonts w:hint="eastAsia"/>
          <w:b/>
          <w:bCs/>
          <w:lang w:val="en-US" w:eastAsia="zh-CN"/>
        </w:rPr>
        <w:t xml:space="preserve">  </w:t>
      </w:r>
      <w:r>
        <w:rPr>
          <w:rFonts w:hint="eastAsia"/>
        </w:rPr>
        <w:t>位于水口镇南部。全村耕地</w:t>
      </w:r>
      <w:r>
        <w:t>804亩，</w:t>
      </w:r>
      <w:r>
        <w:rPr>
          <w:rFonts w:hint="eastAsia"/>
        </w:rPr>
        <w:t>林地</w:t>
      </w:r>
      <w:r>
        <w:t>3450亩，辖6个村民小组，254户，968人，</w:t>
      </w:r>
      <w:r>
        <w:rPr>
          <w:rFonts w:hint="eastAsia"/>
        </w:rPr>
        <w:t>现有村“两委”干部</w:t>
      </w:r>
      <w:r>
        <w:t>4人，党员30人。全村主要</w:t>
      </w:r>
      <w:r>
        <w:rPr>
          <w:rFonts w:hint="eastAsia"/>
        </w:rPr>
        <w:t>产业以农业为主，主要经济作物有黄烟、水稻、花生等。</w:t>
      </w:r>
      <w:r>
        <w:t>2013年人均收入7559</w:t>
      </w:r>
      <w:r>
        <w:rPr>
          <w:rFonts w:hint="eastAsia"/>
          <w:lang w:val="en-US" w:eastAsia="zh-CN"/>
        </w:rPr>
        <w:t>.</w:t>
      </w:r>
      <w:r>
        <w:t>39元。</w:t>
      </w:r>
    </w:p>
    <w:p w14:paraId="483A81CD">
      <w:r>
        <w:rPr>
          <w:rFonts w:hint="eastAsia"/>
          <w:b/>
          <w:bCs/>
        </w:rPr>
        <w:t>石庄村</w:t>
      </w:r>
      <w:r>
        <w:rPr>
          <w:rFonts w:hint="eastAsia"/>
          <w:b/>
          <w:bCs/>
          <w:lang w:val="en-US" w:eastAsia="zh-CN"/>
        </w:rPr>
        <w:t xml:space="preserve">  </w:t>
      </w:r>
      <w:r>
        <w:rPr>
          <w:rFonts w:hint="eastAsia"/>
        </w:rPr>
        <w:t>位于水口镇东南部，是革命老区村。全村耕地</w:t>
      </w:r>
      <w:r>
        <w:t>2529亩，林地16000亩，辖20个村民小</w:t>
      </w:r>
      <w:r>
        <w:rPr>
          <w:rFonts w:hint="eastAsia"/>
        </w:rPr>
        <w:t>组，</w:t>
      </w:r>
      <w:r>
        <w:t>479户，1821人，现有村“两委”干部4人</w:t>
      </w:r>
      <w:r>
        <w:rPr>
          <w:rFonts w:hint="eastAsia"/>
          <w:lang w:eastAsia="zh-CN"/>
        </w:rPr>
        <w:t>，</w:t>
      </w:r>
      <w:r>
        <w:rPr>
          <w:rFonts w:hint="eastAsia"/>
        </w:rPr>
        <w:t>党员</w:t>
      </w:r>
      <w:r>
        <w:t>53人。全村主要产业以农业为主，主要经济</w:t>
      </w:r>
      <w:r>
        <w:rPr>
          <w:rFonts w:hint="eastAsia"/>
        </w:rPr>
        <w:t>作物有黄烟、水稻、花生等。</w:t>
      </w:r>
      <w:r>
        <w:t>2013年人均收入7559.85元。</w:t>
      </w:r>
    </w:p>
    <w:p w14:paraId="102ACB65">
      <w:r>
        <w:rPr>
          <w:rFonts w:hint="eastAsia"/>
          <w:b/>
          <w:bCs/>
        </w:rPr>
        <w:t>下楼村</w:t>
      </w:r>
      <w:r>
        <w:rPr>
          <w:rFonts w:hint="eastAsia"/>
          <w:b/>
          <w:bCs/>
          <w:lang w:val="en-US" w:eastAsia="zh-CN"/>
        </w:rPr>
        <w:t xml:space="preserve">  </w:t>
      </w:r>
      <w:r>
        <w:rPr>
          <w:rFonts w:hint="eastAsia"/>
        </w:rPr>
        <w:t>位于水口镇东部。全村耕地</w:t>
      </w:r>
      <w:r>
        <w:t>1094亩，</w:t>
      </w:r>
      <w:r>
        <w:rPr>
          <w:rFonts w:hint="eastAsia"/>
        </w:rPr>
        <w:t>林地</w:t>
      </w:r>
      <w:r>
        <w:t>9660亩，辖15个村民小组，369户，1408人，</w:t>
      </w:r>
      <w:r>
        <w:rPr>
          <w:rFonts w:hint="eastAsia"/>
        </w:rPr>
        <w:t>现有村“两委”干部</w:t>
      </w:r>
      <w:r>
        <w:t>4人，党员54人。全村主要</w:t>
      </w:r>
      <w:r>
        <w:rPr>
          <w:rFonts w:hint="eastAsia"/>
        </w:rPr>
        <w:t>产业以农业为主，主要经济作物有黄烟、水稻、花生等。</w:t>
      </w:r>
      <w:r>
        <w:t>2013年人均</w:t>
      </w:r>
      <w:r>
        <w:rPr>
          <w:rFonts w:hint="eastAsia"/>
          <w:lang w:eastAsia="zh-CN"/>
        </w:rPr>
        <w:t>收入</w:t>
      </w:r>
      <w:r>
        <w:t>7568.81元。</w:t>
      </w:r>
    </w:p>
    <w:p w14:paraId="308F5037">
      <w:r>
        <w:rPr>
          <w:rFonts w:hint="eastAsia"/>
          <w:b/>
          <w:bCs/>
        </w:rPr>
        <w:t>泷头村</w:t>
      </w:r>
      <w:r>
        <w:rPr>
          <w:rFonts w:hint="eastAsia"/>
          <w:b/>
          <w:bCs/>
          <w:lang w:val="en-US" w:eastAsia="zh-CN"/>
        </w:rPr>
        <w:t xml:space="preserve">  </w:t>
      </w:r>
      <w:r>
        <w:rPr>
          <w:rFonts w:hint="eastAsia"/>
        </w:rPr>
        <w:t>位于水口镇东南部，是革命老区村。全村耕地</w:t>
      </w:r>
      <w:r>
        <w:t>1278亩，林地19580亩，辖8个村民小</w:t>
      </w:r>
      <w:r>
        <w:rPr>
          <w:rFonts w:hint="eastAsia"/>
        </w:rPr>
        <w:t>组，</w:t>
      </w:r>
      <w:r>
        <w:t>401户，1526人，现有村“两委”干部4人，</w:t>
      </w:r>
      <w:r>
        <w:rPr>
          <w:rFonts w:hint="eastAsia"/>
        </w:rPr>
        <w:t>党员</w:t>
      </w:r>
      <w:r>
        <w:t>59人。全村主要产业以农、林业为主，农业</w:t>
      </w:r>
      <w:r>
        <w:rPr>
          <w:rFonts w:hint="eastAsia"/>
        </w:rPr>
        <w:t>经济作物主要有水稻、花生、西瓜等，林业主要有丛生竹、毛竹、松树、杉树，乔灌杂树等。</w:t>
      </w:r>
      <w:r>
        <w:t>2013年</w:t>
      </w:r>
      <w:r>
        <w:rPr>
          <w:rFonts w:hint="eastAsia"/>
        </w:rPr>
        <w:t>人均收入</w:t>
      </w:r>
      <w:r>
        <w:t>7856.57元。</w:t>
      </w:r>
    </w:p>
    <w:p w14:paraId="157BFCDF">
      <w:r>
        <w:rPr>
          <w:rFonts w:hint="eastAsia"/>
        </w:rPr>
        <w:t>水口社区位于水口镇中部，全社区有</w:t>
      </w:r>
      <w:r>
        <w:t>380户</w:t>
      </w:r>
      <w:r>
        <w:rPr>
          <w:rFonts w:hint="eastAsia"/>
          <w:lang w:eastAsia="zh-CN"/>
        </w:rPr>
        <w:t>，</w:t>
      </w:r>
      <w:r>
        <w:t>1443人，现有社区“两委”干部3人，党员15人。</w:t>
      </w:r>
    </w:p>
    <w:p w14:paraId="796AB185">
      <w:pPr>
        <w:jc w:val="right"/>
        <w:rPr>
          <w:rFonts w:hint="eastAsia"/>
          <w:b/>
          <w:bCs/>
        </w:rPr>
      </w:pPr>
      <w:r>
        <w:rPr>
          <w:rFonts w:hint="eastAsia"/>
          <w:b/>
          <w:bCs/>
        </w:rPr>
        <w:t>（谭培明）</w:t>
      </w:r>
    </w:p>
    <w:p w14:paraId="4076CC59">
      <w:pPr>
        <w:pStyle w:val="10"/>
        <w:bidi w:val="0"/>
        <w:rPr>
          <w:b/>
          <w:bCs/>
        </w:rPr>
      </w:pPr>
      <w:r>
        <w:rPr>
          <w:rFonts w:hint="eastAsia"/>
          <w:b/>
          <w:bCs/>
        </w:rPr>
        <w:t>附：</w:t>
      </w:r>
      <w:r>
        <w:rPr>
          <w:b/>
          <w:bCs/>
        </w:rPr>
        <w:t>2013年水口镇领导班子成员名单</w:t>
      </w:r>
    </w:p>
    <w:p w14:paraId="14DC9597">
      <w:pPr>
        <w:pStyle w:val="10"/>
        <w:bidi w:val="0"/>
        <w:rPr>
          <w:rFonts w:hint="eastAsia"/>
        </w:rPr>
      </w:pPr>
      <w:r>
        <w:rPr>
          <w:rFonts w:hint="eastAsia"/>
          <w:b/>
          <w:bCs/>
        </w:rPr>
        <w:t>党委书记、人大主席：</w:t>
      </w:r>
      <w:r>
        <w:rPr>
          <w:rFonts w:hint="eastAsia"/>
        </w:rPr>
        <w:t>范桂全</w:t>
      </w:r>
    </w:p>
    <w:p w14:paraId="1D5FECD8">
      <w:pPr>
        <w:pStyle w:val="10"/>
        <w:bidi w:val="0"/>
        <w:rPr>
          <w:rFonts w:hint="eastAsia"/>
        </w:rPr>
      </w:pPr>
      <w:r>
        <w:rPr>
          <w:rFonts w:hint="eastAsia"/>
          <w:b/>
          <w:bCs/>
        </w:rPr>
        <w:t>党委副书记、镇长：</w:t>
      </w:r>
      <w:r>
        <w:rPr>
          <w:rFonts w:hint="eastAsia"/>
        </w:rPr>
        <w:t>温春花</w:t>
      </w:r>
    </w:p>
    <w:p w14:paraId="0FA98729">
      <w:pPr>
        <w:pStyle w:val="10"/>
        <w:bidi w:val="0"/>
        <w:rPr>
          <w:rFonts w:hint="eastAsia"/>
        </w:rPr>
      </w:pPr>
      <w:r>
        <w:rPr>
          <w:rFonts w:hint="eastAsia"/>
          <w:b/>
          <w:bCs/>
        </w:rPr>
        <w:t>党委副书记：</w:t>
      </w:r>
      <w:r>
        <w:rPr>
          <w:rFonts w:hint="eastAsia"/>
        </w:rPr>
        <w:t>刘光煌</w:t>
      </w:r>
    </w:p>
    <w:p w14:paraId="6778084A">
      <w:pPr>
        <w:pStyle w:val="10"/>
        <w:bidi w:val="0"/>
        <w:rPr>
          <w:rFonts w:hint="eastAsia"/>
        </w:rPr>
      </w:pPr>
      <w:r>
        <w:rPr>
          <w:rFonts w:hint="eastAsia"/>
          <w:b/>
          <w:bCs/>
        </w:rPr>
        <w:t>水口中心纪检监察组长、纪委书记</w:t>
      </w:r>
      <w:r>
        <w:rPr>
          <w:rFonts w:hint="eastAsia"/>
        </w:rPr>
        <w:t>：邓煜煜</w:t>
      </w:r>
    </w:p>
    <w:p w14:paraId="64F7B882">
      <w:pPr>
        <w:pStyle w:val="10"/>
        <w:bidi w:val="0"/>
        <w:rPr>
          <w:rFonts w:hint="eastAsia"/>
        </w:rPr>
      </w:pPr>
      <w:r>
        <w:rPr>
          <w:rFonts w:hint="eastAsia"/>
          <w:b/>
          <w:bCs/>
        </w:rPr>
        <w:t>组织委员</w:t>
      </w:r>
      <w:r>
        <w:rPr>
          <w:rFonts w:hint="eastAsia"/>
        </w:rPr>
        <w:t>：刘</w:t>
      </w:r>
      <w:r>
        <w:rPr>
          <w:rFonts w:hint="eastAsia"/>
          <w:lang w:val="en-US" w:eastAsia="zh-CN"/>
        </w:rPr>
        <w:t xml:space="preserve">  </w:t>
      </w:r>
      <w:r>
        <w:rPr>
          <w:rFonts w:hint="eastAsia"/>
        </w:rPr>
        <w:t>畅</w:t>
      </w:r>
    </w:p>
    <w:p w14:paraId="3309678E">
      <w:pPr>
        <w:pStyle w:val="10"/>
        <w:bidi w:val="0"/>
        <w:rPr>
          <w:rFonts w:hint="eastAsia"/>
        </w:rPr>
      </w:pPr>
      <w:r>
        <w:rPr>
          <w:rFonts w:hint="eastAsia"/>
          <w:b/>
          <w:bCs/>
        </w:rPr>
        <w:t>宣传委员：</w:t>
      </w:r>
      <w:r>
        <w:rPr>
          <w:rFonts w:hint="eastAsia"/>
        </w:rPr>
        <w:t>吴英琪</w:t>
      </w:r>
    </w:p>
    <w:p w14:paraId="636B960E">
      <w:pPr>
        <w:pStyle w:val="10"/>
        <w:bidi w:val="0"/>
        <w:rPr>
          <w:rFonts w:hint="eastAsia"/>
        </w:rPr>
      </w:pPr>
      <w:r>
        <w:rPr>
          <w:rFonts w:hint="eastAsia"/>
          <w:b/>
          <w:bCs/>
        </w:rPr>
        <w:t>人大副主席：</w:t>
      </w:r>
      <w:r>
        <w:rPr>
          <w:rFonts w:hint="eastAsia"/>
        </w:rPr>
        <w:t>邓国荣</w:t>
      </w:r>
    </w:p>
    <w:p w14:paraId="5F53E949">
      <w:pPr>
        <w:pStyle w:val="10"/>
        <w:bidi w:val="0"/>
        <w:rPr>
          <w:rFonts w:hint="eastAsia"/>
        </w:rPr>
      </w:pPr>
      <w:r>
        <w:rPr>
          <w:rFonts w:hint="eastAsia"/>
          <w:b/>
          <w:bCs/>
        </w:rPr>
        <w:t>武装部长：</w:t>
      </w:r>
      <w:r>
        <w:rPr>
          <w:rFonts w:hint="eastAsia"/>
        </w:rPr>
        <w:t>杨庆安</w:t>
      </w:r>
    </w:p>
    <w:p w14:paraId="5C893989">
      <w:pPr>
        <w:pStyle w:val="10"/>
        <w:bidi w:val="0"/>
        <w:rPr>
          <w:rFonts w:hint="eastAsia"/>
        </w:rPr>
      </w:pPr>
      <w:r>
        <w:rPr>
          <w:rFonts w:hint="eastAsia"/>
          <w:b/>
          <w:bCs/>
        </w:rPr>
        <w:t>综治办专职副主任：</w:t>
      </w:r>
      <w:r>
        <w:rPr>
          <w:rFonts w:hint="eastAsia"/>
        </w:rPr>
        <w:t>欧阳锋</w:t>
      </w:r>
    </w:p>
    <w:p w14:paraId="73180444">
      <w:pPr>
        <w:pStyle w:val="10"/>
        <w:bidi w:val="0"/>
        <w:rPr>
          <w:rFonts w:hint="eastAsia"/>
        </w:rPr>
      </w:pPr>
      <w:r>
        <w:rPr>
          <w:rFonts w:hint="eastAsia"/>
          <w:b/>
          <w:bCs/>
        </w:rPr>
        <w:t>副镇长：</w:t>
      </w:r>
      <w:r>
        <w:rPr>
          <w:rFonts w:hint="eastAsia"/>
        </w:rPr>
        <w:t>陈</w:t>
      </w:r>
      <w:r>
        <w:rPr>
          <w:rFonts w:hint="eastAsia"/>
          <w:lang w:val="en-US" w:eastAsia="zh-CN"/>
        </w:rPr>
        <w:t xml:space="preserve">  </w:t>
      </w:r>
      <w:r>
        <w:rPr>
          <w:rFonts w:hint="eastAsia"/>
        </w:rPr>
        <w:t>文</w:t>
      </w:r>
      <w:r>
        <w:rPr>
          <w:rFonts w:hint="eastAsia"/>
          <w:lang w:val="en-US" w:eastAsia="zh-CN"/>
        </w:rPr>
        <w:t xml:space="preserve">   </w:t>
      </w:r>
      <w:r>
        <w:rPr>
          <w:rFonts w:hint="eastAsia"/>
        </w:rPr>
        <w:t>王衍明</w:t>
      </w:r>
    </w:p>
    <w:p w14:paraId="5801920B">
      <w:pPr>
        <w:pStyle w:val="3"/>
        <w:bidi w:val="0"/>
        <w:rPr>
          <w:rFonts w:hint="eastAsia"/>
        </w:rPr>
      </w:pPr>
      <w:r>
        <w:rPr>
          <w:rFonts w:hint="eastAsia"/>
        </w:rPr>
        <w:t>油山镇</w:t>
      </w:r>
    </w:p>
    <w:p w14:paraId="6308C832">
      <w:pPr>
        <w:pStyle w:val="4"/>
        <w:bidi w:val="0"/>
        <w:rPr>
          <w:rFonts w:hint="eastAsia"/>
        </w:rPr>
      </w:pPr>
      <w:r>
        <w:rPr>
          <w:rFonts w:hint="eastAsia"/>
        </w:rPr>
        <w:t>【概况】</w:t>
      </w:r>
    </w:p>
    <w:p w14:paraId="0D5C98F8">
      <w:r>
        <w:rPr>
          <w:rFonts w:hint="eastAsia"/>
        </w:rPr>
        <w:t>油山镇位于南雄东北部</w:t>
      </w:r>
      <w:r>
        <w:t>30公里，地处南</w:t>
      </w:r>
      <w:r>
        <w:rPr>
          <w:rFonts w:hint="eastAsia"/>
        </w:rPr>
        <w:t>雄市、江西大余县和江西信丰县三县（市）结合部。东与乌迳镇相邻，南与黄坑镇交界，西与邓坊镇接壤，北与江西大余的池江镇为邻。全镇耕地面积</w:t>
      </w:r>
      <w:r>
        <w:t>37860亩，山林面积212368亩，辖17个行政村</w:t>
      </w:r>
      <w:r>
        <w:rPr>
          <w:rFonts w:hint="eastAsia"/>
        </w:rPr>
        <w:t>和</w:t>
      </w:r>
      <w:r>
        <w:t>1个社区居委会，191个村小组，总人口3.4万</w:t>
      </w:r>
      <w:r>
        <w:rPr>
          <w:rFonts w:hint="eastAsia"/>
        </w:rPr>
        <w:t>人。全年全镇财政收入</w:t>
      </w:r>
      <w:r>
        <w:t>212.2万元，同比增长9.6%；实现生产总值3.01亿元，同比增</w:t>
      </w:r>
      <w:r>
        <w:rPr>
          <w:rFonts w:hint="eastAsia"/>
        </w:rPr>
        <w:t>长</w:t>
      </w:r>
      <w:r>
        <w:t>12.3%。</w:t>
      </w:r>
    </w:p>
    <w:p w14:paraId="55E27E84">
      <w:pPr>
        <w:pStyle w:val="4"/>
        <w:bidi w:val="0"/>
        <w:rPr>
          <w:rFonts w:hint="eastAsia"/>
        </w:rPr>
      </w:pPr>
      <w:r>
        <w:rPr>
          <w:rFonts w:hint="eastAsia"/>
        </w:rPr>
        <w:t>【黄烟产业】</w:t>
      </w:r>
    </w:p>
    <w:p w14:paraId="05A2C9B0">
      <w:pPr>
        <w:rPr>
          <w:rFonts w:hint="eastAsia"/>
        </w:rPr>
      </w:pPr>
      <w:r>
        <w:t>2013年黄烟种植面积6600亩，完成</w:t>
      </w:r>
      <w:r>
        <w:rPr>
          <w:rFonts w:hint="eastAsia"/>
        </w:rPr>
        <w:t>黄烟收购</w:t>
      </w:r>
      <w:r>
        <w:t>19029.7担，收购每市斤均价突破13元，</w:t>
      </w:r>
      <w:r>
        <w:rPr>
          <w:rFonts w:hint="eastAsia"/>
        </w:rPr>
        <w:t>收购价格创往年新高。</w:t>
      </w:r>
    </w:p>
    <w:p w14:paraId="0186ECB2">
      <w:pPr>
        <w:pStyle w:val="4"/>
        <w:bidi w:val="0"/>
        <w:rPr>
          <w:rFonts w:hint="eastAsia"/>
        </w:rPr>
      </w:pPr>
      <w:r>
        <w:rPr>
          <w:rFonts w:hint="eastAsia"/>
          <w:lang w:eastAsia="zh-CN"/>
        </w:rPr>
        <w:t>【</w:t>
      </w:r>
      <w:r>
        <w:rPr>
          <w:rFonts w:hint="eastAsia"/>
        </w:rPr>
        <w:t>种植业】</w:t>
      </w:r>
    </w:p>
    <w:p w14:paraId="0AD2E7FC">
      <w:r>
        <w:rPr>
          <w:rFonts w:hint="eastAsia"/>
        </w:rPr>
        <w:t>全年粮食生产面积</w:t>
      </w:r>
      <w:r>
        <w:t>4.26万亩，产量18440吨同比增长9.95%；水稻种植面积3.8万亩；</w:t>
      </w:r>
      <w:r>
        <w:rPr>
          <w:rFonts w:hint="eastAsia"/>
        </w:rPr>
        <w:t>花生种植面积</w:t>
      </w:r>
      <w:r>
        <w:t>8000余亩，产量1733吨；玉米种植</w:t>
      </w:r>
      <w:r>
        <w:rPr>
          <w:rFonts w:hint="eastAsia"/>
        </w:rPr>
        <w:t>面积</w:t>
      </w:r>
      <w:r>
        <w:t>905余亩，产量268吨。</w:t>
      </w:r>
    </w:p>
    <w:p w14:paraId="22465735">
      <w:pPr>
        <w:pStyle w:val="4"/>
        <w:bidi w:val="0"/>
        <w:rPr>
          <w:rFonts w:hint="eastAsia"/>
        </w:rPr>
      </w:pPr>
      <w:r>
        <w:rPr>
          <w:rFonts w:hint="eastAsia"/>
          <w:lang w:eastAsia="zh-CN"/>
        </w:rPr>
        <w:t>【</w:t>
      </w:r>
      <w:r>
        <w:rPr>
          <w:rFonts w:hint="eastAsia"/>
        </w:rPr>
        <w:t>林业】</w:t>
      </w:r>
    </w:p>
    <w:p w14:paraId="4763A441">
      <w:pPr>
        <w:rPr>
          <w:rFonts w:hint="eastAsia"/>
        </w:rPr>
      </w:pPr>
      <w:r>
        <w:t>2013年，封山育林全封面积2万多亩，</w:t>
      </w:r>
      <w:r>
        <w:rPr>
          <w:rFonts w:hint="eastAsia"/>
        </w:rPr>
        <w:t>其中上朔、古城、大兰、坪田坳、黄地等</w:t>
      </w:r>
      <w:r>
        <w:t>5个村实</w:t>
      </w:r>
      <w:r>
        <w:rPr>
          <w:rFonts w:hint="eastAsia"/>
        </w:rPr>
        <w:t>现森林保险全覆盖。</w:t>
      </w:r>
    </w:p>
    <w:p w14:paraId="67DADBC6">
      <w:pPr>
        <w:pStyle w:val="4"/>
        <w:bidi w:val="0"/>
        <w:rPr>
          <w:rFonts w:hint="eastAsia"/>
        </w:rPr>
      </w:pPr>
      <w:r>
        <w:rPr>
          <w:rFonts w:hint="eastAsia"/>
        </w:rPr>
        <w:t>【基础设施建设】</w:t>
      </w:r>
    </w:p>
    <w:p w14:paraId="7019411D">
      <w:pPr>
        <w:rPr>
          <w:rFonts w:hint="eastAsia"/>
        </w:rPr>
      </w:pPr>
      <w:r>
        <w:t>2013年，高标准农田建设区域</w:t>
      </w:r>
      <w:r>
        <w:rPr>
          <w:rFonts w:hint="eastAsia"/>
        </w:rPr>
        <w:t>覆盖大塘、夹河口等</w:t>
      </w:r>
      <w:r>
        <w:t>13个村，逐步提高基本农田</w:t>
      </w:r>
      <w:r>
        <w:rPr>
          <w:rFonts w:hint="eastAsia"/>
        </w:rPr>
        <w:t>质量，完善田间基本设施，稳步提高粮食综合生产能力。</w:t>
      </w:r>
      <w:r>
        <w:t>2013年，完善平林、下惠村的部分村道路水</w:t>
      </w:r>
      <w:r>
        <w:rPr>
          <w:rFonts w:hint="eastAsia"/>
        </w:rPr>
        <w:t>泥硬底化建设，村级道路网络建设得到加强。</w:t>
      </w:r>
    </w:p>
    <w:p w14:paraId="62F2686A">
      <w:pPr>
        <w:pStyle w:val="4"/>
        <w:bidi w:val="0"/>
        <w:rPr>
          <w:rFonts w:hint="eastAsia"/>
        </w:rPr>
      </w:pPr>
      <w:r>
        <w:rPr>
          <w:rFonts w:hint="eastAsia"/>
        </w:rPr>
        <w:t>【计划生育】</w:t>
      </w:r>
    </w:p>
    <w:p w14:paraId="31AEEC1C">
      <w:r>
        <w:t>2013年政策生育率为80.12%，落</w:t>
      </w:r>
      <w:r>
        <w:rPr>
          <w:rFonts w:hint="eastAsia"/>
        </w:rPr>
        <w:t>实节育手术共</w:t>
      </w:r>
      <w:r>
        <w:t>415例，稳定了较低的生育水平。</w:t>
      </w:r>
    </w:p>
    <w:p w14:paraId="616F1B66">
      <w:pPr>
        <w:pStyle w:val="4"/>
        <w:bidi w:val="0"/>
        <w:rPr>
          <w:rFonts w:hint="eastAsia"/>
        </w:rPr>
      </w:pPr>
      <w:r>
        <w:rPr>
          <w:rFonts w:hint="eastAsia"/>
        </w:rPr>
        <w:t>【“扶贫双到”工作】</w:t>
      </w:r>
    </w:p>
    <w:p w14:paraId="1B648CA7">
      <w:pPr>
        <w:rPr>
          <w:rFonts w:hint="eastAsia"/>
        </w:rPr>
      </w:pPr>
      <w:r>
        <w:t>2013年是新一轮扶贫“双</w:t>
      </w:r>
      <w:r>
        <w:rPr>
          <w:rFonts w:hint="eastAsia"/>
        </w:rPr>
        <w:t>到”工作的第一年，全镇有</w:t>
      </w:r>
      <w:r>
        <w:t>6个对口贫困村，分别</w:t>
      </w:r>
      <w:r>
        <w:rPr>
          <w:rFonts w:hint="eastAsia"/>
        </w:rPr>
        <w:t>由东莞市常平镇、南雄市民政局和南雄市检察院对口帮扶。</w:t>
      </w:r>
      <w:r>
        <w:t>2013年，帮扶单位累计投入使用资金已达230余万元。新建了基础设施建设项目，村容村貌</w:t>
      </w:r>
      <w:r>
        <w:rPr>
          <w:rFonts w:hint="eastAsia"/>
        </w:rPr>
        <w:t>得到改善；有</w:t>
      </w:r>
      <w:r>
        <w:t>700余人次参加了帮扶单位组织的技</w:t>
      </w:r>
      <w:r>
        <w:rPr>
          <w:rFonts w:hint="eastAsia"/>
        </w:rPr>
        <w:t>能培训。同时夹河口村整村推进项目点——什江</w:t>
      </w:r>
      <w:r>
        <w:rPr>
          <w:rFonts w:hint="eastAsia"/>
          <w:lang w:val="en-US" w:eastAsia="zh-CN"/>
        </w:rPr>
        <w:t>·</w:t>
      </w:r>
      <w:r>
        <w:rPr>
          <w:rFonts w:hint="eastAsia"/>
        </w:rPr>
        <w:t>常平新村开工建设。</w:t>
      </w:r>
    </w:p>
    <w:p w14:paraId="68FD9368">
      <w:pPr>
        <w:pStyle w:val="4"/>
        <w:bidi w:val="0"/>
        <w:rPr>
          <w:rFonts w:hint="eastAsia"/>
        </w:rPr>
      </w:pPr>
      <w:r>
        <w:rPr>
          <w:rFonts w:hint="eastAsia"/>
        </w:rPr>
        <w:t>【科教文卫】</w:t>
      </w:r>
    </w:p>
    <w:p w14:paraId="7D53DCFF">
      <w:r>
        <w:t>2013年全镇2.65万人参加农村合作</w:t>
      </w:r>
      <w:r>
        <w:rPr>
          <w:rFonts w:hint="eastAsia"/>
        </w:rPr>
        <w:t>医疗。全镇</w:t>
      </w:r>
      <w:r>
        <w:t>1.2万余人参加农村养老保险。</w:t>
      </w:r>
    </w:p>
    <w:p w14:paraId="222C8ADE">
      <w:pPr>
        <w:pStyle w:val="4"/>
        <w:bidi w:val="0"/>
        <w:rPr>
          <w:rFonts w:hint="eastAsia"/>
        </w:rPr>
      </w:pPr>
      <w:r>
        <w:rPr>
          <w:rFonts w:hint="eastAsia"/>
        </w:rPr>
        <w:t>【各村（居）委会基本情况】</w:t>
      </w:r>
    </w:p>
    <w:p w14:paraId="0B8285EF">
      <w:pPr>
        <w:rPr>
          <w:rFonts w:hint="eastAsia" w:eastAsia="宋体"/>
          <w:lang w:eastAsia="zh-CN"/>
        </w:rPr>
      </w:pPr>
      <w:r>
        <w:rPr>
          <w:rFonts w:hint="eastAsia"/>
          <w:b/>
          <w:bCs/>
        </w:rPr>
        <w:t>坪田坳村委会</w:t>
      </w:r>
      <w:r>
        <w:rPr>
          <w:rFonts w:hint="eastAsia"/>
          <w:b/>
          <w:bCs/>
          <w:lang w:val="en-US" w:eastAsia="zh-CN"/>
        </w:rPr>
        <w:t xml:space="preserve"> </w:t>
      </w:r>
      <w:r>
        <w:rPr>
          <w:rFonts w:hint="eastAsia"/>
          <w:lang w:val="en-US" w:eastAsia="zh-CN"/>
        </w:rPr>
        <w:t xml:space="preserve"> </w:t>
      </w:r>
      <w:r>
        <w:rPr>
          <w:rFonts w:hint="eastAsia"/>
        </w:rPr>
        <w:t>位于南雄市油山镇北部，总面积</w:t>
      </w:r>
      <w:r>
        <w:t>15.85平方公里，有耕地面积194.8公顷，山地</w:t>
      </w:r>
      <w:r>
        <w:rPr>
          <w:rFonts w:hint="eastAsia"/>
        </w:rPr>
        <w:t>面积</w:t>
      </w:r>
      <w:r>
        <w:t>1524.6公顷，有林面积1269.6公顷。林木有</w:t>
      </w:r>
      <w:r>
        <w:rPr>
          <w:rFonts w:hint="eastAsia"/>
        </w:rPr>
        <w:t>松、衫、竹等。辖</w:t>
      </w:r>
      <w:r>
        <w:t>11个村民小组，自然村6个，</w:t>
      </w:r>
      <w:r>
        <w:rPr>
          <w:rFonts w:hint="eastAsia"/>
        </w:rPr>
        <w:t>有</w:t>
      </w:r>
      <w:r>
        <w:t>325户，1333人。现有党员39人，村干部4人</w:t>
      </w:r>
      <w:r>
        <w:rPr>
          <w:rFonts w:hint="eastAsia"/>
          <w:lang w:eastAsia="zh-CN"/>
        </w:rPr>
        <w:t>。</w:t>
      </w:r>
    </w:p>
    <w:p w14:paraId="09496B8E">
      <w:r>
        <w:rPr>
          <w:rFonts w:hint="eastAsia"/>
          <w:b/>
          <w:bCs/>
        </w:rPr>
        <w:t>莲山村委会</w:t>
      </w:r>
      <w:r>
        <w:rPr>
          <w:rFonts w:hint="eastAsia"/>
          <w:b/>
          <w:bCs/>
          <w:lang w:val="en-US" w:eastAsia="zh-CN"/>
        </w:rPr>
        <w:t xml:space="preserve">  </w:t>
      </w:r>
      <w:r>
        <w:rPr>
          <w:rFonts w:hint="eastAsia"/>
        </w:rPr>
        <w:t>位于南雄市油山镇西北部，总面积</w:t>
      </w:r>
      <w:r>
        <w:t>18.25平方公里，有耕地面积198.2公顷，山地面积1517.2公顷，有林面积1193.5公顷。林木有松、衫</w:t>
      </w:r>
      <w:r>
        <w:rPr>
          <w:rFonts w:hint="eastAsia"/>
          <w:lang w:eastAsia="zh-CN"/>
        </w:rPr>
        <w:t>、</w:t>
      </w:r>
      <w:r>
        <w:rPr>
          <w:rFonts w:hint="eastAsia"/>
        </w:rPr>
        <w:t>竹等。辖</w:t>
      </w:r>
      <w:r>
        <w:t>15个村民小组，有自然村14个，有416户，1703人。现有党员40人，村干部4人。</w:t>
      </w:r>
    </w:p>
    <w:p w14:paraId="6AF4844A">
      <w:r>
        <w:rPr>
          <w:rFonts w:hint="eastAsia"/>
          <w:b/>
          <w:bCs/>
        </w:rPr>
        <w:t>大兰村委会</w:t>
      </w:r>
      <w:r>
        <w:rPr>
          <w:rFonts w:hint="eastAsia"/>
          <w:b/>
          <w:bCs/>
          <w:lang w:val="en-US" w:eastAsia="zh-CN"/>
        </w:rPr>
        <w:t xml:space="preserve">  </w:t>
      </w:r>
      <w:r>
        <w:rPr>
          <w:rFonts w:hint="eastAsia"/>
        </w:rPr>
        <w:t>位于南雄市油山镇北部，毗邻江西省池江镇，总面积</w:t>
      </w:r>
      <w:r>
        <w:t>13.61平方公里，有耕地面积113.8公顷，山地面积1394.4公顷，有林面积1122.2公顷。辖7个村民小组，有自然村9个，有270户，1110人。现有党员40人，村干部3人。</w:t>
      </w:r>
    </w:p>
    <w:p w14:paraId="46D82218">
      <w:r>
        <w:rPr>
          <w:rFonts w:hint="eastAsia"/>
          <w:b/>
          <w:bCs/>
        </w:rPr>
        <w:t>平林村委会</w:t>
      </w:r>
      <w:r>
        <w:rPr>
          <w:rFonts w:hint="eastAsia"/>
          <w:b/>
          <w:bCs/>
          <w:lang w:val="en-US" w:eastAsia="zh-CN"/>
        </w:rPr>
        <w:t xml:space="preserve">  </w:t>
      </w:r>
      <w:r>
        <w:rPr>
          <w:rFonts w:hint="eastAsia"/>
        </w:rPr>
        <w:t>位于南雄市油山镇北部，总面积</w:t>
      </w:r>
      <w:r>
        <w:t>19.96平方公里，有耕地面积282.4公顷，山地面</w:t>
      </w:r>
      <w:r>
        <w:rPr>
          <w:rFonts w:hint="eastAsia"/>
        </w:rPr>
        <w:t>积</w:t>
      </w:r>
      <w:r>
        <w:t>2081公顷，有林面积1619.3公顷。林木有松</w:t>
      </w:r>
      <w:r>
        <w:rPr>
          <w:rFonts w:hint="eastAsia"/>
          <w:lang w:eastAsia="zh-CN"/>
        </w:rPr>
        <w:t>、</w:t>
      </w:r>
      <w:r>
        <w:rPr>
          <w:rFonts w:hint="eastAsia"/>
        </w:rPr>
        <w:t>衫、竹等。辖</w:t>
      </w:r>
      <w:r>
        <w:t>16个村民小组，自然村13个，有526户，人口2158。现有党员47人，村干部4人。</w:t>
      </w:r>
    </w:p>
    <w:p w14:paraId="1979C71B">
      <w:r>
        <w:rPr>
          <w:rFonts w:hint="eastAsia"/>
          <w:b/>
          <w:bCs/>
        </w:rPr>
        <w:t>黄地村委会</w:t>
      </w:r>
      <w:r>
        <w:rPr>
          <w:rFonts w:hint="eastAsia"/>
          <w:lang w:val="en-US" w:eastAsia="zh-CN"/>
        </w:rPr>
        <w:t xml:space="preserve">  </w:t>
      </w:r>
      <w:r>
        <w:rPr>
          <w:rFonts w:hint="eastAsia"/>
        </w:rPr>
        <w:t>位于南雄市油山镇北部，总面积</w:t>
      </w:r>
      <w:r>
        <w:t>13.65平方公里，有耕地面积86.5公顷，山地面积751.8公顷，有林面积609.6公顷。辖5个村民小</w:t>
      </w:r>
      <w:r>
        <w:rPr>
          <w:rFonts w:hint="eastAsia"/>
        </w:rPr>
        <w:t>组，有自然村</w:t>
      </w:r>
      <w:r>
        <w:t>5个，有183户，754人。现有党员29人，村干部3人。</w:t>
      </w:r>
    </w:p>
    <w:p w14:paraId="466C55AF">
      <w:r>
        <w:rPr>
          <w:rFonts w:hint="eastAsia"/>
          <w:b/>
          <w:bCs/>
        </w:rPr>
        <w:t>爱敬村委会</w:t>
      </w:r>
      <w:r>
        <w:rPr>
          <w:rFonts w:hint="eastAsia"/>
          <w:lang w:val="en-US" w:eastAsia="zh-CN"/>
        </w:rPr>
        <w:t xml:space="preserve">  </w:t>
      </w:r>
      <w:r>
        <w:rPr>
          <w:rFonts w:hint="eastAsia"/>
        </w:rPr>
        <w:t>位于南雄市镇南部，总面积</w:t>
      </w:r>
      <w:r>
        <w:t>3.03</w:t>
      </w:r>
      <w:r>
        <w:rPr>
          <w:rFonts w:hint="eastAsia"/>
        </w:rPr>
        <w:t>平方公里，有耕地面积</w:t>
      </w:r>
      <w:r>
        <w:t>114公顷，其中水田66.5</w:t>
      </w:r>
      <w:r>
        <w:rPr>
          <w:rFonts w:hint="eastAsia"/>
        </w:rPr>
        <w:t>公顷，旱地</w:t>
      </w:r>
      <w:r>
        <w:t>47.2公顷。辖8个村民小组，自然村8</w:t>
      </w:r>
      <w:r>
        <w:rPr>
          <w:rFonts w:hint="eastAsia"/>
        </w:rPr>
        <w:t>个，有</w:t>
      </w:r>
      <w:r>
        <w:t>419户，人口1718。现有党员38人，村干</w:t>
      </w:r>
      <w:r>
        <w:rPr>
          <w:rFonts w:hint="eastAsia"/>
        </w:rPr>
        <w:t>部</w:t>
      </w:r>
      <w:r>
        <w:t>4人。</w:t>
      </w:r>
    </w:p>
    <w:p w14:paraId="3FC0D665">
      <w:r>
        <w:rPr>
          <w:rFonts w:hint="eastAsia"/>
          <w:b/>
          <w:bCs/>
        </w:rPr>
        <w:t>浆田村委会</w:t>
      </w:r>
      <w:r>
        <w:rPr>
          <w:rFonts w:hint="eastAsia"/>
          <w:lang w:val="en-US" w:eastAsia="zh-CN"/>
        </w:rPr>
        <w:t xml:space="preserve">  </w:t>
      </w:r>
      <w:r>
        <w:rPr>
          <w:rFonts w:hint="eastAsia"/>
        </w:rPr>
        <w:t>位于南雄市镇南部，总面积</w:t>
      </w:r>
      <w:r>
        <w:t>2.39</w:t>
      </w:r>
      <w:r>
        <w:rPr>
          <w:rFonts w:hint="eastAsia"/>
        </w:rPr>
        <w:t>平方公里，有耕地面积</w:t>
      </w:r>
      <w:r>
        <w:t>133.9公顷，其中水田83.9</w:t>
      </w:r>
      <w:r>
        <w:rPr>
          <w:rFonts w:hint="eastAsia"/>
        </w:rPr>
        <w:t>公顷，旱地</w:t>
      </w:r>
      <w:r>
        <w:t>50.1公顷。辖9个村民小组，有自然</w:t>
      </w:r>
      <w:r>
        <w:rPr>
          <w:rFonts w:hint="eastAsia"/>
        </w:rPr>
        <w:t>村</w:t>
      </w:r>
      <w:r>
        <w:t>2个，有481户，人口1969。现有党员93人，</w:t>
      </w:r>
      <w:r>
        <w:rPr>
          <w:rFonts w:hint="eastAsia"/>
        </w:rPr>
        <w:t>村干部</w:t>
      </w:r>
      <w:r>
        <w:t>5人。</w:t>
      </w:r>
    </w:p>
    <w:p w14:paraId="72562A92">
      <w:r>
        <w:rPr>
          <w:rFonts w:hint="eastAsia"/>
          <w:b/>
          <w:bCs/>
        </w:rPr>
        <w:t>上浆村委会</w:t>
      </w:r>
      <w:r>
        <w:rPr>
          <w:rFonts w:hint="eastAsia"/>
          <w:b/>
          <w:bCs/>
          <w:lang w:val="en-US" w:eastAsia="zh-CN"/>
        </w:rPr>
        <w:t xml:space="preserve"> </w:t>
      </w:r>
      <w:r>
        <w:rPr>
          <w:rFonts w:hint="eastAsia"/>
          <w:lang w:val="en-US" w:eastAsia="zh-CN"/>
        </w:rPr>
        <w:t xml:space="preserve"> </w:t>
      </w:r>
      <w:r>
        <w:rPr>
          <w:rFonts w:hint="eastAsia"/>
        </w:rPr>
        <w:t>位于南雄市镇南部，总面积</w:t>
      </w:r>
      <w:r>
        <w:t>3.9</w:t>
      </w:r>
      <w:r>
        <w:rPr>
          <w:rFonts w:hint="eastAsia"/>
        </w:rPr>
        <w:t>平方公里，有耕地面积</w:t>
      </w:r>
      <w:r>
        <w:t>120.8公顷，其中水田70</w:t>
      </w:r>
      <w:r>
        <w:rPr>
          <w:rFonts w:hint="eastAsia"/>
        </w:rPr>
        <w:t>公顷，旱地</w:t>
      </w:r>
      <w:r>
        <w:t>50.8公顷。辖6个村民小组，自然村5</w:t>
      </w:r>
      <w:r>
        <w:rPr>
          <w:rFonts w:hint="eastAsia"/>
        </w:rPr>
        <w:t>个，有</w:t>
      </w:r>
      <w:r>
        <w:t>372户，人口1521人。现有党员45人，村</w:t>
      </w:r>
      <w:r>
        <w:rPr>
          <w:rFonts w:hint="eastAsia"/>
        </w:rPr>
        <w:t>干部</w:t>
      </w:r>
      <w:r>
        <w:t>4人。</w:t>
      </w:r>
    </w:p>
    <w:p w14:paraId="72BBF182">
      <w:r>
        <w:rPr>
          <w:rFonts w:hint="eastAsia"/>
          <w:b/>
          <w:bCs/>
        </w:rPr>
        <w:t>孔村村委会</w:t>
      </w:r>
      <w:r>
        <w:rPr>
          <w:rFonts w:hint="eastAsia"/>
          <w:lang w:val="en-US" w:eastAsia="zh-CN"/>
        </w:rPr>
        <w:t xml:space="preserve">  </w:t>
      </w:r>
      <w:r>
        <w:rPr>
          <w:rFonts w:hint="eastAsia"/>
        </w:rPr>
        <w:t>位于南雄市镇南部，总面积</w:t>
      </w:r>
      <w:r>
        <w:t>2.79</w:t>
      </w:r>
      <w:r>
        <w:rPr>
          <w:rFonts w:hint="eastAsia"/>
        </w:rPr>
        <w:t>平方公里，有耕地面积</w:t>
      </w:r>
      <w:r>
        <w:t>86.5公顷，其中水田75.5</w:t>
      </w:r>
      <w:r>
        <w:rPr>
          <w:rFonts w:hint="eastAsia"/>
        </w:rPr>
        <w:t>公顷，旱地</w:t>
      </w:r>
      <w:r>
        <w:t>10.7公顷。辖5个村民小组，自然村2</w:t>
      </w:r>
      <w:r>
        <w:rPr>
          <w:rFonts w:hint="eastAsia"/>
        </w:rPr>
        <w:t>个，有</w:t>
      </w:r>
      <w:r>
        <w:t>314户，人口1287。现有党员33人，村干</w:t>
      </w:r>
      <w:r>
        <w:rPr>
          <w:rFonts w:hint="eastAsia"/>
        </w:rPr>
        <w:t>部</w:t>
      </w:r>
      <w:r>
        <w:t>3人。</w:t>
      </w:r>
    </w:p>
    <w:p w14:paraId="75F99DE4">
      <w:r>
        <w:rPr>
          <w:rFonts w:hint="eastAsia"/>
          <w:b/>
          <w:bCs/>
        </w:rPr>
        <w:t>延村村委会</w:t>
      </w:r>
      <w:r>
        <w:rPr>
          <w:rFonts w:hint="eastAsia"/>
          <w:b/>
          <w:bCs/>
          <w:lang w:val="en-US" w:eastAsia="zh-CN"/>
        </w:rPr>
        <w:t xml:space="preserve"> </w:t>
      </w:r>
      <w:r>
        <w:rPr>
          <w:rFonts w:hint="eastAsia"/>
          <w:lang w:val="en-US" w:eastAsia="zh-CN"/>
        </w:rPr>
        <w:t xml:space="preserve"> </w:t>
      </w:r>
      <w:r>
        <w:rPr>
          <w:rFonts w:hint="eastAsia"/>
        </w:rPr>
        <w:t>位于南雄市镇东部，总面积</w:t>
      </w:r>
      <w:r>
        <w:t>4.58</w:t>
      </w:r>
      <w:r>
        <w:rPr>
          <w:rFonts w:hint="eastAsia"/>
        </w:rPr>
        <w:t>平方公里，有耕地面积</w:t>
      </w:r>
      <w:r>
        <w:t>159.1公顷，其中水田132.1公顷，旱地27公顷。辖11个村民小组，自</w:t>
      </w:r>
      <w:r>
        <w:rPr>
          <w:rFonts w:hint="eastAsia"/>
        </w:rPr>
        <w:t>然村</w:t>
      </w:r>
      <w:r>
        <w:t>9个，有519户，人口2131。现有党员54人</w:t>
      </w:r>
      <w:r>
        <w:rPr>
          <w:rFonts w:hint="eastAsia"/>
          <w:lang w:eastAsia="zh-CN"/>
        </w:rPr>
        <w:t>，</w:t>
      </w:r>
      <w:r>
        <w:rPr>
          <w:rFonts w:hint="eastAsia"/>
        </w:rPr>
        <w:t>村</w:t>
      </w:r>
      <w:r>
        <w:rPr>
          <w:rFonts w:hint="eastAsia"/>
          <w:lang w:eastAsia="zh-CN"/>
        </w:rPr>
        <w:t>干部</w:t>
      </w:r>
      <w:r>
        <w:t>7人。</w:t>
      </w:r>
    </w:p>
    <w:p w14:paraId="40FB9FE6">
      <w:r>
        <w:rPr>
          <w:rFonts w:hint="eastAsia"/>
          <w:b/>
          <w:bCs/>
        </w:rPr>
        <w:t>锦陂村委会</w:t>
      </w:r>
      <w:r>
        <w:rPr>
          <w:rFonts w:hint="eastAsia"/>
          <w:lang w:val="en-US" w:eastAsia="zh-CN"/>
        </w:rPr>
        <w:t xml:space="preserve">  </w:t>
      </w:r>
      <w:r>
        <w:rPr>
          <w:rFonts w:hint="eastAsia"/>
        </w:rPr>
        <w:t>位于南雄市镇东部，总面积</w:t>
      </w:r>
      <w:r>
        <w:t>7.5</w:t>
      </w:r>
      <w:r>
        <w:rPr>
          <w:rFonts w:hint="eastAsia"/>
        </w:rPr>
        <w:t>平方公里，有耕地面积</w:t>
      </w:r>
      <w:r>
        <w:t>134.6公顷，其中水田119.5公顷，旱地15.1公顷。辖10个村民小组，</w:t>
      </w:r>
      <w:r>
        <w:rPr>
          <w:rFonts w:hint="eastAsia"/>
        </w:rPr>
        <w:t>自然村</w:t>
      </w:r>
      <w:r>
        <w:t>12个，有418户，人口1710。现有党员28</w:t>
      </w:r>
      <w:r>
        <w:rPr>
          <w:rFonts w:hint="eastAsia"/>
        </w:rPr>
        <w:t>人，村干部</w:t>
      </w:r>
      <w:r>
        <w:t>4人。</w:t>
      </w:r>
    </w:p>
    <w:p w14:paraId="3B79E743">
      <w:r>
        <w:rPr>
          <w:rFonts w:hint="eastAsia"/>
          <w:b/>
          <w:bCs/>
        </w:rPr>
        <w:t>上朔村委会</w:t>
      </w:r>
      <w:r>
        <w:rPr>
          <w:rFonts w:hint="eastAsia"/>
          <w:b/>
          <w:bCs/>
          <w:lang w:val="en-US" w:eastAsia="zh-CN"/>
        </w:rPr>
        <w:t xml:space="preserve"> </w:t>
      </w:r>
      <w:r>
        <w:rPr>
          <w:rFonts w:hint="eastAsia"/>
          <w:lang w:val="en-US" w:eastAsia="zh-CN"/>
        </w:rPr>
        <w:t xml:space="preserve"> </w:t>
      </w:r>
      <w:r>
        <w:rPr>
          <w:rFonts w:hint="eastAsia"/>
        </w:rPr>
        <w:t>位于南雄市镇东部，总面积</w:t>
      </w:r>
      <w:r>
        <w:t>8.46</w:t>
      </w:r>
      <w:r>
        <w:rPr>
          <w:rFonts w:hint="eastAsia"/>
        </w:rPr>
        <w:t>平方公里，有耕地面积</w:t>
      </w:r>
      <w:r>
        <w:t>201.5公顷，其中水田147.2公顷，</w:t>
      </w:r>
      <w:r>
        <w:rPr>
          <w:rFonts w:hint="eastAsia"/>
          <w:lang w:val="en-US" w:eastAsia="zh-CN"/>
        </w:rPr>
        <w:t>旱</w:t>
      </w:r>
      <w:r>
        <w:t>地58.8公顷。辖26个村民小组，</w:t>
      </w:r>
      <w:r>
        <w:rPr>
          <w:rFonts w:hint="eastAsia"/>
        </w:rPr>
        <w:t>自然村</w:t>
      </w:r>
      <w:r>
        <w:t>1个，有828户，人口3392。现有党员60</w:t>
      </w:r>
      <w:r>
        <w:rPr>
          <w:rFonts w:hint="eastAsia"/>
        </w:rPr>
        <w:t>人，村干部</w:t>
      </w:r>
      <w:r>
        <w:t>6人。</w:t>
      </w:r>
    </w:p>
    <w:p w14:paraId="1DF96389">
      <w:r>
        <w:rPr>
          <w:rFonts w:hint="eastAsia"/>
          <w:b/>
          <w:bCs/>
        </w:rPr>
        <w:t>夹河口村委会</w:t>
      </w:r>
      <w:r>
        <w:rPr>
          <w:rFonts w:hint="eastAsia"/>
          <w:lang w:val="en-US" w:eastAsia="zh-CN"/>
        </w:rPr>
        <w:t xml:space="preserve">  </w:t>
      </w:r>
      <w:r>
        <w:rPr>
          <w:rFonts w:hint="eastAsia"/>
        </w:rPr>
        <w:t>位于南雄市油山镇北部，总面积</w:t>
      </w:r>
      <w:r>
        <w:t>13.05平方公里，有耕地面积103.2公顷，山地</w:t>
      </w:r>
      <w:r>
        <w:rPr>
          <w:rFonts w:hint="eastAsia"/>
        </w:rPr>
        <w:t>面积</w:t>
      </w:r>
      <w:r>
        <w:t>1386.4公顷，有林面积1002.3公顷。林木有</w:t>
      </w:r>
      <w:r>
        <w:rPr>
          <w:rFonts w:hint="eastAsia"/>
        </w:rPr>
        <w:t>松、衫、竹等。辖</w:t>
      </w:r>
      <w:r>
        <w:t>9个村民小组，自然村7个，有355户，人口1452人。现有党员36人，村干部4人。</w:t>
      </w:r>
    </w:p>
    <w:p w14:paraId="47F92CFF">
      <w:r>
        <w:rPr>
          <w:rFonts w:hint="eastAsia"/>
          <w:b/>
          <w:bCs/>
        </w:rPr>
        <w:t>大塘村委会</w:t>
      </w:r>
      <w:r>
        <w:rPr>
          <w:rFonts w:hint="eastAsia"/>
          <w:lang w:val="en-US" w:eastAsia="zh-CN"/>
        </w:rPr>
        <w:t xml:space="preserve">  </w:t>
      </w:r>
      <w:r>
        <w:rPr>
          <w:rFonts w:hint="eastAsia"/>
        </w:rPr>
        <w:t>位于南雄市油山镇南部，总面积</w:t>
      </w:r>
      <w:r>
        <w:t>2.16平方公里，有耕地面积69.5公顷，其中水田56.2公顷，旱地13.3公顷。辖5个村民小组，自</w:t>
      </w:r>
      <w:r>
        <w:rPr>
          <w:rFonts w:hint="eastAsia"/>
        </w:rPr>
        <w:t>然村</w:t>
      </w:r>
      <w:r>
        <w:t>2个，有217户，人口890人。现有党员26</w:t>
      </w:r>
      <w:r>
        <w:rPr>
          <w:rFonts w:hint="eastAsia"/>
        </w:rPr>
        <w:t>人，村干部</w:t>
      </w:r>
      <w:r>
        <w:t>4人。</w:t>
      </w:r>
    </w:p>
    <w:p w14:paraId="4D468247">
      <w:pPr>
        <w:rPr>
          <w:rFonts w:hint="eastAsia"/>
          <w:lang w:eastAsia="zh-CN"/>
        </w:rPr>
      </w:pPr>
      <w:r>
        <w:rPr>
          <w:rFonts w:hint="eastAsia"/>
          <w:b/>
          <w:bCs/>
        </w:rPr>
        <w:t>黄田村委会</w:t>
      </w:r>
      <w:r>
        <w:rPr>
          <w:rFonts w:hint="eastAsia"/>
          <w:lang w:val="en-US" w:eastAsia="zh-CN"/>
        </w:rPr>
        <w:t xml:space="preserve">  </w:t>
      </w:r>
      <w:r>
        <w:rPr>
          <w:rFonts w:hint="eastAsia"/>
        </w:rPr>
        <w:t>位于南雄市油山镇西部，总面积</w:t>
      </w:r>
      <w:r>
        <w:t>4.41平方公里，有耕地面积145.9公顷，其中水田114公顷，旱地31.9公顷。辖16个村民小组，自</w:t>
      </w:r>
      <w:r>
        <w:rPr>
          <w:rFonts w:hint="eastAsia"/>
        </w:rPr>
        <w:t>然村</w:t>
      </w:r>
      <w:r>
        <w:t>6个，有538户，人口2220。现有党员43人，</w:t>
      </w:r>
      <w:r>
        <w:rPr>
          <w:rFonts w:hint="eastAsia"/>
        </w:rPr>
        <w:t>村干部</w:t>
      </w:r>
      <w:r>
        <w:t>5人</w:t>
      </w:r>
      <w:r>
        <w:rPr>
          <w:rFonts w:hint="eastAsia"/>
          <w:lang w:eastAsia="zh-CN"/>
        </w:rPr>
        <w:t>。</w:t>
      </w:r>
    </w:p>
    <w:p w14:paraId="50B2F4D8">
      <w:pPr>
        <w:rPr>
          <w:b/>
          <w:bCs/>
        </w:rPr>
      </w:pPr>
      <w:r>
        <w:rPr>
          <w:rFonts w:hint="eastAsia"/>
          <w:b/>
          <w:bCs/>
        </w:rPr>
        <w:t>下惠村委会</w:t>
      </w:r>
      <w:r>
        <w:rPr>
          <w:rFonts w:hint="eastAsia"/>
          <w:b/>
          <w:bCs/>
          <w:lang w:val="en-US" w:eastAsia="zh-CN"/>
        </w:rPr>
        <w:t xml:space="preserve"> </w:t>
      </w:r>
      <w:r>
        <w:rPr>
          <w:rFonts w:hint="eastAsia"/>
          <w:lang w:val="en-US" w:eastAsia="zh-CN"/>
        </w:rPr>
        <w:t xml:space="preserve"> </w:t>
      </w:r>
      <w:r>
        <w:rPr>
          <w:rFonts w:hint="eastAsia"/>
        </w:rPr>
        <w:t>位于南雄市油山镇西部，总面积</w:t>
      </w:r>
      <w:r>
        <w:t>6.57平方公里，有耕地面积205.9公顷，其中水田142.9公顷，旱地62.9公顷。辖20个村民小组，</w:t>
      </w:r>
      <w:r>
        <w:rPr>
          <w:rFonts w:hint="eastAsia"/>
        </w:rPr>
        <w:t>自然村</w:t>
      </w:r>
      <w:r>
        <w:t>13个，有739户，人口3036。现有党员57</w:t>
      </w:r>
      <w:r>
        <w:rPr>
          <w:rFonts w:hint="eastAsia"/>
        </w:rPr>
        <w:t>人，村干部</w:t>
      </w:r>
      <w:r>
        <w:rPr>
          <w:b w:val="0"/>
          <w:bCs w:val="0"/>
        </w:rPr>
        <w:t>5人。</w:t>
      </w:r>
    </w:p>
    <w:p w14:paraId="20BD7EE7">
      <w:r>
        <w:rPr>
          <w:rFonts w:hint="eastAsia"/>
          <w:b/>
          <w:bCs/>
        </w:rPr>
        <w:t>古城村委会</w:t>
      </w:r>
      <w:r>
        <w:rPr>
          <w:rFonts w:hint="eastAsia"/>
          <w:b/>
          <w:bCs/>
          <w:lang w:val="en-US" w:eastAsia="zh-CN"/>
        </w:rPr>
        <w:t xml:space="preserve"> </w:t>
      </w:r>
      <w:r>
        <w:rPr>
          <w:rFonts w:hint="eastAsia"/>
          <w:lang w:val="en-US" w:eastAsia="zh-CN"/>
        </w:rPr>
        <w:t xml:space="preserve"> </w:t>
      </w:r>
      <w:r>
        <w:rPr>
          <w:rFonts w:hint="eastAsia"/>
        </w:rPr>
        <w:t>位于南雄市油山镇西部，总面积</w:t>
      </w:r>
      <w:r>
        <w:t>10.12平方公里，有耕地面积189.7公顷，其中水</w:t>
      </w:r>
      <w:r>
        <w:rPr>
          <w:rFonts w:hint="eastAsia"/>
        </w:rPr>
        <w:t>田</w:t>
      </w:r>
      <w:r>
        <w:t>171.3公顷，旱地18.3公顷。辖12个村民小组</w:t>
      </w:r>
      <w:r>
        <w:rPr>
          <w:rFonts w:hint="eastAsia"/>
          <w:lang w:eastAsia="zh-CN"/>
        </w:rPr>
        <w:t>，</w:t>
      </w:r>
      <w:r>
        <w:rPr>
          <w:rFonts w:hint="eastAsia"/>
        </w:rPr>
        <w:t>自然村</w:t>
      </w:r>
      <w:r>
        <w:t>10个，有479户，人口1961。现有党员57</w:t>
      </w:r>
      <w:r>
        <w:rPr>
          <w:rFonts w:hint="eastAsia"/>
        </w:rPr>
        <w:t>人，村干部</w:t>
      </w:r>
      <w:r>
        <w:t>5人。</w:t>
      </w:r>
    </w:p>
    <w:p w14:paraId="64E88B0B">
      <w:r>
        <w:rPr>
          <w:rFonts w:hint="eastAsia"/>
          <w:b/>
          <w:bCs/>
        </w:rPr>
        <w:t>油山居委会</w:t>
      </w:r>
      <w:r>
        <w:rPr>
          <w:rFonts w:hint="eastAsia"/>
          <w:b/>
          <w:bCs/>
          <w:lang w:val="en-US" w:eastAsia="zh-CN"/>
        </w:rPr>
        <w:t xml:space="preserve"> </w:t>
      </w:r>
      <w:r>
        <w:rPr>
          <w:rFonts w:hint="eastAsia"/>
          <w:lang w:val="en-US" w:eastAsia="zh-CN"/>
        </w:rPr>
        <w:t xml:space="preserve"> </w:t>
      </w:r>
      <w:r>
        <w:rPr>
          <w:rFonts w:hint="eastAsia"/>
        </w:rPr>
        <w:t>位于南雄市镇南部，总面积</w:t>
      </w:r>
      <w:r>
        <w:t>10.12平方公里，有耕地面积189.7公顷，其中水</w:t>
      </w:r>
      <w:r>
        <w:rPr>
          <w:rFonts w:hint="eastAsia"/>
        </w:rPr>
        <w:t>田</w:t>
      </w:r>
      <w:r>
        <w:t>171.3公顷，旱田18.3公顷。辖12个村民小组，</w:t>
      </w:r>
      <w:r>
        <w:rPr>
          <w:rFonts w:hint="eastAsia"/>
        </w:rPr>
        <w:t>有</w:t>
      </w:r>
      <w:r>
        <w:t>412户，人口数2002人。现有村干部4人。</w:t>
      </w:r>
    </w:p>
    <w:p w14:paraId="05871CEF">
      <w:pPr>
        <w:jc w:val="right"/>
        <w:rPr>
          <w:rFonts w:hint="eastAsia"/>
          <w:b/>
          <w:bCs/>
        </w:rPr>
      </w:pPr>
      <w:r>
        <w:rPr>
          <w:rFonts w:hint="eastAsia"/>
          <w:b/>
          <w:bCs/>
          <w:lang w:eastAsia="zh-CN"/>
        </w:rPr>
        <w:t>（</w:t>
      </w:r>
      <w:r>
        <w:rPr>
          <w:rFonts w:hint="eastAsia"/>
          <w:b/>
          <w:bCs/>
        </w:rPr>
        <w:t>陈</w:t>
      </w:r>
      <w:r>
        <w:rPr>
          <w:rFonts w:hint="eastAsia"/>
          <w:b/>
          <w:bCs/>
          <w:lang w:val="en-US" w:eastAsia="zh-CN"/>
        </w:rPr>
        <w:t xml:space="preserve">  </w:t>
      </w:r>
      <w:r>
        <w:rPr>
          <w:rFonts w:hint="eastAsia"/>
          <w:b/>
          <w:bCs/>
        </w:rPr>
        <w:t>翔）</w:t>
      </w:r>
    </w:p>
    <w:p w14:paraId="0F148D5E">
      <w:pPr>
        <w:pStyle w:val="10"/>
        <w:bidi w:val="0"/>
        <w:rPr>
          <w:b/>
          <w:bCs/>
        </w:rPr>
      </w:pPr>
      <w:r>
        <w:rPr>
          <w:rFonts w:hint="eastAsia"/>
          <w:b/>
          <w:bCs/>
        </w:rPr>
        <w:t>附：</w:t>
      </w:r>
      <w:r>
        <w:rPr>
          <w:b/>
          <w:bCs/>
        </w:rPr>
        <w:t>2013年油山镇领导班子成员名单</w:t>
      </w:r>
    </w:p>
    <w:p w14:paraId="0FFC63BC">
      <w:pPr>
        <w:pStyle w:val="10"/>
        <w:bidi w:val="0"/>
        <w:rPr>
          <w:rFonts w:hint="eastAsia"/>
        </w:rPr>
      </w:pPr>
      <w:r>
        <w:rPr>
          <w:rFonts w:hint="eastAsia"/>
          <w:b/>
          <w:bCs/>
        </w:rPr>
        <w:t>党委书记、人大主席：</w:t>
      </w:r>
      <w:r>
        <w:rPr>
          <w:rFonts w:hint="eastAsia"/>
        </w:rPr>
        <w:t>李世勤</w:t>
      </w:r>
    </w:p>
    <w:p w14:paraId="4DE11BBF">
      <w:pPr>
        <w:pStyle w:val="10"/>
        <w:bidi w:val="0"/>
        <w:rPr>
          <w:rFonts w:hint="eastAsia"/>
        </w:rPr>
      </w:pPr>
      <w:r>
        <w:rPr>
          <w:rFonts w:hint="eastAsia"/>
          <w:b/>
          <w:bCs/>
        </w:rPr>
        <w:t>党委副书记、镇长：</w:t>
      </w:r>
      <w:r>
        <w:rPr>
          <w:rFonts w:hint="eastAsia"/>
        </w:rPr>
        <w:t>蔡庆娟</w:t>
      </w:r>
    </w:p>
    <w:p w14:paraId="784CC71F">
      <w:pPr>
        <w:pStyle w:val="10"/>
        <w:bidi w:val="0"/>
        <w:rPr>
          <w:rFonts w:hint="eastAsia"/>
        </w:rPr>
      </w:pPr>
      <w:r>
        <w:rPr>
          <w:rFonts w:hint="eastAsia"/>
          <w:b/>
          <w:bCs/>
        </w:rPr>
        <w:t>党委副书记：</w:t>
      </w:r>
      <w:r>
        <w:rPr>
          <w:rFonts w:hint="eastAsia"/>
        </w:rPr>
        <w:t>罗福胜</w:t>
      </w:r>
    </w:p>
    <w:p w14:paraId="574BC23C">
      <w:pPr>
        <w:pStyle w:val="10"/>
        <w:bidi w:val="0"/>
        <w:rPr>
          <w:rFonts w:hint="eastAsia"/>
        </w:rPr>
      </w:pPr>
      <w:r>
        <w:rPr>
          <w:rFonts w:hint="eastAsia"/>
          <w:b/>
          <w:bCs/>
        </w:rPr>
        <w:t>纪委书记：</w:t>
      </w:r>
      <w:r>
        <w:rPr>
          <w:rFonts w:hint="eastAsia"/>
        </w:rPr>
        <w:t>蓝连山</w:t>
      </w:r>
    </w:p>
    <w:p w14:paraId="7B30671D">
      <w:pPr>
        <w:pStyle w:val="10"/>
        <w:bidi w:val="0"/>
        <w:rPr>
          <w:rFonts w:hint="eastAsia"/>
        </w:rPr>
      </w:pPr>
      <w:r>
        <w:rPr>
          <w:rFonts w:hint="eastAsia"/>
          <w:b/>
          <w:bCs/>
        </w:rPr>
        <w:t>组织委员：</w:t>
      </w:r>
      <w:r>
        <w:rPr>
          <w:rFonts w:hint="eastAsia"/>
        </w:rPr>
        <w:t>卢锦华</w:t>
      </w:r>
    </w:p>
    <w:p w14:paraId="01B1051A">
      <w:pPr>
        <w:pStyle w:val="10"/>
        <w:bidi w:val="0"/>
        <w:rPr>
          <w:rFonts w:hint="eastAsia"/>
        </w:rPr>
      </w:pPr>
      <w:r>
        <w:rPr>
          <w:rFonts w:hint="eastAsia"/>
          <w:b/>
          <w:bCs/>
        </w:rPr>
        <w:t>宣传委员：</w:t>
      </w:r>
      <w:r>
        <w:rPr>
          <w:rFonts w:hint="eastAsia"/>
        </w:rPr>
        <w:t>陈宗华</w:t>
      </w:r>
    </w:p>
    <w:p w14:paraId="696FC594">
      <w:pPr>
        <w:pStyle w:val="10"/>
        <w:bidi w:val="0"/>
        <w:rPr>
          <w:rFonts w:hint="eastAsia"/>
        </w:rPr>
      </w:pPr>
      <w:r>
        <w:rPr>
          <w:rFonts w:hint="eastAsia"/>
          <w:b/>
          <w:bCs/>
        </w:rPr>
        <w:t>人大副主席：</w:t>
      </w:r>
      <w:r>
        <w:rPr>
          <w:rFonts w:hint="eastAsia"/>
        </w:rPr>
        <w:t>杨拓</w:t>
      </w:r>
    </w:p>
    <w:p w14:paraId="71C1E496">
      <w:pPr>
        <w:pStyle w:val="10"/>
        <w:bidi w:val="0"/>
        <w:rPr>
          <w:rFonts w:hint="eastAsia"/>
        </w:rPr>
      </w:pPr>
      <w:r>
        <w:rPr>
          <w:rFonts w:hint="eastAsia"/>
          <w:b/>
          <w:bCs/>
        </w:rPr>
        <w:t>武装部长：</w:t>
      </w:r>
      <w:r>
        <w:rPr>
          <w:rFonts w:hint="eastAsia"/>
        </w:rPr>
        <w:t>黄祖旺</w:t>
      </w:r>
    </w:p>
    <w:p w14:paraId="7F2A046D">
      <w:pPr>
        <w:pStyle w:val="10"/>
        <w:bidi w:val="0"/>
        <w:rPr>
          <w:rFonts w:hint="eastAsia"/>
        </w:rPr>
      </w:pPr>
      <w:r>
        <w:rPr>
          <w:rFonts w:hint="eastAsia"/>
          <w:b/>
          <w:bCs/>
        </w:rPr>
        <w:t>综治办专职副主任：</w:t>
      </w:r>
      <w:r>
        <w:rPr>
          <w:rFonts w:hint="eastAsia"/>
        </w:rPr>
        <w:t>张宗鹏</w:t>
      </w:r>
    </w:p>
    <w:p w14:paraId="7C7C9EE2">
      <w:pPr>
        <w:pStyle w:val="10"/>
        <w:bidi w:val="0"/>
        <w:rPr>
          <w:rFonts w:hint="eastAsia"/>
        </w:rPr>
      </w:pPr>
      <w:r>
        <w:rPr>
          <w:rFonts w:hint="eastAsia"/>
          <w:b/>
          <w:bCs/>
        </w:rPr>
        <w:t>党委委员：</w:t>
      </w:r>
      <w:r>
        <w:rPr>
          <w:rFonts w:hint="eastAsia"/>
        </w:rPr>
        <w:t>陈世锋</w:t>
      </w:r>
    </w:p>
    <w:p w14:paraId="2B1C1ED9">
      <w:pPr>
        <w:pStyle w:val="10"/>
        <w:bidi w:val="0"/>
        <w:rPr>
          <w:rFonts w:hint="eastAsia"/>
        </w:rPr>
      </w:pPr>
      <w:r>
        <w:rPr>
          <w:rFonts w:hint="eastAsia"/>
          <w:b/>
          <w:bCs/>
        </w:rPr>
        <w:t>副镇长：</w:t>
      </w:r>
      <w:r>
        <w:rPr>
          <w:rFonts w:hint="eastAsia"/>
        </w:rPr>
        <w:t>刘</w:t>
      </w:r>
      <w:r>
        <w:rPr>
          <w:rFonts w:hint="eastAsia"/>
          <w:lang w:val="en-US" w:eastAsia="zh-CN"/>
        </w:rPr>
        <w:t xml:space="preserve">  </w:t>
      </w:r>
      <w:r>
        <w:rPr>
          <w:rFonts w:hint="eastAsia"/>
        </w:rPr>
        <w:t>军</w:t>
      </w:r>
      <w:r>
        <w:rPr>
          <w:rFonts w:hint="eastAsia"/>
          <w:lang w:val="en-US" w:eastAsia="zh-CN"/>
        </w:rPr>
        <w:t xml:space="preserve">   </w:t>
      </w:r>
      <w:r>
        <w:rPr>
          <w:rFonts w:hint="eastAsia"/>
        </w:rPr>
        <w:t>卢章美</w:t>
      </w:r>
      <w:r>
        <w:rPr>
          <w:rFonts w:hint="eastAsia"/>
          <w:lang w:val="en-US" w:eastAsia="zh-CN"/>
        </w:rPr>
        <w:t xml:space="preserve">   </w:t>
      </w:r>
      <w:r>
        <w:rPr>
          <w:rFonts w:hint="eastAsia"/>
        </w:rPr>
        <w:t>彭道智</w:t>
      </w:r>
    </w:p>
    <w:p w14:paraId="4676411A">
      <w:pPr>
        <w:pStyle w:val="3"/>
        <w:bidi w:val="0"/>
        <w:rPr>
          <w:rFonts w:hint="eastAsia"/>
          <w:lang w:val="en-US" w:eastAsia="zh-CN"/>
        </w:rPr>
      </w:pPr>
      <w:r>
        <w:rPr>
          <w:rFonts w:hint="eastAsia"/>
        </w:rPr>
        <w:t>界址</w:t>
      </w:r>
      <w:r>
        <w:rPr>
          <w:rFonts w:hint="eastAsia"/>
          <w:lang w:val="en-US" w:eastAsia="zh-CN"/>
        </w:rPr>
        <w:t>镇</w:t>
      </w:r>
    </w:p>
    <w:p w14:paraId="0585F6A8">
      <w:pPr>
        <w:pStyle w:val="4"/>
        <w:bidi w:val="0"/>
        <w:rPr>
          <w:rFonts w:hint="eastAsia"/>
        </w:rPr>
      </w:pPr>
      <w:r>
        <w:rPr>
          <w:rFonts w:hint="eastAsia"/>
        </w:rPr>
        <w:t>【概况】</w:t>
      </w:r>
    </w:p>
    <w:p w14:paraId="3501435B">
      <w:pPr>
        <w:rPr>
          <w:rFonts w:hint="eastAsia" w:eastAsia="宋体"/>
          <w:lang w:eastAsia="zh-CN"/>
        </w:rPr>
      </w:pPr>
      <w:r>
        <w:rPr>
          <w:rFonts w:hint="eastAsia"/>
        </w:rPr>
        <w:t>界址，原名界至，因处在广东省与江西省交界地带而得名。位于广东省南雄市东北部，南部与坪田镇相邻，西部与</w:t>
      </w:r>
      <w:r>
        <w:rPr>
          <w:rFonts w:hint="eastAsia"/>
          <w:lang w:eastAsia="zh-CN"/>
        </w:rPr>
        <w:t>乌</w:t>
      </w:r>
      <w:r>
        <w:rPr>
          <w:rFonts w:hint="eastAsia"/>
        </w:rPr>
        <w:t>迳接壤，东、北部与江西省信丰县交界，距南雄市区</w:t>
      </w:r>
      <w:r>
        <w:t>47公里</w:t>
      </w:r>
      <w:r>
        <w:rPr>
          <w:rFonts w:hint="eastAsia"/>
          <w:lang w:eastAsia="zh-CN"/>
        </w:rPr>
        <w:t>。</w:t>
      </w:r>
    </w:p>
    <w:p w14:paraId="6D677882">
      <w:r>
        <w:rPr>
          <w:rFonts w:hint="eastAsia"/>
        </w:rPr>
        <w:t>民国</w:t>
      </w:r>
      <w:r>
        <w:t>18年（1929年）废约建乡，属第六区崇</w:t>
      </w:r>
      <w:r>
        <w:rPr>
          <w:rFonts w:hint="eastAsia"/>
        </w:rPr>
        <w:t>化乡、大坊乡。</w:t>
      </w:r>
      <w:r>
        <w:t>1950年设立界址乡，属第三区（乌</w:t>
      </w:r>
      <w:r>
        <w:rPr>
          <w:rFonts w:hint="eastAsia"/>
        </w:rPr>
        <w:t>迳）。</w:t>
      </w:r>
      <w:r>
        <w:t>1958年人民公社化，属乌迳人民公社。1962</w:t>
      </w:r>
      <w:r>
        <w:rPr>
          <w:rFonts w:hint="eastAsia"/>
        </w:rPr>
        <w:t>年设立界址人民公社。</w:t>
      </w:r>
      <w:r>
        <w:t>1980年实行政社分开，改为</w:t>
      </w:r>
      <w:r>
        <w:rPr>
          <w:rFonts w:hint="eastAsia"/>
        </w:rPr>
        <w:t>界址区，</w:t>
      </w:r>
      <w:r>
        <w:t>1986年设立界址镇至今。2010年1月，</w:t>
      </w:r>
      <w:r>
        <w:rPr>
          <w:rFonts w:hint="eastAsia"/>
        </w:rPr>
        <w:t>新镇区政府办公大楼竣工，镇政府驻地由界址墟整体搬迁至省道</w:t>
      </w:r>
      <w:r>
        <w:t>S342大坊村委路段。</w:t>
      </w:r>
    </w:p>
    <w:p w14:paraId="4996A942">
      <w:pPr>
        <w:rPr>
          <w:rFonts w:hint="eastAsia"/>
        </w:rPr>
      </w:pPr>
      <w:r>
        <w:rPr>
          <w:rFonts w:hint="eastAsia"/>
        </w:rPr>
        <w:t>界址镇地处长江水系与珠江水系的分水岭，地势较高，多山地丘陵，四季分明、雨热同步，光照充足，土壤肥沃，气候宜人。盛产水稻、玉米、豆类、辣椒、花生、金银花、茯苓、半夏等；已探明的矿产主要有铀矿、稀土矿、铁矿、锌矿及陶瓷土等。</w:t>
      </w:r>
    </w:p>
    <w:p w14:paraId="485385CD">
      <w:pPr>
        <w:pStyle w:val="4"/>
        <w:bidi w:val="0"/>
        <w:rPr>
          <w:rFonts w:hint="eastAsia"/>
        </w:rPr>
      </w:pPr>
      <w:r>
        <w:rPr>
          <w:rFonts w:hint="eastAsia"/>
        </w:rPr>
        <w:t>【经济发展】</w:t>
      </w:r>
    </w:p>
    <w:p w14:paraId="59582E59">
      <w:r>
        <w:t>2013年全镇农村经济总收入12543</w:t>
      </w:r>
      <w:r>
        <w:rPr>
          <w:rFonts w:hint="eastAsia"/>
        </w:rPr>
        <w:t>万元，同比增长</w:t>
      </w:r>
      <w:r>
        <w:t>7%；地方财政总收入488万元，</w:t>
      </w:r>
      <w:r>
        <w:rPr>
          <w:rFonts w:hint="eastAsia"/>
        </w:rPr>
        <w:t>同比增长</w:t>
      </w:r>
      <w:r>
        <w:rPr>
          <w:rFonts w:hint="eastAsia"/>
          <w:lang w:val="en-US" w:eastAsia="zh-CN"/>
        </w:rPr>
        <w:t>7</w:t>
      </w:r>
      <w:r>
        <w:t>%；农民人均纯收入6022元，同比增</w:t>
      </w:r>
      <w:r>
        <w:rPr>
          <w:rFonts w:hint="eastAsia"/>
        </w:rPr>
        <w:t>长</w:t>
      </w:r>
      <w:r>
        <w:t>11%。</w:t>
      </w:r>
    </w:p>
    <w:p w14:paraId="63E4D56E">
      <w:pPr>
        <w:pStyle w:val="4"/>
        <w:bidi w:val="0"/>
        <w:rPr>
          <w:rFonts w:hint="eastAsia"/>
        </w:rPr>
      </w:pPr>
      <w:r>
        <w:rPr>
          <w:rFonts w:hint="eastAsia"/>
        </w:rPr>
        <w:t>【特色农业】</w:t>
      </w:r>
    </w:p>
    <w:p w14:paraId="33D72718">
      <w:r>
        <w:rPr>
          <w:rFonts w:hint="eastAsia"/>
        </w:rPr>
        <w:t>优化产业结构，大力推进特色农业发展。在抓好有传统优势的朝天椒种植基础上，继续扩大中草药种植面积。</w:t>
      </w:r>
      <w:r>
        <w:t>2013年新发展金银花种植</w:t>
      </w:r>
      <w:r>
        <w:rPr>
          <w:rFonts w:hint="eastAsia"/>
        </w:rPr>
        <w:t>面积</w:t>
      </w:r>
      <w:r>
        <w:t>130亩，半夏90亩，茯苓120亩，石斛200</w:t>
      </w:r>
      <w:r>
        <w:rPr>
          <w:rFonts w:hint="eastAsia"/>
        </w:rPr>
        <w:t>亩，玉竹</w:t>
      </w:r>
      <w:r>
        <w:t>150亩。</w:t>
      </w:r>
    </w:p>
    <w:p w14:paraId="0E542ED6">
      <w:pPr>
        <w:pStyle w:val="4"/>
        <w:bidi w:val="0"/>
        <w:rPr>
          <w:rFonts w:hint="eastAsia"/>
        </w:rPr>
      </w:pPr>
      <w:r>
        <w:rPr>
          <w:rFonts w:hint="eastAsia"/>
        </w:rPr>
        <w:t>【扶贫工作】</w:t>
      </w:r>
    </w:p>
    <w:p w14:paraId="060EF263">
      <w:pPr>
        <w:rPr>
          <w:rFonts w:hint="eastAsia"/>
        </w:rPr>
      </w:pPr>
      <w:r>
        <w:t>2013年落实扶贫开发“双到”资金112.5万元。完成入村入户核</w:t>
      </w:r>
      <w:r>
        <w:rPr>
          <w:rFonts w:hint="eastAsia"/>
          <w:lang w:eastAsia="zh-CN"/>
        </w:rPr>
        <w:t>查</w:t>
      </w:r>
      <w:r>
        <w:t>、贫困户公示、建</w:t>
      </w:r>
      <w:r>
        <w:rPr>
          <w:rFonts w:hint="eastAsia"/>
        </w:rPr>
        <w:t>档立卡和网上系统录入审核等基础性工作。赵屋</w:t>
      </w:r>
      <w:r>
        <w:rPr>
          <w:rFonts w:hint="eastAsia"/>
          <w:lang w:eastAsia="zh-CN"/>
        </w:rPr>
        <w:t>、</w:t>
      </w:r>
      <w:r>
        <w:rPr>
          <w:rFonts w:hint="eastAsia"/>
        </w:rPr>
        <w:t>崇化、大坊三个重点帮扶村共有贫困户</w:t>
      </w:r>
      <w:r>
        <w:t>178户561</w:t>
      </w:r>
      <w:r>
        <w:rPr>
          <w:rFonts w:hint="eastAsia"/>
        </w:rPr>
        <w:t>人，制定了村、户三年帮扶总规划和年度计划。</w:t>
      </w:r>
    </w:p>
    <w:p w14:paraId="5B62F96B">
      <w:pPr>
        <w:pStyle w:val="4"/>
        <w:bidi w:val="0"/>
        <w:rPr>
          <w:rFonts w:hint="eastAsia"/>
        </w:rPr>
      </w:pPr>
      <w:r>
        <w:rPr>
          <w:rFonts w:hint="eastAsia"/>
        </w:rPr>
        <w:t>【水利工程建设】</w:t>
      </w:r>
    </w:p>
    <w:p w14:paraId="468669FF">
      <w:pPr>
        <w:rPr>
          <w:rFonts w:hint="eastAsia"/>
        </w:rPr>
      </w:pPr>
      <w:r>
        <w:rPr>
          <w:rFonts w:hint="eastAsia"/>
        </w:rPr>
        <w:t>投资</w:t>
      </w:r>
      <w:r>
        <w:t>20万元用于水圳清淤及在</w:t>
      </w:r>
      <w:r>
        <w:rPr>
          <w:rFonts w:hint="eastAsia"/>
        </w:rPr>
        <w:t>百罗村牛头坑兴建蓄水过滤池，有效地提高自来水水质和水压，一定程度上缓解老界址片</w:t>
      </w:r>
      <w:r>
        <w:t>6000多群</w:t>
      </w:r>
      <w:r>
        <w:rPr>
          <w:rFonts w:hint="eastAsia"/>
        </w:rPr>
        <w:t>众用水困难的局面。对赵屋十八斗坑水源地进行勘察，完成界址老墟片饮水工程前期勘探、水质送检化验等工作。</w:t>
      </w:r>
    </w:p>
    <w:p w14:paraId="6361C5D2">
      <w:pPr>
        <w:pStyle w:val="4"/>
        <w:bidi w:val="0"/>
        <w:rPr>
          <w:rFonts w:hint="eastAsia"/>
        </w:rPr>
      </w:pPr>
      <w:r>
        <w:rPr>
          <w:rFonts w:hint="eastAsia"/>
        </w:rPr>
        <w:t>【村容村貌】</w:t>
      </w:r>
    </w:p>
    <w:p w14:paraId="07E23795">
      <w:pPr>
        <w:rPr>
          <w:rFonts w:hint="eastAsia"/>
          <w:lang w:eastAsia="zh-CN"/>
        </w:rPr>
      </w:pPr>
      <w:r>
        <w:t>2013年该镇投资近40万元，在全</w:t>
      </w:r>
      <w:r>
        <w:rPr>
          <w:rFonts w:hint="eastAsia"/>
        </w:rPr>
        <w:t>镇范围内建设垃圾中转站</w:t>
      </w:r>
      <w:r>
        <w:t>1个，垃圾屋3个，垃圾</w:t>
      </w:r>
      <w:r>
        <w:rPr>
          <w:rFonts w:hint="eastAsia"/>
        </w:rPr>
        <w:t>池</w:t>
      </w:r>
      <w:r>
        <w:t>6个，发放垃圾桶108</w:t>
      </w:r>
      <w:r>
        <w:rPr>
          <w:rFonts w:hint="eastAsia"/>
          <w:lang w:val="en-US" w:eastAsia="zh-CN"/>
        </w:rPr>
        <w:t>个</w:t>
      </w:r>
      <w:r>
        <w:rPr>
          <w:rFonts w:hint="eastAsia"/>
          <w:lang w:eastAsia="zh-CN"/>
        </w:rPr>
        <w:t>。</w:t>
      </w:r>
    </w:p>
    <w:p w14:paraId="0F3756E4">
      <w:pPr>
        <w:pStyle w:val="4"/>
        <w:bidi w:val="0"/>
        <w:rPr>
          <w:rFonts w:hint="eastAsia"/>
        </w:rPr>
      </w:pPr>
      <w:r>
        <w:rPr>
          <w:rFonts w:hint="eastAsia"/>
        </w:rPr>
        <w:t>【民营经济】</w:t>
      </w:r>
    </w:p>
    <w:p w14:paraId="360ABED9">
      <w:r>
        <w:t>2013年全镇有个体工商户300多户，</w:t>
      </w:r>
      <w:r>
        <w:rPr>
          <w:rFonts w:hint="eastAsia"/>
        </w:rPr>
        <w:t>从业人员达</w:t>
      </w:r>
      <w:r>
        <w:t>1600多人，营业收入达7500多万元。</w:t>
      </w:r>
    </w:p>
    <w:p w14:paraId="56DF3D37">
      <w:pPr>
        <w:pStyle w:val="4"/>
        <w:bidi w:val="0"/>
        <w:rPr>
          <w:rFonts w:hint="eastAsia"/>
        </w:rPr>
      </w:pPr>
      <w:r>
        <w:rPr>
          <w:rFonts w:hint="eastAsia"/>
        </w:rPr>
        <w:t>【生态环境建设】</w:t>
      </w:r>
    </w:p>
    <w:p w14:paraId="14E68C87">
      <w:r>
        <w:t>2013年实地勘</w:t>
      </w:r>
      <w:r>
        <w:rPr>
          <w:rFonts w:hint="eastAsia"/>
          <w:lang w:eastAsia="zh-CN"/>
        </w:rPr>
        <w:t>查</w:t>
      </w:r>
      <w:r>
        <w:t>碳汇林工程造</w:t>
      </w:r>
      <w:r>
        <w:rPr>
          <w:rFonts w:hint="eastAsia"/>
        </w:rPr>
        <w:t>林</w:t>
      </w:r>
      <w:r>
        <w:t>2000余亩的规划，残次林改造1000余亩，完成</w:t>
      </w:r>
      <w:r>
        <w:rPr>
          <w:rFonts w:hint="eastAsia"/>
        </w:rPr>
        <w:t>绿化美化万村绿</w:t>
      </w:r>
      <w:r>
        <w:t>4个点，生态公益林补偿资金按时</w:t>
      </w:r>
      <w:r>
        <w:rPr>
          <w:rFonts w:hint="eastAsia"/>
        </w:rPr>
        <w:t>发放，制表造册率达</w:t>
      </w:r>
      <w:r>
        <w:t>95%。</w:t>
      </w:r>
      <w:r>
        <w:rPr>
          <w:rFonts w:hint="eastAsia"/>
          <w:lang w:eastAsia="zh-CN"/>
        </w:rPr>
        <w:t>查</w:t>
      </w:r>
      <w:r>
        <w:t>处林业违法案件11</w:t>
      </w:r>
      <w:r>
        <w:rPr>
          <w:rFonts w:hint="eastAsia"/>
        </w:rPr>
        <w:t>宗，其中刑事拘留</w:t>
      </w:r>
      <w:r>
        <w:t>1人。加大防火宣传力度，张贴</w:t>
      </w:r>
      <w:r>
        <w:rPr>
          <w:rFonts w:hint="eastAsia"/>
        </w:rPr>
        <w:t>悬挂宣传标语</w:t>
      </w:r>
      <w:r>
        <w:t>300多张，发放宣传单2000余份。</w:t>
      </w:r>
    </w:p>
    <w:p w14:paraId="17C6D01D">
      <w:pPr>
        <w:pStyle w:val="4"/>
        <w:bidi w:val="0"/>
        <w:rPr>
          <w:rFonts w:hint="eastAsia"/>
        </w:rPr>
      </w:pPr>
      <w:r>
        <w:rPr>
          <w:rFonts w:hint="eastAsia"/>
        </w:rPr>
        <w:t>【文化教育事业】</w:t>
      </w:r>
    </w:p>
    <w:p w14:paraId="482E74EC">
      <w:pPr>
        <w:rPr>
          <w:rFonts w:hint="eastAsia"/>
        </w:rPr>
      </w:pPr>
      <w:r>
        <w:rPr>
          <w:rFonts w:hint="eastAsia"/>
        </w:rPr>
        <w:t>引进外资</w:t>
      </w:r>
      <w:r>
        <w:t>60万元建设大坊金城</w:t>
      </w:r>
      <w:r>
        <w:rPr>
          <w:rFonts w:hint="eastAsia"/>
        </w:rPr>
        <w:t>希望小学新教学楼，自筹资金</w:t>
      </w:r>
      <w:r>
        <w:t>20万元建设百罗村</w:t>
      </w:r>
      <w:r>
        <w:rPr>
          <w:rFonts w:hint="eastAsia"/>
        </w:rPr>
        <w:t>小学教师公寓。</w:t>
      </w:r>
    </w:p>
    <w:p w14:paraId="6A038FC5">
      <w:pPr>
        <w:pStyle w:val="4"/>
        <w:bidi w:val="0"/>
        <w:rPr>
          <w:rFonts w:hint="eastAsia"/>
        </w:rPr>
      </w:pPr>
      <w:r>
        <w:rPr>
          <w:rFonts w:hint="eastAsia"/>
        </w:rPr>
        <w:t>【计划生育工作】</w:t>
      </w:r>
    </w:p>
    <w:p w14:paraId="63D7BDAC">
      <w:r>
        <w:t>2013年度作为数据调整后的第</w:t>
      </w:r>
      <w:r>
        <w:rPr>
          <w:rFonts w:hint="eastAsia"/>
          <w:lang w:val="en-US" w:eastAsia="zh-CN"/>
        </w:rPr>
        <w:t>一</w:t>
      </w:r>
      <w:r>
        <w:rPr>
          <w:rFonts w:hint="eastAsia"/>
        </w:rPr>
        <w:t>年，</w:t>
      </w:r>
      <w:r>
        <w:t>2013年全镇人口计划生育率达70.91%。</w:t>
      </w:r>
    </w:p>
    <w:p w14:paraId="75B664B2">
      <w:pPr>
        <w:pStyle w:val="4"/>
        <w:bidi w:val="0"/>
        <w:rPr>
          <w:rFonts w:hint="eastAsia"/>
        </w:rPr>
      </w:pPr>
      <w:r>
        <w:rPr>
          <w:rFonts w:hint="eastAsia"/>
        </w:rPr>
        <w:t>【新农村文体艺术节】</w:t>
      </w:r>
    </w:p>
    <w:p w14:paraId="5A5194C2">
      <w:pPr>
        <w:rPr>
          <w:rFonts w:hint="eastAsia"/>
        </w:rPr>
      </w:pPr>
      <w:r>
        <w:t>2013年1月，界址镇第</w:t>
      </w:r>
      <w:r>
        <w:rPr>
          <w:rFonts w:hint="eastAsia"/>
          <w:lang w:val="en-US" w:eastAsia="zh-CN"/>
        </w:rPr>
        <w:t>二</w:t>
      </w:r>
      <w:r>
        <w:rPr>
          <w:rFonts w:hint="eastAsia"/>
        </w:rPr>
        <w:t>届“新农村文体艺术节”举行，镇村、机关单位干部职工以及当地群众近</w:t>
      </w:r>
      <w:r>
        <w:t>500人参加艺术节，比赛项</w:t>
      </w:r>
      <w:r>
        <w:rPr>
          <w:rFonts w:hint="eastAsia"/>
        </w:rPr>
        <w:t>目种类繁多，有篮球、乒乓球、拔河、棋艺等。</w:t>
      </w:r>
    </w:p>
    <w:p w14:paraId="5119A562">
      <w:pPr>
        <w:pStyle w:val="4"/>
        <w:bidi w:val="0"/>
        <w:rPr>
          <w:rFonts w:hint="eastAsia"/>
          <w:lang w:eastAsia="zh-CN"/>
        </w:rPr>
      </w:pPr>
      <w:r>
        <w:rPr>
          <w:rFonts w:hint="eastAsia"/>
        </w:rPr>
        <w:t>【各村委会（社区）基本情况</w:t>
      </w:r>
      <w:r>
        <w:rPr>
          <w:rFonts w:hint="eastAsia"/>
          <w:lang w:eastAsia="zh-CN"/>
        </w:rPr>
        <w:t>】</w:t>
      </w:r>
    </w:p>
    <w:p w14:paraId="6614C5B9">
      <w:pPr>
        <w:pStyle w:val="10"/>
        <w:bidi w:val="0"/>
        <w:jc w:val="center"/>
        <w:rPr>
          <w:rFonts w:hint="eastAsia"/>
          <w:b/>
          <w:bCs/>
        </w:rPr>
      </w:pPr>
      <w:r>
        <w:rPr>
          <w:rFonts w:hint="eastAsia"/>
          <w:b/>
          <w:bCs/>
        </w:rPr>
        <w:t>2013年界址镇各村委会（社区）基本情况表</w:t>
      </w:r>
    </w:p>
    <w:p w14:paraId="42885B40">
      <w:pPr>
        <w:bidi w:val="0"/>
        <w:rPr>
          <w:rFonts w:hint="default"/>
          <w:lang w:val="en-US" w:eastAsia="zh-CN"/>
        </w:rPr>
      </w:pPr>
      <w:r>
        <w:rPr>
          <w:rFonts w:hint="eastAsia"/>
          <w:lang w:val="en-US" w:eastAsia="zh-CN"/>
        </w:rPr>
        <w:t>表38</w:t>
      </w:r>
    </w:p>
    <w:tbl>
      <w:tblPr>
        <w:tblStyle w:val="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6"/>
        <w:gridCol w:w="1655"/>
        <w:gridCol w:w="1362"/>
        <w:gridCol w:w="1320"/>
        <w:gridCol w:w="1344"/>
        <w:gridCol w:w="1898"/>
        <w:gridCol w:w="1617"/>
      </w:tblGrid>
      <w:tr w14:paraId="32F23C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4" w:type="pct"/>
            <w:tcBorders>
              <w:top w:val="single" w:color="000000" w:sz="8" w:space="0"/>
              <w:left w:val="nil"/>
              <w:bottom w:val="single" w:color="000000" w:sz="8" w:space="0"/>
              <w:right w:val="single" w:color="000000" w:sz="8" w:space="0"/>
            </w:tcBorders>
            <w:shd w:val="clear" w:color="auto" w:fill="FFFFFF"/>
            <w:vAlign w:val="center"/>
          </w:tcPr>
          <w:p w14:paraId="205A7BB0">
            <w:pPr>
              <w:ind w:firstLine="0" w:firstLineChars="0"/>
              <w:jc w:val="center"/>
              <w:rPr>
                <w:rFonts w:hint="eastAsia"/>
                <w:b/>
                <w:bCs/>
                <w:color w:val="000000"/>
                <w:vertAlign w:val="baseline"/>
              </w:rPr>
            </w:pPr>
            <w:r>
              <w:rPr>
                <w:rFonts w:hint="eastAsia"/>
                <w:b/>
                <w:bCs/>
                <w:color w:val="000000"/>
              </w:rPr>
              <w:t>序号</w:t>
            </w:r>
          </w:p>
        </w:tc>
        <w:tc>
          <w:tcPr>
            <w:tcW w:w="830"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E088F45">
            <w:pPr>
              <w:ind w:firstLine="0" w:firstLineChars="0"/>
              <w:jc w:val="center"/>
              <w:rPr>
                <w:rFonts w:hint="eastAsia"/>
                <w:b/>
                <w:bCs/>
                <w:color w:val="000000"/>
                <w:vertAlign w:val="baseline"/>
              </w:rPr>
            </w:pPr>
            <w:r>
              <w:rPr>
                <w:rFonts w:hint="eastAsia"/>
                <w:b/>
                <w:bCs/>
                <w:color w:val="000000"/>
              </w:rPr>
              <w:t>村（社区）委会</w:t>
            </w:r>
          </w:p>
        </w:tc>
        <w:tc>
          <w:tcPr>
            <w:tcW w:w="68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CC1D9A3">
            <w:pPr>
              <w:ind w:firstLine="0" w:firstLineChars="0"/>
              <w:jc w:val="center"/>
              <w:rPr>
                <w:rFonts w:hint="eastAsia"/>
                <w:b/>
                <w:bCs/>
                <w:color w:val="000000"/>
                <w:vertAlign w:val="baseline"/>
              </w:rPr>
            </w:pPr>
            <w:r>
              <w:rPr>
                <w:rFonts w:hint="eastAsia"/>
                <w:b/>
                <w:bCs/>
                <w:color w:val="000000"/>
              </w:rPr>
              <w:t>村小组（个）</w:t>
            </w:r>
          </w:p>
        </w:tc>
        <w:tc>
          <w:tcPr>
            <w:tcW w:w="66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3500C4C">
            <w:pPr>
              <w:ind w:firstLine="0" w:firstLineChars="0"/>
              <w:jc w:val="center"/>
              <w:rPr>
                <w:rFonts w:hint="eastAsia"/>
                <w:b/>
                <w:bCs/>
                <w:color w:val="000000"/>
                <w:vertAlign w:val="baseline"/>
              </w:rPr>
            </w:pPr>
            <w:r>
              <w:rPr>
                <w:rFonts w:hint="eastAsia"/>
                <w:b/>
                <w:bCs/>
                <w:color w:val="000000"/>
              </w:rPr>
              <w:t>总户数（户）</w:t>
            </w:r>
          </w:p>
        </w:tc>
        <w:tc>
          <w:tcPr>
            <w:tcW w:w="674"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0D5F111">
            <w:pPr>
              <w:ind w:firstLine="0" w:firstLineChars="0"/>
              <w:jc w:val="center"/>
              <w:rPr>
                <w:rFonts w:hint="eastAsia"/>
                <w:b/>
                <w:bCs/>
                <w:color w:val="000000"/>
                <w:vertAlign w:val="baseline"/>
              </w:rPr>
            </w:pPr>
            <w:r>
              <w:rPr>
                <w:rFonts w:hint="eastAsia"/>
                <w:b/>
                <w:bCs/>
                <w:color w:val="000000"/>
              </w:rPr>
              <w:t>总人口（人）</w:t>
            </w:r>
          </w:p>
        </w:tc>
        <w:tc>
          <w:tcPr>
            <w:tcW w:w="95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E080453">
            <w:pPr>
              <w:ind w:firstLine="0" w:firstLineChars="0"/>
              <w:jc w:val="center"/>
              <w:rPr>
                <w:rFonts w:hint="eastAsia"/>
                <w:b/>
                <w:bCs/>
                <w:color w:val="000000"/>
                <w:vertAlign w:val="baseline"/>
              </w:rPr>
            </w:pPr>
            <w:r>
              <w:rPr>
                <w:rFonts w:hint="eastAsia"/>
                <w:b/>
                <w:bCs/>
                <w:color w:val="000000"/>
              </w:rPr>
              <w:t>耕地面积（亩）</w:t>
            </w:r>
          </w:p>
        </w:tc>
        <w:tc>
          <w:tcPr>
            <w:tcW w:w="811" w:type="pct"/>
            <w:tcBorders>
              <w:top w:val="single" w:color="000000" w:sz="8" w:space="0"/>
              <w:left w:val="single" w:color="000000" w:sz="8" w:space="0"/>
              <w:bottom w:val="single" w:color="000000" w:sz="8" w:space="0"/>
              <w:right w:val="nil"/>
            </w:tcBorders>
            <w:shd w:val="clear" w:color="auto" w:fill="FFFFFF"/>
            <w:vAlign w:val="center"/>
          </w:tcPr>
          <w:p w14:paraId="2CBDBD59">
            <w:pPr>
              <w:ind w:firstLine="0" w:firstLineChars="0"/>
              <w:jc w:val="center"/>
              <w:rPr>
                <w:rFonts w:hint="eastAsia"/>
                <w:b/>
                <w:bCs/>
                <w:color w:val="000000"/>
                <w:vertAlign w:val="baseline"/>
              </w:rPr>
            </w:pPr>
            <w:r>
              <w:rPr>
                <w:rFonts w:hint="eastAsia"/>
                <w:b/>
                <w:bCs/>
                <w:color w:val="000000"/>
              </w:rPr>
              <w:t>水田面积（亩）</w:t>
            </w:r>
          </w:p>
        </w:tc>
      </w:tr>
      <w:tr w14:paraId="251296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4" w:type="pct"/>
            <w:tcBorders>
              <w:top w:val="single" w:color="000000" w:sz="8" w:space="0"/>
              <w:left w:val="nil"/>
              <w:bottom w:val="single" w:color="000000" w:sz="8" w:space="0"/>
              <w:right w:val="single" w:color="000000" w:sz="8" w:space="0"/>
            </w:tcBorders>
            <w:shd w:val="clear" w:color="auto" w:fill="FFFFFF"/>
            <w:vAlign w:val="center"/>
          </w:tcPr>
          <w:p w14:paraId="0C3ED669">
            <w:pPr>
              <w:ind w:firstLine="0" w:firstLineChars="0"/>
              <w:jc w:val="center"/>
              <w:rPr>
                <w:rFonts w:hint="eastAsia"/>
                <w:color w:val="000000"/>
                <w:vertAlign w:val="baseline"/>
              </w:rPr>
            </w:pPr>
            <w:r>
              <w:rPr>
                <w:rFonts w:hint="eastAsia"/>
                <w:color w:val="000000"/>
              </w:rPr>
              <w:t>1</w:t>
            </w:r>
          </w:p>
        </w:tc>
        <w:tc>
          <w:tcPr>
            <w:tcW w:w="830"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8D3BC42">
            <w:pPr>
              <w:ind w:firstLine="0" w:firstLineChars="0"/>
              <w:jc w:val="center"/>
              <w:rPr>
                <w:rFonts w:hint="eastAsia"/>
                <w:color w:val="000000"/>
                <w:vertAlign w:val="baseline"/>
              </w:rPr>
            </w:pPr>
            <w:r>
              <w:rPr>
                <w:rFonts w:hint="eastAsia"/>
                <w:color w:val="000000"/>
              </w:rPr>
              <w:t>下屋</w:t>
            </w:r>
          </w:p>
        </w:tc>
        <w:tc>
          <w:tcPr>
            <w:tcW w:w="68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37385F7">
            <w:pPr>
              <w:ind w:firstLine="0" w:firstLineChars="0"/>
              <w:jc w:val="center"/>
              <w:rPr>
                <w:rFonts w:hint="eastAsia"/>
                <w:color w:val="000000"/>
                <w:vertAlign w:val="baseline"/>
              </w:rPr>
            </w:pPr>
            <w:r>
              <w:rPr>
                <w:rFonts w:hint="eastAsia"/>
                <w:color w:val="000000"/>
              </w:rPr>
              <w:t>9</w:t>
            </w:r>
          </w:p>
        </w:tc>
        <w:tc>
          <w:tcPr>
            <w:tcW w:w="66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AB5D8D8">
            <w:pPr>
              <w:ind w:firstLine="0" w:firstLineChars="0"/>
              <w:jc w:val="center"/>
              <w:rPr>
                <w:rFonts w:hint="eastAsia"/>
                <w:color w:val="000000"/>
                <w:vertAlign w:val="baseline"/>
              </w:rPr>
            </w:pPr>
            <w:r>
              <w:rPr>
                <w:rFonts w:hint="eastAsia"/>
                <w:color w:val="000000"/>
              </w:rPr>
              <w:t>296</w:t>
            </w:r>
          </w:p>
        </w:tc>
        <w:tc>
          <w:tcPr>
            <w:tcW w:w="674"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2AB972D">
            <w:pPr>
              <w:ind w:firstLine="0" w:firstLineChars="0"/>
              <w:jc w:val="center"/>
              <w:rPr>
                <w:rFonts w:hint="eastAsia"/>
                <w:color w:val="000000"/>
                <w:vertAlign w:val="baseline"/>
              </w:rPr>
            </w:pPr>
            <w:r>
              <w:rPr>
                <w:rFonts w:hint="eastAsia"/>
                <w:color w:val="000000"/>
              </w:rPr>
              <w:t>1170</w:t>
            </w:r>
          </w:p>
        </w:tc>
        <w:tc>
          <w:tcPr>
            <w:tcW w:w="95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DC8C0D4">
            <w:pPr>
              <w:ind w:firstLine="0" w:firstLineChars="0"/>
              <w:jc w:val="center"/>
              <w:rPr>
                <w:rFonts w:hint="eastAsia"/>
                <w:color w:val="000000"/>
                <w:vertAlign w:val="baseline"/>
              </w:rPr>
            </w:pPr>
            <w:r>
              <w:rPr>
                <w:rFonts w:hint="eastAsia"/>
                <w:color w:val="000000"/>
              </w:rPr>
              <w:t>980</w:t>
            </w:r>
          </w:p>
        </w:tc>
        <w:tc>
          <w:tcPr>
            <w:tcW w:w="811" w:type="pct"/>
            <w:tcBorders>
              <w:top w:val="single" w:color="000000" w:sz="8" w:space="0"/>
              <w:left w:val="single" w:color="000000" w:sz="8" w:space="0"/>
              <w:bottom w:val="single" w:color="000000" w:sz="8" w:space="0"/>
              <w:right w:val="nil"/>
            </w:tcBorders>
            <w:shd w:val="clear" w:color="auto" w:fill="FFFFFF"/>
            <w:vAlign w:val="center"/>
          </w:tcPr>
          <w:p w14:paraId="104B1D33">
            <w:pPr>
              <w:ind w:firstLine="0" w:firstLineChars="0"/>
              <w:jc w:val="center"/>
              <w:rPr>
                <w:rFonts w:hint="eastAsia"/>
                <w:color w:val="000000"/>
                <w:vertAlign w:val="baseline"/>
              </w:rPr>
            </w:pPr>
            <w:r>
              <w:rPr>
                <w:rFonts w:hint="eastAsia"/>
                <w:color w:val="000000"/>
              </w:rPr>
              <w:t>900</w:t>
            </w:r>
          </w:p>
        </w:tc>
      </w:tr>
      <w:tr w14:paraId="57224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4" w:type="pct"/>
            <w:tcBorders>
              <w:top w:val="single" w:color="000000" w:sz="8" w:space="0"/>
              <w:left w:val="nil"/>
              <w:bottom w:val="single" w:color="000000" w:sz="8" w:space="0"/>
              <w:right w:val="single" w:color="000000" w:sz="8" w:space="0"/>
            </w:tcBorders>
            <w:shd w:val="clear" w:color="auto" w:fill="FFFFFF"/>
            <w:vAlign w:val="center"/>
          </w:tcPr>
          <w:p w14:paraId="7548D7F7">
            <w:pPr>
              <w:ind w:firstLine="0" w:firstLineChars="0"/>
              <w:jc w:val="center"/>
              <w:rPr>
                <w:rFonts w:hint="eastAsia"/>
                <w:color w:val="000000"/>
                <w:vertAlign w:val="baseline"/>
              </w:rPr>
            </w:pPr>
            <w:r>
              <w:rPr>
                <w:rFonts w:hint="eastAsia"/>
                <w:color w:val="000000"/>
              </w:rPr>
              <w:t>2</w:t>
            </w:r>
          </w:p>
        </w:tc>
        <w:tc>
          <w:tcPr>
            <w:tcW w:w="830"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BED46A7">
            <w:pPr>
              <w:ind w:firstLine="0" w:firstLineChars="0"/>
              <w:jc w:val="center"/>
              <w:rPr>
                <w:rFonts w:hint="eastAsia"/>
                <w:color w:val="000000"/>
                <w:vertAlign w:val="baseline"/>
              </w:rPr>
            </w:pPr>
            <w:r>
              <w:rPr>
                <w:rFonts w:hint="eastAsia"/>
                <w:color w:val="000000"/>
              </w:rPr>
              <w:t>崇化</w:t>
            </w:r>
          </w:p>
        </w:tc>
        <w:tc>
          <w:tcPr>
            <w:tcW w:w="68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199E11E">
            <w:pPr>
              <w:ind w:firstLine="0" w:firstLineChars="0"/>
              <w:jc w:val="center"/>
              <w:rPr>
                <w:rFonts w:hint="eastAsia"/>
                <w:color w:val="000000"/>
                <w:vertAlign w:val="baseline"/>
              </w:rPr>
            </w:pPr>
            <w:r>
              <w:rPr>
                <w:rFonts w:hint="eastAsia"/>
                <w:color w:val="000000"/>
              </w:rPr>
              <w:t>5</w:t>
            </w:r>
          </w:p>
        </w:tc>
        <w:tc>
          <w:tcPr>
            <w:tcW w:w="66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E674A1D">
            <w:pPr>
              <w:ind w:firstLine="0" w:firstLineChars="0"/>
              <w:jc w:val="center"/>
              <w:rPr>
                <w:rFonts w:hint="eastAsia"/>
                <w:color w:val="000000"/>
                <w:vertAlign w:val="baseline"/>
              </w:rPr>
            </w:pPr>
            <w:r>
              <w:rPr>
                <w:rFonts w:hint="eastAsia"/>
                <w:color w:val="000000"/>
              </w:rPr>
              <w:t>522</w:t>
            </w:r>
          </w:p>
        </w:tc>
        <w:tc>
          <w:tcPr>
            <w:tcW w:w="674"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A825213">
            <w:pPr>
              <w:ind w:firstLine="0" w:firstLineChars="0"/>
              <w:jc w:val="center"/>
              <w:rPr>
                <w:rFonts w:hint="eastAsia"/>
                <w:color w:val="000000"/>
                <w:vertAlign w:val="baseline"/>
              </w:rPr>
            </w:pPr>
            <w:r>
              <w:rPr>
                <w:rFonts w:hint="eastAsia"/>
                <w:color w:val="000000"/>
              </w:rPr>
              <w:t>1943</w:t>
            </w:r>
          </w:p>
        </w:tc>
        <w:tc>
          <w:tcPr>
            <w:tcW w:w="95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224C3F2">
            <w:pPr>
              <w:ind w:firstLine="0" w:firstLineChars="0"/>
              <w:jc w:val="center"/>
              <w:rPr>
                <w:rFonts w:hint="eastAsia"/>
                <w:color w:val="000000"/>
                <w:vertAlign w:val="baseline"/>
              </w:rPr>
            </w:pPr>
            <w:r>
              <w:rPr>
                <w:rFonts w:hint="eastAsia"/>
                <w:color w:val="000000"/>
              </w:rPr>
              <w:t>1668</w:t>
            </w:r>
          </w:p>
        </w:tc>
        <w:tc>
          <w:tcPr>
            <w:tcW w:w="811" w:type="pct"/>
            <w:tcBorders>
              <w:top w:val="single" w:color="000000" w:sz="8" w:space="0"/>
              <w:left w:val="single" w:color="000000" w:sz="8" w:space="0"/>
              <w:bottom w:val="single" w:color="000000" w:sz="8" w:space="0"/>
              <w:right w:val="nil"/>
            </w:tcBorders>
            <w:shd w:val="clear" w:color="auto" w:fill="FFFFFF"/>
            <w:vAlign w:val="center"/>
          </w:tcPr>
          <w:p w14:paraId="148C5977">
            <w:pPr>
              <w:ind w:firstLine="0" w:firstLineChars="0"/>
              <w:jc w:val="center"/>
              <w:rPr>
                <w:rFonts w:hint="eastAsia"/>
                <w:color w:val="000000"/>
                <w:vertAlign w:val="baseline"/>
              </w:rPr>
            </w:pPr>
            <w:r>
              <w:rPr>
                <w:rFonts w:hint="eastAsia"/>
                <w:color w:val="000000"/>
              </w:rPr>
              <w:t>1418</w:t>
            </w:r>
          </w:p>
        </w:tc>
      </w:tr>
      <w:tr w14:paraId="5EFE01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4" w:type="pct"/>
            <w:tcBorders>
              <w:top w:val="single" w:color="000000" w:sz="8" w:space="0"/>
              <w:left w:val="nil"/>
              <w:bottom w:val="single" w:color="000000" w:sz="8" w:space="0"/>
              <w:right w:val="single" w:color="000000" w:sz="8" w:space="0"/>
            </w:tcBorders>
            <w:shd w:val="clear" w:color="auto" w:fill="FFFFFF"/>
            <w:vAlign w:val="center"/>
          </w:tcPr>
          <w:p w14:paraId="378CF818">
            <w:pPr>
              <w:ind w:firstLine="0" w:firstLineChars="0"/>
              <w:jc w:val="center"/>
              <w:rPr>
                <w:rFonts w:hint="eastAsia"/>
                <w:color w:val="000000"/>
                <w:vertAlign w:val="baseline"/>
              </w:rPr>
            </w:pPr>
            <w:r>
              <w:rPr>
                <w:rFonts w:hint="eastAsia"/>
                <w:color w:val="000000"/>
              </w:rPr>
              <w:t>3</w:t>
            </w:r>
          </w:p>
        </w:tc>
        <w:tc>
          <w:tcPr>
            <w:tcW w:w="830"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B641A4C">
            <w:pPr>
              <w:ind w:firstLine="0" w:firstLineChars="0"/>
              <w:jc w:val="center"/>
              <w:rPr>
                <w:rFonts w:hint="eastAsia"/>
                <w:color w:val="000000"/>
                <w:vertAlign w:val="baseline"/>
              </w:rPr>
            </w:pPr>
            <w:r>
              <w:rPr>
                <w:rFonts w:hint="eastAsia"/>
                <w:color w:val="000000"/>
              </w:rPr>
              <w:t>赵屋</w:t>
            </w:r>
          </w:p>
        </w:tc>
        <w:tc>
          <w:tcPr>
            <w:tcW w:w="68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FB4A871">
            <w:pPr>
              <w:ind w:firstLine="0" w:firstLineChars="0"/>
              <w:jc w:val="center"/>
              <w:rPr>
                <w:rFonts w:hint="eastAsia"/>
                <w:color w:val="000000"/>
                <w:vertAlign w:val="baseline"/>
              </w:rPr>
            </w:pPr>
            <w:r>
              <w:rPr>
                <w:rFonts w:hint="eastAsia"/>
                <w:color w:val="000000"/>
              </w:rPr>
              <w:t>6</w:t>
            </w:r>
          </w:p>
        </w:tc>
        <w:tc>
          <w:tcPr>
            <w:tcW w:w="66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32947B6">
            <w:pPr>
              <w:ind w:firstLine="0" w:firstLineChars="0"/>
              <w:jc w:val="center"/>
              <w:rPr>
                <w:rFonts w:hint="eastAsia"/>
                <w:color w:val="000000"/>
                <w:vertAlign w:val="baseline"/>
              </w:rPr>
            </w:pPr>
            <w:r>
              <w:rPr>
                <w:rFonts w:hint="eastAsia"/>
                <w:color w:val="000000"/>
              </w:rPr>
              <w:t>523</w:t>
            </w:r>
          </w:p>
        </w:tc>
        <w:tc>
          <w:tcPr>
            <w:tcW w:w="674"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64C324E">
            <w:pPr>
              <w:ind w:firstLine="0" w:firstLineChars="0"/>
              <w:jc w:val="center"/>
              <w:rPr>
                <w:rFonts w:hint="eastAsia"/>
                <w:color w:val="000000"/>
                <w:vertAlign w:val="baseline"/>
              </w:rPr>
            </w:pPr>
            <w:r>
              <w:rPr>
                <w:rFonts w:hint="eastAsia"/>
                <w:color w:val="000000"/>
              </w:rPr>
              <w:t>2178</w:t>
            </w:r>
          </w:p>
        </w:tc>
        <w:tc>
          <w:tcPr>
            <w:tcW w:w="95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DECB6DF">
            <w:pPr>
              <w:ind w:firstLine="0" w:firstLineChars="0"/>
              <w:jc w:val="center"/>
              <w:rPr>
                <w:rFonts w:hint="eastAsia"/>
                <w:color w:val="000000"/>
                <w:vertAlign w:val="baseline"/>
              </w:rPr>
            </w:pPr>
            <w:r>
              <w:rPr>
                <w:rFonts w:hint="eastAsia"/>
                <w:color w:val="000000"/>
              </w:rPr>
              <w:t>1458</w:t>
            </w:r>
          </w:p>
        </w:tc>
        <w:tc>
          <w:tcPr>
            <w:tcW w:w="811" w:type="pct"/>
            <w:tcBorders>
              <w:top w:val="single" w:color="000000" w:sz="8" w:space="0"/>
              <w:left w:val="single" w:color="000000" w:sz="8" w:space="0"/>
              <w:bottom w:val="single" w:color="000000" w:sz="8" w:space="0"/>
              <w:right w:val="nil"/>
            </w:tcBorders>
            <w:shd w:val="clear" w:color="auto" w:fill="FFFFFF"/>
            <w:vAlign w:val="center"/>
          </w:tcPr>
          <w:p w14:paraId="615594B2">
            <w:pPr>
              <w:ind w:firstLine="0" w:firstLineChars="0"/>
              <w:jc w:val="center"/>
              <w:rPr>
                <w:rFonts w:hint="eastAsia"/>
                <w:color w:val="000000"/>
                <w:vertAlign w:val="baseline"/>
              </w:rPr>
            </w:pPr>
            <w:r>
              <w:rPr>
                <w:rFonts w:hint="eastAsia"/>
                <w:color w:val="000000"/>
              </w:rPr>
              <w:t>1103</w:t>
            </w:r>
          </w:p>
        </w:tc>
      </w:tr>
      <w:tr w14:paraId="7E8A4B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4" w:type="pct"/>
            <w:tcBorders>
              <w:top w:val="single" w:color="000000" w:sz="8" w:space="0"/>
              <w:left w:val="nil"/>
              <w:bottom w:val="single" w:color="000000" w:sz="8" w:space="0"/>
              <w:right w:val="single" w:color="000000" w:sz="8" w:space="0"/>
            </w:tcBorders>
            <w:shd w:val="clear" w:color="auto" w:fill="FFFFFF"/>
            <w:vAlign w:val="center"/>
          </w:tcPr>
          <w:p w14:paraId="3EEF9809">
            <w:pPr>
              <w:ind w:firstLine="0" w:firstLineChars="0"/>
              <w:jc w:val="center"/>
              <w:rPr>
                <w:rFonts w:hint="eastAsia"/>
                <w:color w:val="000000"/>
                <w:vertAlign w:val="baseline"/>
              </w:rPr>
            </w:pPr>
            <w:r>
              <w:rPr>
                <w:rFonts w:hint="eastAsia"/>
                <w:color w:val="000000"/>
              </w:rPr>
              <w:t>4</w:t>
            </w:r>
          </w:p>
        </w:tc>
        <w:tc>
          <w:tcPr>
            <w:tcW w:w="830"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2880577">
            <w:pPr>
              <w:ind w:firstLine="0" w:firstLineChars="0"/>
              <w:jc w:val="center"/>
              <w:rPr>
                <w:rFonts w:hint="eastAsia"/>
                <w:color w:val="000000"/>
                <w:vertAlign w:val="baseline"/>
              </w:rPr>
            </w:pPr>
            <w:r>
              <w:rPr>
                <w:rFonts w:hint="eastAsia"/>
                <w:color w:val="000000"/>
              </w:rPr>
              <w:t>界址</w:t>
            </w:r>
          </w:p>
        </w:tc>
        <w:tc>
          <w:tcPr>
            <w:tcW w:w="68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20689DA">
            <w:pPr>
              <w:ind w:firstLine="0" w:firstLineChars="0"/>
              <w:jc w:val="center"/>
              <w:rPr>
                <w:rFonts w:hint="eastAsia"/>
                <w:color w:val="000000"/>
                <w:vertAlign w:val="baseline"/>
              </w:rPr>
            </w:pPr>
            <w:r>
              <w:rPr>
                <w:rFonts w:hint="eastAsia"/>
                <w:color w:val="000000"/>
              </w:rPr>
              <w:t>12</w:t>
            </w:r>
          </w:p>
        </w:tc>
        <w:tc>
          <w:tcPr>
            <w:tcW w:w="66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A01C1DA">
            <w:pPr>
              <w:ind w:firstLine="0" w:firstLineChars="0"/>
              <w:jc w:val="center"/>
              <w:rPr>
                <w:rFonts w:hint="eastAsia"/>
                <w:color w:val="000000"/>
                <w:vertAlign w:val="baseline"/>
              </w:rPr>
            </w:pPr>
            <w:r>
              <w:rPr>
                <w:rFonts w:hint="eastAsia"/>
                <w:color w:val="000000"/>
              </w:rPr>
              <w:t>571</w:t>
            </w:r>
          </w:p>
        </w:tc>
        <w:tc>
          <w:tcPr>
            <w:tcW w:w="674"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24CA6C6">
            <w:pPr>
              <w:ind w:firstLine="0" w:firstLineChars="0"/>
              <w:jc w:val="center"/>
              <w:rPr>
                <w:rFonts w:hint="eastAsia"/>
                <w:color w:val="000000"/>
                <w:vertAlign w:val="baseline"/>
              </w:rPr>
            </w:pPr>
            <w:r>
              <w:rPr>
                <w:rFonts w:hint="eastAsia"/>
                <w:color w:val="000000"/>
              </w:rPr>
              <w:t>2481</w:t>
            </w:r>
          </w:p>
        </w:tc>
        <w:tc>
          <w:tcPr>
            <w:tcW w:w="95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4AAA4C1">
            <w:pPr>
              <w:ind w:firstLine="0" w:firstLineChars="0"/>
              <w:jc w:val="center"/>
              <w:rPr>
                <w:rFonts w:hint="eastAsia"/>
                <w:color w:val="000000"/>
                <w:vertAlign w:val="baseline"/>
              </w:rPr>
            </w:pPr>
            <w:r>
              <w:rPr>
                <w:rFonts w:hint="eastAsia"/>
                <w:color w:val="000000"/>
              </w:rPr>
              <w:t>1610</w:t>
            </w:r>
          </w:p>
        </w:tc>
        <w:tc>
          <w:tcPr>
            <w:tcW w:w="811" w:type="pct"/>
            <w:tcBorders>
              <w:top w:val="single" w:color="000000" w:sz="8" w:space="0"/>
              <w:left w:val="single" w:color="000000" w:sz="8" w:space="0"/>
              <w:bottom w:val="single" w:color="000000" w:sz="8" w:space="0"/>
              <w:right w:val="nil"/>
            </w:tcBorders>
            <w:shd w:val="clear" w:color="auto" w:fill="FFFFFF"/>
            <w:vAlign w:val="center"/>
          </w:tcPr>
          <w:p w14:paraId="33438DAC">
            <w:pPr>
              <w:ind w:firstLine="0" w:firstLineChars="0"/>
              <w:jc w:val="center"/>
              <w:rPr>
                <w:rFonts w:hint="eastAsia"/>
                <w:color w:val="000000"/>
                <w:vertAlign w:val="baseline"/>
              </w:rPr>
            </w:pPr>
            <w:r>
              <w:rPr>
                <w:rFonts w:hint="eastAsia"/>
                <w:color w:val="000000"/>
              </w:rPr>
              <w:t>1610</w:t>
            </w:r>
          </w:p>
        </w:tc>
      </w:tr>
      <w:tr w14:paraId="5A4D4E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4" w:type="pct"/>
            <w:tcBorders>
              <w:top w:val="single" w:color="000000" w:sz="8" w:space="0"/>
              <w:left w:val="nil"/>
              <w:bottom w:val="single" w:color="000000" w:sz="8" w:space="0"/>
              <w:right w:val="single" w:color="000000" w:sz="8" w:space="0"/>
            </w:tcBorders>
            <w:shd w:val="clear" w:color="auto" w:fill="FFFFFF"/>
            <w:vAlign w:val="center"/>
          </w:tcPr>
          <w:p w14:paraId="4C2741CC">
            <w:pPr>
              <w:ind w:firstLine="0" w:firstLineChars="0"/>
              <w:jc w:val="center"/>
              <w:rPr>
                <w:rFonts w:hint="eastAsia"/>
                <w:color w:val="000000"/>
                <w:vertAlign w:val="baseline"/>
              </w:rPr>
            </w:pPr>
            <w:r>
              <w:rPr>
                <w:rFonts w:hint="eastAsia"/>
                <w:color w:val="000000"/>
              </w:rPr>
              <w:t>5</w:t>
            </w:r>
          </w:p>
        </w:tc>
        <w:tc>
          <w:tcPr>
            <w:tcW w:w="830"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B933634">
            <w:pPr>
              <w:ind w:firstLine="0" w:firstLineChars="0"/>
              <w:jc w:val="center"/>
              <w:rPr>
                <w:rFonts w:hint="eastAsia"/>
                <w:color w:val="000000"/>
                <w:vertAlign w:val="baseline"/>
              </w:rPr>
            </w:pPr>
            <w:r>
              <w:rPr>
                <w:rFonts w:hint="eastAsia"/>
                <w:color w:val="000000"/>
              </w:rPr>
              <w:t>百罗</w:t>
            </w:r>
          </w:p>
        </w:tc>
        <w:tc>
          <w:tcPr>
            <w:tcW w:w="68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3D9F3D6">
            <w:pPr>
              <w:ind w:firstLine="0" w:firstLineChars="0"/>
              <w:jc w:val="center"/>
              <w:rPr>
                <w:rFonts w:hint="eastAsia"/>
                <w:color w:val="000000"/>
                <w:vertAlign w:val="baseline"/>
              </w:rPr>
            </w:pPr>
            <w:r>
              <w:rPr>
                <w:rFonts w:hint="eastAsia"/>
                <w:color w:val="000000"/>
              </w:rPr>
              <w:t>8</w:t>
            </w:r>
          </w:p>
        </w:tc>
        <w:tc>
          <w:tcPr>
            <w:tcW w:w="66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1D09B1D">
            <w:pPr>
              <w:ind w:firstLine="0" w:firstLineChars="0"/>
              <w:jc w:val="center"/>
              <w:rPr>
                <w:rFonts w:hint="eastAsia"/>
                <w:color w:val="000000"/>
                <w:vertAlign w:val="baseline"/>
              </w:rPr>
            </w:pPr>
            <w:r>
              <w:rPr>
                <w:rFonts w:hint="eastAsia"/>
                <w:color w:val="000000"/>
              </w:rPr>
              <w:t>290</w:t>
            </w:r>
          </w:p>
        </w:tc>
        <w:tc>
          <w:tcPr>
            <w:tcW w:w="674"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7836659">
            <w:pPr>
              <w:ind w:firstLine="0" w:firstLineChars="0"/>
              <w:jc w:val="center"/>
              <w:rPr>
                <w:rFonts w:hint="eastAsia"/>
                <w:color w:val="000000"/>
                <w:vertAlign w:val="baseline"/>
              </w:rPr>
            </w:pPr>
            <w:r>
              <w:rPr>
                <w:rFonts w:hint="eastAsia"/>
                <w:color w:val="000000"/>
              </w:rPr>
              <w:t>1319</w:t>
            </w:r>
          </w:p>
        </w:tc>
        <w:tc>
          <w:tcPr>
            <w:tcW w:w="95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9D65CE3">
            <w:pPr>
              <w:ind w:firstLine="0" w:firstLineChars="0"/>
              <w:jc w:val="center"/>
              <w:rPr>
                <w:rFonts w:hint="eastAsia"/>
                <w:color w:val="000000"/>
                <w:vertAlign w:val="baseline"/>
              </w:rPr>
            </w:pPr>
            <w:r>
              <w:rPr>
                <w:rFonts w:hint="eastAsia"/>
                <w:color w:val="000000"/>
              </w:rPr>
              <w:t>796</w:t>
            </w:r>
          </w:p>
        </w:tc>
        <w:tc>
          <w:tcPr>
            <w:tcW w:w="811" w:type="pct"/>
            <w:tcBorders>
              <w:top w:val="single" w:color="000000" w:sz="8" w:space="0"/>
              <w:left w:val="single" w:color="000000" w:sz="8" w:space="0"/>
              <w:bottom w:val="single" w:color="000000" w:sz="8" w:space="0"/>
              <w:right w:val="nil"/>
            </w:tcBorders>
            <w:shd w:val="clear" w:color="auto" w:fill="FFFFFF"/>
            <w:vAlign w:val="center"/>
          </w:tcPr>
          <w:p w14:paraId="41FBB27D">
            <w:pPr>
              <w:ind w:firstLine="0" w:firstLineChars="0"/>
              <w:jc w:val="center"/>
              <w:rPr>
                <w:rFonts w:hint="eastAsia"/>
                <w:color w:val="000000"/>
                <w:vertAlign w:val="baseline"/>
              </w:rPr>
            </w:pPr>
            <w:r>
              <w:rPr>
                <w:rFonts w:hint="eastAsia"/>
                <w:color w:val="000000"/>
              </w:rPr>
              <w:t>650</w:t>
            </w:r>
          </w:p>
        </w:tc>
      </w:tr>
      <w:tr w14:paraId="4FFADB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4" w:type="pct"/>
            <w:tcBorders>
              <w:top w:val="single" w:color="000000" w:sz="8" w:space="0"/>
              <w:left w:val="nil"/>
              <w:bottom w:val="single" w:color="000000" w:sz="8" w:space="0"/>
              <w:right w:val="single" w:color="000000" w:sz="8" w:space="0"/>
            </w:tcBorders>
            <w:shd w:val="clear" w:color="auto" w:fill="FFFFFF"/>
            <w:vAlign w:val="center"/>
          </w:tcPr>
          <w:p w14:paraId="7CF4522C">
            <w:pPr>
              <w:ind w:firstLine="0" w:firstLineChars="0"/>
              <w:jc w:val="center"/>
              <w:rPr>
                <w:rFonts w:hint="eastAsia"/>
                <w:color w:val="000000"/>
                <w:vertAlign w:val="baseline"/>
              </w:rPr>
            </w:pPr>
            <w:r>
              <w:rPr>
                <w:rFonts w:hint="eastAsia"/>
                <w:color w:val="000000"/>
              </w:rPr>
              <w:t>6</w:t>
            </w:r>
          </w:p>
        </w:tc>
        <w:tc>
          <w:tcPr>
            <w:tcW w:w="830"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5F0FD9B">
            <w:pPr>
              <w:ind w:firstLine="0" w:firstLineChars="0"/>
              <w:jc w:val="center"/>
              <w:rPr>
                <w:rFonts w:hint="eastAsia"/>
                <w:color w:val="000000"/>
                <w:vertAlign w:val="baseline"/>
              </w:rPr>
            </w:pPr>
            <w:r>
              <w:rPr>
                <w:rFonts w:hint="eastAsia"/>
                <w:color w:val="000000"/>
              </w:rPr>
              <w:t>大坑</w:t>
            </w:r>
          </w:p>
        </w:tc>
        <w:tc>
          <w:tcPr>
            <w:tcW w:w="68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350E7AA">
            <w:pPr>
              <w:ind w:firstLine="0" w:firstLineChars="0"/>
              <w:jc w:val="center"/>
              <w:rPr>
                <w:rFonts w:hint="eastAsia"/>
                <w:color w:val="000000"/>
                <w:vertAlign w:val="baseline"/>
              </w:rPr>
            </w:pPr>
            <w:r>
              <w:rPr>
                <w:rFonts w:hint="eastAsia"/>
                <w:color w:val="000000"/>
              </w:rPr>
              <w:t>7</w:t>
            </w:r>
          </w:p>
        </w:tc>
        <w:tc>
          <w:tcPr>
            <w:tcW w:w="66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B995AA6">
            <w:pPr>
              <w:ind w:firstLine="0" w:firstLineChars="0"/>
              <w:jc w:val="center"/>
              <w:rPr>
                <w:rFonts w:hint="eastAsia"/>
                <w:color w:val="000000"/>
                <w:vertAlign w:val="baseline"/>
              </w:rPr>
            </w:pPr>
            <w:r>
              <w:rPr>
                <w:rFonts w:hint="eastAsia"/>
                <w:color w:val="000000"/>
              </w:rPr>
              <w:t>436</w:t>
            </w:r>
          </w:p>
        </w:tc>
        <w:tc>
          <w:tcPr>
            <w:tcW w:w="674"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D45BD14">
            <w:pPr>
              <w:ind w:firstLine="0" w:firstLineChars="0"/>
              <w:jc w:val="center"/>
              <w:rPr>
                <w:rFonts w:hint="eastAsia"/>
                <w:color w:val="000000"/>
                <w:vertAlign w:val="baseline"/>
              </w:rPr>
            </w:pPr>
            <w:r>
              <w:rPr>
                <w:rFonts w:hint="eastAsia"/>
                <w:color w:val="000000"/>
              </w:rPr>
              <w:t>1767</w:t>
            </w:r>
          </w:p>
        </w:tc>
        <w:tc>
          <w:tcPr>
            <w:tcW w:w="95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E59D5BE">
            <w:pPr>
              <w:ind w:firstLine="0" w:firstLineChars="0"/>
              <w:jc w:val="center"/>
              <w:rPr>
                <w:rFonts w:hint="eastAsia"/>
                <w:color w:val="000000"/>
                <w:vertAlign w:val="baseline"/>
              </w:rPr>
            </w:pPr>
            <w:r>
              <w:rPr>
                <w:rFonts w:hint="eastAsia"/>
                <w:color w:val="000000"/>
              </w:rPr>
              <w:t>1107</w:t>
            </w:r>
          </w:p>
        </w:tc>
        <w:tc>
          <w:tcPr>
            <w:tcW w:w="811" w:type="pct"/>
            <w:tcBorders>
              <w:top w:val="single" w:color="000000" w:sz="8" w:space="0"/>
              <w:left w:val="single" w:color="000000" w:sz="8" w:space="0"/>
              <w:bottom w:val="single" w:color="000000" w:sz="8" w:space="0"/>
              <w:right w:val="nil"/>
            </w:tcBorders>
            <w:shd w:val="clear" w:color="auto" w:fill="FFFFFF"/>
            <w:vAlign w:val="center"/>
          </w:tcPr>
          <w:p w14:paraId="2C6F5AD0">
            <w:pPr>
              <w:ind w:firstLine="0" w:firstLineChars="0"/>
              <w:jc w:val="center"/>
              <w:rPr>
                <w:rFonts w:hint="eastAsia"/>
                <w:color w:val="000000"/>
                <w:vertAlign w:val="baseline"/>
              </w:rPr>
            </w:pPr>
            <w:r>
              <w:rPr>
                <w:rFonts w:hint="eastAsia"/>
                <w:color w:val="000000"/>
              </w:rPr>
              <w:t>1071</w:t>
            </w:r>
          </w:p>
        </w:tc>
      </w:tr>
      <w:tr w14:paraId="30B06C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4" w:type="pct"/>
            <w:tcBorders>
              <w:top w:val="single" w:color="000000" w:sz="8" w:space="0"/>
              <w:left w:val="nil"/>
              <w:bottom w:val="single" w:color="000000" w:sz="8" w:space="0"/>
              <w:right w:val="single" w:color="000000" w:sz="8" w:space="0"/>
            </w:tcBorders>
            <w:shd w:val="clear" w:color="auto" w:fill="FFFFFF"/>
            <w:vAlign w:val="center"/>
          </w:tcPr>
          <w:p w14:paraId="0FD85ADF">
            <w:pPr>
              <w:ind w:firstLine="0" w:firstLineChars="0"/>
              <w:jc w:val="center"/>
              <w:rPr>
                <w:rFonts w:hint="eastAsia"/>
                <w:color w:val="000000"/>
                <w:vertAlign w:val="baseline"/>
              </w:rPr>
            </w:pPr>
            <w:r>
              <w:rPr>
                <w:rFonts w:hint="eastAsia"/>
                <w:color w:val="000000"/>
              </w:rPr>
              <w:t>7</w:t>
            </w:r>
          </w:p>
        </w:tc>
        <w:tc>
          <w:tcPr>
            <w:tcW w:w="830"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2325DF0">
            <w:pPr>
              <w:ind w:firstLine="0" w:firstLineChars="0"/>
              <w:jc w:val="center"/>
              <w:rPr>
                <w:rFonts w:hint="eastAsia"/>
                <w:color w:val="000000"/>
                <w:vertAlign w:val="baseline"/>
              </w:rPr>
            </w:pPr>
            <w:r>
              <w:rPr>
                <w:rFonts w:hint="eastAsia"/>
                <w:color w:val="000000"/>
              </w:rPr>
              <w:t>大坊</w:t>
            </w:r>
          </w:p>
        </w:tc>
        <w:tc>
          <w:tcPr>
            <w:tcW w:w="68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8B1B3EA">
            <w:pPr>
              <w:ind w:firstLine="0" w:firstLineChars="0"/>
              <w:jc w:val="center"/>
              <w:rPr>
                <w:rFonts w:hint="eastAsia"/>
                <w:color w:val="000000"/>
                <w:vertAlign w:val="baseline"/>
              </w:rPr>
            </w:pPr>
            <w:r>
              <w:rPr>
                <w:rFonts w:hint="eastAsia"/>
                <w:color w:val="000000"/>
              </w:rPr>
              <w:t>12</w:t>
            </w:r>
          </w:p>
        </w:tc>
        <w:tc>
          <w:tcPr>
            <w:tcW w:w="66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4A21EFD">
            <w:pPr>
              <w:ind w:firstLine="0" w:firstLineChars="0"/>
              <w:jc w:val="center"/>
              <w:rPr>
                <w:rFonts w:hint="eastAsia"/>
                <w:color w:val="000000"/>
                <w:vertAlign w:val="baseline"/>
              </w:rPr>
            </w:pPr>
            <w:r>
              <w:rPr>
                <w:rFonts w:hint="eastAsia"/>
                <w:color w:val="000000"/>
              </w:rPr>
              <w:t>502</w:t>
            </w:r>
          </w:p>
        </w:tc>
        <w:tc>
          <w:tcPr>
            <w:tcW w:w="674"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1D0E96E">
            <w:pPr>
              <w:ind w:firstLine="0" w:firstLineChars="0"/>
              <w:jc w:val="center"/>
              <w:rPr>
                <w:rFonts w:hint="eastAsia"/>
                <w:color w:val="000000"/>
                <w:vertAlign w:val="baseline"/>
              </w:rPr>
            </w:pPr>
            <w:r>
              <w:rPr>
                <w:rFonts w:hint="eastAsia"/>
                <w:color w:val="000000"/>
              </w:rPr>
              <w:t>2057</w:t>
            </w:r>
          </w:p>
        </w:tc>
        <w:tc>
          <w:tcPr>
            <w:tcW w:w="95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B303793">
            <w:pPr>
              <w:ind w:firstLine="0" w:firstLineChars="0"/>
              <w:jc w:val="center"/>
              <w:rPr>
                <w:rFonts w:hint="eastAsia"/>
                <w:color w:val="000000"/>
                <w:vertAlign w:val="baseline"/>
              </w:rPr>
            </w:pPr>
            <w:r>
              <w:rPr>
                <w:rFonts w:hint="eastAsia"/>
                <w:color w:val="000000"/>
              </w:rPr>
              <w:t>1443</w:t>
            </w:r>
          </w:p>
        </w:tc>
        <w:tc>
          <w:tcPr>
            <w:tcW w:w="811" w:type="pct"/>
            <w:tcBorders>
              <w:top w:val="single" w:color="000000" w:sz="8" w:space="0"/>
              <w:left w:val="single" w:color="000000" w:sz="8" w:space="0"/>
              <w:bottom w:val="single" w:color="000000" w:sz="8" w:space="0"/>
              <w:right w:val="nil"/>
            </w:tcBorders>
            <w:shd w:val="clear" w:color="auto" w:fill="FFFFFF"/>
            <w:vAlign w:val="center"/>
          </w:tcPr>
          <w:p w14:paraId="48BE74A3">
            <w:pPr>
              <w:ind w:firstLine="0" w:firstLineChars="0"/>
              <w:jc w:val="center"/>
              <w:rPr>
                <w:rFonts w:hint="eastAsia"/>
                <w:color w:val="000000"/>
                <w:vertAlign w:val="baseline"/>
              </w:rPr>
            </w:pPr>
            <w:r>
              <w:rPr>
                <w:rFonts w:hint="eastAsia"/>
                <w:color w:val="000000"/>
              </w:rPr>
              <w:t>1195</w:t>
            </w:r>
          </w:p>
        </w:tc>
      </w:tr>
      <w:tr w14:paraId="049969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4" w:type="pct"/>
            <w:tcBorders>
              <w:top w:val="single" w:color="000000" w:sz="8" w:space="0"/>
              <w:left w:val="nil"/>
              <w:bottom w:val="single" w:color="000000" w:sz="8" w:space="0"/>
              <w:right w:val="single" w:color="000000" w:sz="8" w:space="0"/>
            </w:tcBorders>
            <w:shd w:val="clear" w:color="auto" w:fill="FFFFFF"/>
            <w:vAlign w:val="center"/>
          </w:tcPr>
          <w:p w14:paraId="60DEE1CA">
            <w:pPr>
              <w:ind w:firstLine="0" w:firstLineChars="0"/>
              <w:jc w:val="center"/>
              <w:rPr>
                <w:rFonts w:hint="eastAsia"/>
                <w:color w:val="000000"/>
                <w:vertAlign w:val="baseline"/>
              </w:rPr>
            </w:pPr>
            <w:r>
              <w:rPr>
                <w:rFonts w:hint="eastAsia"/>
                <w:color w:val="000000"/>
              </w:rPr>
              <w:t>8</w:t>
            </w:r>
          </w:p>
        </w:tc>
        <w:tc>
          <w:tcPr>
            <w:tcW w:w="830"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BF4602F">
            <w:pPr>
              <w:ind w:firstLine="0" w:firstLineChars="0"/>
              <w:jc w:val="center"/>
              <w:rPr>
                <w:rFonts w:hint="eastAsia"/>
                <w:color w:val="000000"/>
                <w:vertAlign w:val="baseline"/>
              </w:rPr>
            </w:pPr>
            <w:r>
              <w:rPr>
                <w:rFonts w:hint="eastAsia"/>
                <w:color w:val="000000"/>
              </w:rPr>
              <w:t>马芫</w:t>
            </w:r>
          </w:p>
        </w:tc>
        <w:tc>
          <w:tcPr>
            <w:tcW w:w="68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0FB520F">
            <w:pPr>
              <w:ind w:firstLine="0" w:firstLineChars="0"/>
              <w:jc w:val="center"/>
              <w:rPr>
                <w:rFonts w:hint="eastAsia"/>
                <w:color w:val="000000"/>
                <w:vertAlign w:val="baseline"/>
              </w:rPr>
            </w:pPr>
            <w:r>
              <w:rPr>
                <w:rFonts w:hint="eastAsia"/>
                <w:color w:val="000000"/>
              </w:rPr>
              <w:t>10</w:t>
            </w:r>
          </w:p>
        </w:tc>
        <w:tc>
          <w:tcPr>
            <w:tcW w:w="66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0ADE644">
            <w:pPr>
              <w:ind w:firstLine="0" w:firstLineChars="0"/>
              <w:jc w:val="center"/>
              <w:rPr>
                <w:rFonts w:hint="eastAsia"/>
                <w:color w:val="000000"/>
                <w:vertAlign w:val="baseline"/>
              </w:rPr>
            </w:pPr>
            <w:r>
              <w:rPr>
                <w:rFonts w:hint="eastAsia"/>
                <w:color w:val="000000"/>
              </w:rPr>
              <w:t>300</w:t>
            </w:r>
          </w:p>
        </w:tc>
        <w:tc>
          <w:tcPr>
            <w:tcW w:w="674"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A1DF2F7">
            <w:pPr>
              <w:ind w:firstLine="0" w:firstLineChars="0"/>
              <w:jc w:val="center"/>
              <w:rPr>
                <w:rFonts w:hint="eastAsia"/>
                <w:color w:val="000000"/>
                <w:vertAlign w:val="baseline"/>
              </w:rPr>
            </w:pPr>
            <w:r>
              <w:rPr>
                <w:rFonts w:hint="eastAsia"/>
                <w:color w:val="000000"/>
              </w:rPr>
              <w:t>1078</w:t>
            </w:r>
          </w:p>
        </w:tc>
        <w:tc>
          <w:tcPr>
            <w:tcW w:w="95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6125EB2">
            <w:pPr>
              <w:ind w:firstLine="0" w:firstLineChars="0"/>
              <w:jc w:val="center"/>
              <w:rPr>
                <w:rFonts w:hint="eastAsia"/>
                <w:color w:val="000000"/>
                <w:vertAlign w:val="baseline"/>
              </w:rPr>
            </w:pPr>
            <w:r>
              <w:rPr>
                <w:rFonts w:hint="eastAsia"/>
                <w:color w:val="000000"/>
              </w:rPr>
              <w:t>440</w:t>
            </w:r>
          </w:p>
        </w:tc>
        <w:tc>
          <w:tcPr>
            <w:tcW w:w="811" w:type="pct"/>
            <w:tcBorders>
              <w:top w:val="single" w:color="000000" w:sz="8" w:space="0"/>
              <w:left w:val="single" w:color="000000" w:sz="8" w:space="0"/>
              <w:bottom w:val="single" w:color="000000" w:sz="8" w:space="0"/>
              <w:right w:val="nil"/>
            </w:tcBorders>
            <w:shd w:val="clear" w:color="auto" w:fill="FFFFFF"/>
            <w:vAlign w:val="center"/>
          </w:tcPr>
          <w:p w14:paraId="4E348283">
            <w:pPr>
              <w:ind w:firstLine="0" w:firstLineChars="0"/>
              <w:jc w:val="center"/>
              <w:rPr>
                <w:rFonts w:hint="eastAsia"/>
                <w:color w:val="000000"/>
                <w:vertAlign w:val="baseline"/>
              </w:rPr>
            </w:pPr>
            <w:r>
              <w:rPr>
                <w:rFonts w:hint="eastAsia"/>
                <w:color w:val="000000"/>
              </w:rPr>
              <w:t>90</w:t>
            </w:r>
          </w:p>
        </w:tc>
      </w:tr>
      <w:tr w14:paraId="435C5B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4" w:type="pct"/>
            <w:tcBorders>
              <w:top w:val="single" w:color="000000" w:sz="8" w:space="0"/>
              <w:left w:val="nil"/>
              <w:bottom w:val="single" w:color="000000" w:sz="8" w:space="0"/>
              <w:right w:val="single" w:color="000000" w:sz="8" w:space="0"/>
            </w:tcBorders>
            <w:shd w:val="clear" w:color="auto" w:fill="FFFFFF"/>
            <w:vAlign w:val="center"/>
          </w:tcPr>
          <w:p w14:paraId="7C5D63A8">
            <w:pPr>
              <w:ind w:firstLine="0" w:firstLineChars="0"/>
              <w:jc w:val="center"/>
              <w:rPr>
                <w:rFonts w:hint="eastAsia"/>
                <w:color w:val="000000"/>
                <w:vertAlign w:val="baseline"/>
              </w:rPr>
            </w:pPr>
            <w:r>
              <w:rPr>
                <w:rFonts w:hint="eastAsia"/>
                <w:color w:val="000000"/>
              </w:rPr>
              <w:t>9</w:t>
            </w:r>
          </w:p>
        </w:tc>
        <w:tc>
          <w:tcPr>
            <w:tcW w:w="830"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021C92B">
            <w:pPr>
              <w:ind w:firstLine="0" w:firstLineChars="0"/>
              <w:jc w:val="center"/>
              <w:rPr>
                <w:rFonts w:hint="eastAsia"/>
                <w:color w:val="000000"/>
                <w:vertAlign w:val="baseline"/>
              </w:rPr>
            </w:pPr>
            <w:r>
              <w:rPr>
                <w:rFonts w:hint="eastAsia"/>
                <w:color w:val="000000"/>
              </w:rPr>
              <w:t>社区</w:t>
            </w:r>
          </w:p>
        </w:tc>
        <w:tc>
          <w:tcPr>
            <w:tcW w:w="683" w:type="pct"/>
            <w:tcBorders>
              <w:top w:val="single" w:color="000000" w:sz="8" w:space="0"/>
              <w:left w:val="single" w:color="000000" w:sz="8" w:space="0"/>
              <w:bottom w:val="single" w:color="000000" w:sz="8" w:space="0"/>
              <w:right w:val="single" w:color="000000" w:sz="8" w:space="0"/>
            </w:tcBorders>
            <w:shd w:val="clear" w:color="auto" w:fill="FFFFFF"/>
            <w:vAlign w:val="top"/>
          </w:tcPr>
          <w:p w14:paraId="563DF06F">
            <w:pPr>
              <w:ind w:firstLine="0" w:firstLineChars="0"/>
              <w:jc w:val="center"/>
              <w:rPr>
                <w:rFonts w:hint="eastAsia"/>
                <w:color w:val="000000"/>
                <w:vertAlign w:val="baseline"/>
              </w:rPr>
            </w:pPr>
          </w:p>
        </w:tc>
        <w:tc>
          <w:tcPr>
            <w:tcW w:w="66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0E57FF3">
            <w:pPr>
              <w:ind w:firstLine="0" w:firstLineChars="0"/>
              <w:jc w:val="center"/>
              <w:rPr>
                <w:rFonts w:hint="eastAsia"/>
                <w:color w:val="000000"/>
                <w:vertAlign w:val="baseline"/>
              </w:rPr>
            </w:pPr>
            <w:r>
              <w:rPr>
                <w:rFonts w:hint="eastAsia"/>
                <w:color w:val="000000"/>
              </w:rPr>
              <w:t>545</w:t>
            </w:r>
          </w:p>
        </w:tc>
        <w:tc>
          <w:tcPr>
            <w:tcW w:w="674"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2319BA2">
            <w:pPr>
              <w:ind w:firstLine="0" w:firstLineChars="0"/>
              <w:jc w:val="center"/>
              <w:rPr>
                <w:rFonts w:hint="eastAsia"/>
                <w:color w:val="000000"/>
                <w:vertAlign w:val="baseline"/>
              </w:rPr>
            </w:pPr>
            <w:r>
              <w:rPr>
                <w:rFonts w:hint="eastAsia"/>
                <w:color w:val="000000"/>
              </w:rPr>
              <w:t>782</w:t>
            </w:r>
          </w:p>
        </w:tc>
        <w:tc>
          <w:tcPr>
            <w:tcW w:w="95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A388076">
            <w:pPr>
              <w:ind w:firstLine="0" w:firstLineChars="0"/>
              <w:jc w:val="center"/>
              <w:rPr>
                <w:rFonts w:hint="eastAsia"/>
                <w:color w:val="000000"/>
                <w:vertAlign w:val="baseline"/>
              </w:rPr>
            </w:pPr>
          </w:p>
        </w:tc>
        <w:tc>
          <w:tcPr>
            <w:tcW w:w="811" w:type="pct"/>
            <w:tcBorders>
              <w:top w:val="single" w:color="000000" w:sz="8" w:space="0"/>
              <w:left w:val="single" w:color="000000" w:sz="8" w:space="0"/>
              <w:bottom w:val="single" w:color="000000" w:sz="8" w:space="0"/>
              <w:right w:val="nil"/>
            </w:tcBorders>
            <w:shd w:val="clear" w:color="auto" w:fill="FFFFFF"/>
            <w:vAlign w:val="center"/>
          </w:tcPr>
          <w:p w14:paraId="5F474627">
            <w:pPr>
              <w:ind w:firstLine="0" w:firstLineChars="0"/>
              <w:jc w:val="center"/>
              <w:rPr>
                <w:rFonts w:hint="eastAsia"/>
                <w:color w:val="000000"/>
                <w:vertAlign w:val="baseline"/>
              </w:rPr>
            </w:pPr>
          </w:p>
        </w:tc>
      </w:tr>
    </w:tbl>
    <w:p w14:paraId="1C0D1E95">
      <w:pPr>
        <w:pStyle w:val="10"/>
        <w:bidi w:val="0"/>
        <w:jc w:val="right"/>
        <w:rPr>
          <w:rFonts w:hint="eastAsia" w:eastAsia="宋体"/>
          <w:b/>
          <w:bCs/>
          <w:lang w:eastAsia="zh-CN"/>
        </w:rPr>
      </w:pPr>
      <w:r>
        <w:rPr>
          <w:rFonts w:hint="eastAsia"/>
          <w:b/>
          <w:bCs/>
          <w:lang w:eastAsia="zh-CN"/>
        </w:rPr>
        <w:t>（</w:t>
      </w:r>
      <w:r>
        <w:rPr>
          <w:rFonts w:hint="eastAsia"/>
          <w:b/>
          <w:bCs/>
          <w:lang w:val="en-US" w:eastAsia="zh-CN"/>
        </w:rPr>
        <w:t>谢庆花</w:t>
      </w:r>
      <w:r>
        <w:rPr>
          <w:rFonts w:hint="eastAsia"/>
          <w:b/>
          <w:bCs/>
          <w:lang w:eastAsia="zh-CN"/>
        </w:rPr>
        <w:t>）</w:t>
      </w:r>
    </w:p>
    <w:p w14:paraId="2F842ABE">
      <w:pPr>
        <w:pStyle w:val="10"/>
        <w:bidi w:val="0"/>
        <w:rPr>
          <w:b/>
          <w:bCs/>
        </w:rPr>
      </w:pPr>
      <w:r>
        <w:rPr>
          <w:rFonts w:hint="eastAsia"/>
          <w:b/>
          <w:bCs/>
        </w:rPr>
        <w:t>附：</w:t>
      </w:r>
      <w:r>
        <w:rPr>
          <w:b/>
          <w:bCs/>
        </w:rPr>
        <w:t>2013年界址镇领导班子成员名单</w:t>
      </w:r>
    </w:p>
    <w:p w14:paraId="7619184A">
      <w:pPr>
        <w:pStyle w:val="10"/>
        <w:bidi w:val="0"/>
        <w:rPr>
          <w:rFonts w:hint="eastAsia"/>
        </w:rPr>
      </w:pPr>
      <w:r>
        <w:rPr>
          <w:rFonts w:hint="eastAsia"/>
          <w:b/>
          <w:bCs/>
        </w:rPr>
        <w:t>党委书记、人大主席：</w:t>
      </w:r>
      <w:r>
        <w:rPr>
          <w:rFonts w:hint="eastAsia"/>
        </w:rPr>
        <w:t>陈华林</w:t>
      </w:r>
    </w:p>
    <w:p w14:paraId="3DD0E42B">
      <w:pPr>
        <w:pStyle w:val="10"/>
        <w:bidi w:val="0"/>
        <w:rPr>
          <w:rFonts w:hint="eastAsia"/>
        </w:rPr>
      </w:pPr>
      <w:r>
        <w:rPr>
          <w:rFonts w:hint="eastAsia"/>
          <w:b/>
          <w:bCs/>
        </w:rPr>
        <w:t>党委副书记、镇长：</w:t>
      </w:r>
      <w:r>
        <w:rPr>
          <w:rFonts w:hint="eastAsia"/>
        </w:rPr>
        <w:t>雷明峰</w:t>
      </w:r>
    </w:p>
    <w:p w14:paraId="0DFD3FAE">
      <w:pPr>
        <w:pStyle w:val="10"/>
        <w:bidi w:val="0"/>
        <w:rPr>
          <w:rFonts w:hint="eastAsia"/>
        </w:rPr>
      </w:pPr>
      <w:r>
        <w:rPr>
          <w:rFonts w:hint="eastAsia"/>
          <w:b/>
          <w:bCs/>
        </w:rPr>
        <w:t>党委副书记：</w:t>
      </w:r>
      <w:r>
        <w:rPr>
          <w:rFonts w:hint="eastAsia"/>
        </w:rPr>
        <w:t>李绍林</w:t>
      </w:r>
    </w:p>
    <w:p w14:paraId="5BA1574D">
      <w:pPr>
        <w:pStyle w:val="10"/>
        <w:bidi w:val="0"/>
        <w:rPr>
          <w:rFonts w:hint="eastAsia"/>
        </w:rPr>
      </w:pPr>
      <w:r>
        <w:rPr>
          <w:rFonts w:hint="eastAsia"/>
          <w:b/>
          <w:bCs/>
        </w:rPr>
        <w:t>纪委书记：</w:t>
      </w:r>
      <w:r>
        <w:rPr>
          <w:rFonts w:hint="eastAsia"/>
        </w:rPr>
        <w:t>徐帆</w:t>
      </w:r>
    </w:p>
    <w:p w14:paraId="718DFEE2">
      <w:pPr>
        <w:pStyle w:val="10"/>
        <w:bidi w:val="0"/>
        <w:rPr>
          <w:rFonts w:hint="eastAsia"/>
        </w:rPr>
      </w:pPr>
      <w:r>
        <w:rPr>
          <w:rFonts w:hint="eastAsia"/>
          <w:b/>
          <w:bCs/>
        </w:rPr>
        <w:t>组织委员：</w:t>
      </w:r>
      <w:r>
        <w:rPr>
          <w:rFonts w:hint="eastAsia"/>
        </w:rPr>
        <w:t>郭亿华</w:t>
      </w:r>
    </w:p>
    <w:p w14:paraId="2739866F">
      <w:pPr>
        <w:pStyle w:val="10"/>
        <w:bidi w:val="0"/>
        <w:rPr>
          <w:rFonts w:hint="eastAsia"/>
          <w:lang w:val="en-US" w:eastAsia="zh-CN"/>
        </w:rPr>
      </w:pPr>
      <w:r>
        <w:rPr>
          <w:rFonts w:hint="eastAsia"/>
          <w:b/>
          <w:bCs/>
        </w:rPr>
        <w:t>宣传委员：</w:t>
      </w:r>
      <w:r>
        <w:rPr>
          <w:rFonts w:hint="eastAsia"/>
        </w:rPr>
        <w:t>王翔</w:t>
      </w:r>
      <w:r>
        <w:rPr>
          <w:rFonts w:hint="eastAsia"/>
          <w:lang w:val="en-US" w:eastAsia="zh-CN"/>
        </w:rPr>
        <w:t>华</w:t>
      </w:r>
    </w:p>
    <w:p w14:paraId="579E9954">
      <w:pPr>
        <w:pStyle w:val="10"/>
        <w:bidi w:val="0"/>
        <w:rPr>
          <w:rFonts w:hint="eastAsia"/>
        </w:rPr>
      </w:pPr>
      <w:r>
        <w:rPr>
          <w:rFonts w:hint="eastAsia"/>
          <w:b/>
          <w:bCs/>
        </w:rPr>
        <w:t>人大副主席：</w:t>
      </w:r>
      <w:r>
        <w:rPr>
          <w:rFonts w:hint="eastAsia"/>
        </w:rPr>
        <w:t>吴燕雄</w:t>
      </w:r>
    </w:p>
    <w:p w14:paraId="6F5CA70F">
      <w:pPr>
        <w:pStyle w:val="10"/>
        <w:bidi w:val="0"/>
        <w:rPr>
          <w:rFonts w:hint="eastAsia"/>
        </w:rPr>
      </w:pPr>
      <w:r>
        <w:rPr>
          <w:rFonts w:hint="eastAsia"/>
          <w:b/>
          <w:bCs/>
        </w:rPr>
        <w:t>武装部长：</w:t>
      </w:r>
      <w:r>
        <w:rPr>
          <w:rFonts w:hint="eastAsia"/>
        </w:rPr>
        <w:t>邓荣林</w:t>
      </w:r>
    </w:p>
    <w:p w14:paraId="19C2123C">
      <w:pPr>
        <w:pStyle w:val="10"/>
        <w:bidi w:val="0"/>
        <w:rPr>
          <w:rFonts w:hint="eastAsia"/>
        </w:rPr>
      </w:pPr>
      <w:r>
        <w:rPr>
          <w:rFonts w:hint="eastAsia"/>
          <w:b/>
          <w:bCs/>
        </w:rPr>
        <w:t>综治办专职副主任：</w:t>
      </w:r>
      <w:r>
        <w:rPr>
          <w:rFonts w:hint="eastAsia"/>
        </w:rPr>
        <w:t>李志雄</w:t>
      </w:r>
    </w:p>
    <w:p w14:paraId="1F5B2566">
      <w:pPr>
        <w:pStyle w:val="10"/>
        <w:bidi w:val="0"/>
        <w:rPr>
          <w:rFonts w:hint="eastAsia"/>
        </w:rPr>
      </w:pPr>
      <w:r>
        <w:rPr>
          <w:rFonts w:hint="eastAsia"/>
          <w:b/>
          <w:bCs/>
          <w:lang w:val="en-US" w:eastAsia="zh-CN"/>
        </w:rPr>
        <w:t>副</w:t>
      </w:r>
      <w:r>
        <w:rPr>
          <w:rFonts w:hint="eastAsia"/>
          <w:b/>
          <w:bCs/>
        </w:rPr>
        <w:t>镇长：</w:t>
      </w:r>
      <w:r>
        <w:rPr>
          <w:rFonts w:hint="eastAsia"/>
        </w:rPr>
        <w:t>张万敏</w:t>
      </w:r>
      <w:r>
        <w:rPr>
          <w:rFonts w:hint="eastAsia"/>
          <w:lang w:val="en-US" w:eastAsia="zh-CN"/>
        </w:rPr>
        <w:t xml:space="preserve">   </w:t>
      </w:r>
      <w:r>
        <w:rPr>
          <w:rFonts w:hint="eastAsia"/>
        </w:rPr>
        <w:t>何少连</w:t>
      </w:r>
      <w:r>
        <w:rPr>
          <w:rFonts w:hint="eastAsia"/>
          <w:lang w:val="en-US" w:eastAsia="zh-CN"/>
        </w:rPr>
        <w:t xml:space="preserve">   </w:t>
      </w:r>
      <w:r>
        <w:rPr>
          <w:rFonts w:hint="eastAsia"/>
        </w:rPr>
        <w:t>钟俊红</w:t>
      </w:r>
    </w:p>
    <w:p w14:paraId="1931CE2C">
      <w:pPr>
        <w:pStyle w:val="3"/>
        <w:bidi w:val="0"/>
        <w:rPr>
          <w:rFonts w:hint="eastAsia"/>
        </w:rPr>
      </w:pPr>
      <w:r>
        <w:rPr>
          <w:rFonts w:hint="eastAsia"/>
        </w:rPr>
        <w:t>全安镇</w:t>
      </w:r>
    </w:p>
    <w:p w14:paraId="215CD7A5">
      <w:pPr>
        <w:pStyle w:val="4"/>
        <w:bidi w:val="0"/>
        <w:rPr>
          <w:rFonts w:hint="eastAsia"/>
        </w:rPr>
      </w:pPr>
      <w:r>
        <w:rPr>
          <w:rFonts w:hint="eastAsia"/>
        </w:rPr>
        <w:t>【概况】</w:t>
      </w:r>
    </w:p>
    <w:p w14:paraId="560E7101">
      <w:r>
        <w:rPr>
          <w:rFonts w:hint="eastAsia"/>
        </w:rPr>
        <w:t>全安镇位于南雄市区西北部，距市区</w:t>
      </w:r>
      <w:r>
        <w:t>7</w:t>
      </w:r>
      <w:r>
        <w:rPr>
          <w:rFonts w:hint="eastAsia"/>
        </w:rPr>
        <w:t>公里，毗邻雄州、古市、百顺、澜河、帽子峰、珠玑、始兴县马市镇。下辖</w:t>
      </w:r>
      <w:r>
        <w:t>13个村委会和1个居委</w:t>
      </w:r>
      <w:r>
        <w:rPr>
          <w:rFonts w:hint="eastAsia"/>
        </w:rPr>
        <w:t>会，</w:t>
      </w:r>
      <w:r>
        <w:t>193个村民小组。全镇共7804户，常住人口27275人。属燕山期花</w:t>
      </w:r>
      <w:r>
        <w:rPr>
          <w:rFonts w:hint="eastAsia"/>
          <w:lang w:val="en-US" w:eastAsia="zh-CN"/>
        </w:rPr>
        <w:t>岗</w:t>
      </w:r>
      <w:r>
        <w:t>岩体及寒武纪震旦纪变质</w:t>
      </w:r>
      <w:r>
        <w:rPr>
          <w:rFonts w:hint="eastAsia"/>
        </w:rPr>
        <w:t>岩体，气候属于亚热带季风湿润气候区。总面积</w:t>
      </w:r>
      <w:r>
        <w:t>190.90平方公里，其中耕地1601.21公顷，林地14208.2公顷。镇辖区内主要有广东奥威斯乐园</w:t>
      </w:r>
      <w:r>
        <w:rPr>
          <w:rFonts w:hint="eastAsia"/>
          <w:lang w:eastAsia="zh-CN"/>
        </w:rPr>
        <w:t>、</w:t>
      </w:r>
      <w:r>
        <w:rPr>
          <w:rFonts w:hint="eastAsia"/>
        </w:rPr>
        <w:t>广东绿州纸模包装制品有限公司、乐华陶瓷洁具公司、古寨沟酒厂、苍石竹木制品厂、明珠石场等大中型企业。交通便利，韶赣高速公路、国道</w:t>
      </w:r>
      <w:r>
        <w:t>G323</w:t>
      </w:r>
      <w:r>
        <w:rPr>
          <w:rFonts w:hint="eastAsia"/>
        </w:rPr>
        <w:t>线路、省道</w:t>
      </w:r>
      <w:r>
        <w:t>S342线路和赣韶铁路穿境而过。</w:t>
      </w:r>
    </w:p>
    <w:p w14:paraId="200079E1">
      <w:pPr>
        <w:pStyle w:val="4"/>
        <w:bidi w:val="0"/>
        <w:rPr>
          <w:rFonts w:hint="eastAsia"/>
        </w:rPr>
      </w:pPr>
      <w:r>
        <w:rPr>
          <w:rFonts w:hint="eastAsia"/>
        </w:rPr>
        <w:t>【经济社会发展】</w:t>
      </w:r>
    </w:p>
    <w:p w14:paraId="51D8F789">
      <w:r>
        <w:t>2013年，全镇农村经济总收入3.6894亿元，同比增长11.8%；实现工农业总产</w:t>
      </w:r>
      <w:r>
        <w:rPr>
          <w:rFonts w:hint="eastAsia"/>
        </w:rPr>
        <w:t>值</w:t>
      </w:r>
      <w:r>
        <w:t>23474万元，其中工业总产值7079万元；农民人</w:t>
      </w:r>
      <w:r>
        <w:rPr>
          <w:rFonts w:hint="eastAsia"/>
        </w:rPr>
        <w:t>均纯收入</w:t>
      </w:r>
      <w:r>
        <w:t>7738元，比上年增长15.8%。种植黄烟32.7公顷，收购59.75吨。粮食作物播种面积286.7公顷，招商引资优质高效，联生药业有限公</w:t>
      </w:r>
      <w:r>
        <w:rPr>
          <w:rFonts w:hint="eastAsia"/>
        </w:rPr>
        <w:t>司在苍石村五斗岭小组发展南药生产基地，面积约</w:t>
      </w:r>
      <w:r>
        <w:t>26.7公顷，为山区的发展带来一条新的发展路子。</w:t>
      </w:r>
    </w:p>
    <w:p w14:paraId="30DD30C7">
      <w:pPr>
        <w:pStyle w:val="4"/>
        <w:bidi w:val="0"/>
        <w:rPr>
          <w:rFonts w:hint="eastAsia"/>
        </w:rPr>
      </w:pPr>
      <w:r>
        <w:rPr>
          <w:rFonts w:hint="eastAsia"/>
        </w:rPr>
        <w:t>【社会事业发展】</w:t>
      </w:r>
    </w:p>
    <w:p w14:paraId="5031CEA3">
      <w:r>
        <w:rPr>
          <w:rFonts w:hint="eastAsia"/>
        </w:rPr>
        <w:t>新农保参保人</w:t>
      </w:r>
      <w:r>
        <w:t>6171人，参加城</w:t>
      </w:r>
      <w:r>
        <w:rPr>
          <w:rFonts w:hint="eastAsia"/>
        </w:rPr>
        <w:t>乡居民医疗保险人。</w:t>
      </w:r>
      <w:r>
        <w:t>2013年，全镇有城乡低保对象244户，541人，散居五保户119人，城乡最低保</w:t>
      </w:r>
      <w:r>
        <w:rPr>
          <w:rFonts w:hint="eastAsia"/>
        </w:rPr>
        <w:t>障金能及时足额发放到户。</w:t>
      </w:r>
      <w:r>
        <w:t>2013年全镇新增城镇就</w:t>
      </w:r>
      <w:r>
        <w:rPr>
          <w:rFonts w:hint="eastAsia"/>
        </w:rPr>
        <w:t>业人数</w:t>
      </w:r>
      <w:r>
        <w:t>52人，帮助城镇失业人员36人，就业困难</w:t>
      </w:r>
      <w:r>
        <w:rPr>
          <w:rFonts w:hint="eastAsia"/>
        </w:rPr>
        <w:t>对象再就业</w:t>
      </w:r>
      <w:r>
        <w:t>5人。抓好综治信访维稳工作，维护社</w:t>
      </w:r>
      <w:r>
        <w:rPr>
          <w:rFonts w:hint="eastAsia"/>
        </w:rPr>
        <w:t>会和谐稳定，全年受理群众来访案件</w:t>
      </w:r>
      <w:r>
        <w:t>68宗，调解</w:t>
      </w:r>
      <w:r>
        <w:rPr>
          <w:rFonts w:hint="eastAsia"/>
        </w:rPr>
        <w:t>率</w:t>
      </w:r>
      <w:r>
        <w:t>100%，调解成功率93.5%。</w:t>
      </w:r>
    </w:p>
    <w:p w14:paraId="378D649F">
      <w:pPr>
        <w:pStyle w:val="4"/>
        <w:bidi w:val="0"/>
        <w:rPr>
          <w:rFonts w:hint="eastAsia"/>
        </w:rPr>
      </w:pPr>
      <w:r>
        <w:rPr>
          <w:rFonts w:hint="eastAsia"/>
        </w:rPr>
        <w:t>【扶贫双到工作】</w:t>
      </w:r>
    </w:p>
    <w:p w14:paraId="095656C4">
      <w:pPr>
        <w:rPr>
          <w:rFonts w:hint="eastAsia"/>
        </w:rPr>
      </w:pPr>
      <w:r>
        <w:rPr>
          <w:rFonts w:hint="eastAsia"/>
        </w:rPr>
        <w:t>一是实现有劳动力的贫困户人均纯收入超</w:t>
      </w:r>
      <w:r>
        <w:t>5500元，脱贫率达到45%，村集体经</w:t>
      </w:r>
      <w:r>
        <w:rPr>
          <w:rFonts w:hint="eastAsia"/>
        </w:rPr>
        <w:t>济收入达</w:t>
      </w:r>
      <w:r>
        <w:t>3.5万元。二是继续完成农房改造任务</w:t>
      </w:r>
      <w:r>
        <w:rPr>
          <w:rFonts w:hint="eastAsia"/>
          <w:lang w:eastAsia="zh-CN"/>
        </w:rPr>
        <w:t>，</w:t>
      </w:r>
      <w:r>
        <w:rPr>
          <w:rFonts w:hint="eastAsia"/>
        </w:rPr>
        <w:t>摸底调</w:t>
      </w:r>
      <w:r>
        <w:rPr>
          <w:rFonts w:hint="eastAsia"/>
          <w:lang w:eastAsia="zh-CN"/>
        </w:rPr>
        <w:t>查</w:t>
      </w:r>
      <w:r>
        <w:rPr>
          <w:rFonts w:hint="eastAsia"/>
        </w:rPr>
        <w:t>，确定</w:t>
      </w:r>
      <w:r>
        <w:t>7户改造名单，做好低收入住房改</w:t>
      </w:r>
      <w:r>
        <w:rPr>
          <w:rFonts w:hint="eastAsia"/>
        </w:rPr>
        <w:t>造申请及信息报送；三是争取帮扶单位投入资金</w:t>
      </w:r>
      <w:r>
        <w:t>150万元完善大坪墟村前村居绿化工程建设和亮化</w:t>
      </w:r>
      <w:r>
        <w:rPr>
          <w:rFonts w:hint="eastAsia"/>
        </w:rPr>
        <w:t>工程建设。</w:t>
      </w:r>
    </w:p>
    <w:p w14:paraId="45681931">
      <w:pPr>
        <w:pStyle w:val="4"/>
        <w:bidi w:val="0"/>
        <w:rPr>
          <w:rFonts w:hint="eastAsia"/>
        </w:rPr>
      </w:pPr>
      <w:r>
        <w:rPr>
          <w:rFonts w:hint="eastAsia"/>
        </w:rPr>
        <w:t>【党建工作】</w:t>
      </w:r>
    </w:p>
    <w:p w14:paraId="10E59F28">
      <w:r>
        <w:rPr>
          <w:rFonts w:hint="eastAsia"/>
        </w:rPr>
        <w:t>是创先争优工程，积极将古塘村打造为具有“红色文化”特色，带动力强、示范作用突出的农村基层党建示范点；二是创业致富引领工程，由</w:t>
      </w:r>
      <w:r>
        <w:t>13名党员创业致富带头人与贫困党员群</w:t>
      </w:r>
      <w:r>
        <w:rPr>
          <w:rFonts w:hint="eastAsia"/>
        </w:rPr>
        <w:t>众结对帮扶，实现共同富裕；三是干部培养工程，积极落实党支部书记“</w:t>
      </w:r>
      <w:r>
        <w:t>421”项目以及党员“双向</w:t>
      </w:r>
      <w:r>
        <w:rPr>
          <w:rFonts w:hint="eastAsia"/>
        </w:rPr>
        <w:t>承诺”事项，全年发展党员</w:t>
      </w:r>
      <w:r>
        <w:t>12名，党员按期转正41名。</w:t>
      </w:r>
    </w:p>
    <w:p w14:paraId="7B66B009">
      <w:pPr>
        <w:pStyle w:val="4"/>
        <w:bidi w:val="0"/>
        <w:rPr>
          <w:rFonts w:hint="eastAsia"/>
        </w:rPr>
      </w:pPr>
      <w:r>
        <w:rPr>
          <w:rFonts w:hint="eastAsia"/>
        </w:rPr>
        <w:t>【基础设施建设】</w:t>
      </w:r>
    </w:p>
    <w:p w14:paraId="36ED41AA">
      <w:r>
        <w:rPr>
          <w:rFonts w:hint="eastAsia"/>
        </w:rPr>
        <w:t>落实新农村建设工作，大力改善村容村貌，选取全安沥头、陂头珠坑、河塘墟三个地方作为新村试点，累计投入新村建设资金</w:t>
      </w:r>
      <w:r>
        <w:t>500</w:t>
      </w:r>
      <w:r>
        <w:rPr>
          <w:rFonts w:hint="eastAsia"/>
        </w:rPr>
        <w:t>多万元，涉及转移</w:t>
      </w:r>
      <w:r>
        <w:t>188户村民。同时，多方筹集资</w:t>
      </w:r>
      <w:r>
        <w:rPr>
          <w:rFonts w:hint="eastAsia"/>
        </w:rPr>
        <w:t>金约</w:t>
      </w:r>
      <w:r>
        <w:t>25万元，对凌江水圳开展一次全面的清淤和</w:t>
      </w:r>
      <w:r>
        <w:rPr>
          <w:rFonts w:hint="eastAsia"/>
        </w:rPr>
        <w:t>维护工作，解决约</w:t>
      </w:r>
      <w:r>
        <w:t>1667公顷农作物的灌溉问题。</w:t>
      </w:r>
      <w:r>
        <w:rPr>
          <w:rFonts w:hint="eastAsia"/>
        </w:rPr>
        <w:t>帮助杨沥村罗屋村小组</w:t>
      </w:r>
      <w:r>
        <w:t>600米水渠三面光建设，解</w:t>
      </w:r>
      <w:r>
        <w:rPr>
          <w:rFonts w:hint="eastAsia"/>
        </w:rPr>
        <w:t>决了约</w:t>
      </w:r>
      <w:r>
        <w:t>20公顷粮田用水困难。</w:t>
      </w:r>
    </w:p>
    <w:p w14:paraId="51826B09">
      <w:pPr>
        <w:pStyle w:val="4"/>
        <w:bidi w:val="0"/>
        <w:rPr>
          <w:rFonts w:hint="eastAsia"/>
        </w:rPr>
      </w:pPr>
      <w:r>
        <w:rPr>
          <w:rFonts w:hint="eastAsia"/>
        </w:rPr>
        <w:t>【计生工作】</w:t>
      </w:r>
    </w:p>
    <w:p w14:paraId="0E8C8F49">
      <w:pPr>
        <w:rPr>
          <w:rFonts w:hint="eastAsia"/>
        </w:rPr>
      </w:pPr>
      <w:r>
        <w:t>2013年，全镇出生332人，出生率11.67‰，落实避孕节育措施240例，全面推广计</w:t>
      </w:r>
      <w:r>
        <w:rPr>
          <w:rFonts w:hint="eastAsia"/>
        </w:rPr>
        <w:t>生综改，完善古塘、杨沥、大坪村</w:t>
      </w:r>
      <w:r>
        <w:t>3个村的计生综</w:t>
      </w:r>
      <w:r>
        <w:rPr>
          <w:rFonts w:hint="eastAsia"/>
        </w:rPr>
        <w:t>改工作。严格落实层级动态管理责任制，抓好免费孕前优生健康检</w:t>
      </w:r>
      <w:r>
        <w:rPr>
          <w:rFonts w:hint="eastAsia"/>
          <w:lang w:eastAsia="zh-CN"/>
        </w:rPr>
        <w:t>查</w:t>
      </w:r>
      <w:r>
        <w:rPr>
          <w:rFonts w:hint="eastAsia"/>
        </w:rPr>
        <w:t>和“双</w:t>
      </w:r>
      <w:r>
        <w:rPr>
          <w:rFonts w:hint="eastAsia"/>
          <w:lang w:eastAsia="zh-CN"/>
        </w:rPr>
        <w:t>查</w:t>
      </w:r>
      <w:r>
        <w:rPr>
          <w:rFonts w:hint="eastAsia"/>
        </w:rPr>
        <w:t>”服务，营造良好计生氛围。</w:t>
      </w:r>
    </w:p>
    <w:p w14:paraId="0D3F22C4">
      <w:pPr>
        <w:pStyle w:val="4"/>
        <w:bidi w:val="0"/>
        <w:rPr>
          <w:rFonts w:hint="eastAsia"/>
        </w:rPr>
      </w:pPr>
      <w:r>
        <w:rPr>
          <w:rFonts w:hint="eastAsia"/>
        </w:rPr>
        <w:t>【林业工作】</w:t>
      </w:r>
    </w:p>
    <w:p w14:paraId="212CA83B">
      <w:r>
        <w:rPr>
          <w:rFonts w:hint="eastAsia"/>
        </w:rPr>
        <w:t>改善生态环境，部分林地列入封育范围，封育总面积</w:t>
      </w:r>
      <w:r>
        <w:t>5422.4公顷。全年完成毛竹采</w:t>
      </w:r>
      <w:r>
        <w:rPr>
          <w:rFonts w:hint="eastAsia"/>
        </w:rPr>
        <w:t>伐任务</w:t>
      </w:r>
      <w:r>
        <w:t>24万根（超额完成6万根），发放林木采伐</w:t>
      </w:r>
      <w:r>
        <w:rPr>
          <w:rFonts w:hint="eastAsia"/>
        </w:rPr>
        <w:t>指标</w:t>
      </w:r>
      <w:r>
        <w:t>2700立方米。全面完成商品林的投保任务，</w:t>
      </w:r>
      <w:r>
        <w:rPr>
          <w:rFonts w:hint="eastAsia"/>
        </w:rPr>
        <w:t>投保率高达</w:t>
      </w:r>
      <w:r>
        <w:t>110%。</w:t>
      </w:r>
    </w:p>
    <w:p w14:paraId="672AF2AF">
      <w:pPr>
        <w:pStyle w:val="4"/>
        <w:bidi w:val="0"/>
        <w:rPr>
          <w:rFonts w:hint="eastAsia"/>
        </w:rPr>
      </w:pPr>
      <w:r>
        <w:rPr>
          <w:rFonts w:hint="eastAsia"/>
        </w:rPr>
        <w:t>【安全生产】</w:t>
      </w:r>
    </w:p>
    <w:p w14:paraId="2E20D7D1">
      <w:pPr>
        <w:rPr>
          <w:rFonts w:hint="eastAsia"/>
        </w:rPr>
      </w:pPr>
      <w:r>
        <w:rPr>
          <w:rFonts w:hint="eastAsia"/>
        </w:rPr>
        <w:t>联合执法行动</w:t>
      </w:r>
      <w:r>
        <w:t>10多次，出动检</w:t>
      </w:r>
      <w:r>
        <w:rPr>
          <w:rFonts w:hint="eastAsia"/>
          <w:lang w:eastAsia="zh-CN"/>
        </w:rPr>
        <w:t>查</w:t>
      </w:r>
      <w:r>
        <w:t>人</w:t>
      </w:r>
      <w:r>
        <w:rPr>
          <w:rFonts w:hint="eastAsia"/>
        </w:rPr>
        <w:t>员</w:t>
      </w:r>
      <w:r>
        <w:t>50多人（次），检</w:t>
      </w:r>
      <w:r>
        <w:rPr>
          <w:rFonts w:hint="eastAsia"/>
          <w:lang w:eastAsia="zh-CN"/>
        </w:rPr>
        <w:t>查</w:t>
      </w:r>
      <w:r>
        <w:t>各类企业、小作坊等生产经</w:t>
      </w:r>
      <w:r>
        <w:rPr>
          <w:rFonts w:hint="eastAsia"/>
        </w:rPr>
        <w:t>营单位（场所）</w:t>
      </w:r>
      <w:r>
        <w:t>100多家（处）、电站50多家</w:t>
      </w:r>
      <w:r>
        <w:rPr>
          <w:rFonts w:hint="eastAsia"/>
          <w:lang w:eastAsia="zh-CN"/>
        </w:rPr>
        <w:t>（</w:t>
      </w:r>
      <w:r>
        <w:rPr>
          <w:rFonts w:hint="eastAsia"/>
        </w:rPr>
        <w:t>次）、餐饮单位</w:t>
      </w:r>
      <w:r>
        <w:t>160多家（次），确保群众的饮食</w:t>
      </w:r>
      <w:r>
        <w:rPr>
          <w:rFonts w:hint="eastAsia"/>
        </w:rPr>
        <w:t>安全，严格落实党政班子安全生产“一岗双责”责任制，有效防止和遏制企业安全生产事故的发生。</w:t>
      </w:r>
    </w:p>
    <w:p w14:paraId="0CE916DD">
      <w:pPr>
        <w:pStyle w:val="4"/>
        <w:bidi w:val="0"/>
        <w:rPr>
          <w:rFonts w:hint="eastAsia"/>
        </w:rPr>
      </w:pPr>
      <w:r>
        <w:rPr>
          <w:rFonts w:hint="eastAsia"/>
        </w:rPr>
        <w:t>【各村</w:t>
      </w:r>
      <w:r>
        <w:rPr>
          <w:rFonts w:hint="eastAsia"/>
          <w:lang w:val="en-US" w:eastAsia="zh-CN"/>
        </w:rPr>
        <w:t>委</w:t>
      </w:r>
      <w:r>
        <w:rPr>
          <w:rFonts w:hint="eastAsia"/>
        </w:rPr>
        <w:t>会（社区）基本情况】</w:t>
      </w:r>
    </w:p>
    <w:p w14:paraId="26B340E9">
      <w:pPr>
        <w:bidi w:val="0"/>
        <w:ind w:left="0" w:leftChars="0" w:firstLine="0" w:firstLineChars="0"/>
        <w:jc w:val="center"/>
        <w:rPr>
          <w:rFonts w:hint="eastAsia"/>
          <w:b/>
          <w:bCs/>
        </w:rPr>
      </w:pPr>
      <w:r>
        <w:rPr>
          <w:rFonts w:hint="eastAsia"/>
          <w:b/>
          <w:bCs/>
        </w:rPr>
        <w:t>2013年全安镇各村委会（社区）基本情况表</w:t>
      </w:r>
    </w:p>
    <w:p w14:paraId="7E849BB0">
      <w:pPr>
        <w:bidi w:val="0"/>
        <w:rPr>
          <w:rFonts w:hint="eastAsia"/>
        </w:rPr>
      </w:pPr>
      <w:r>
        <w:rPr>
          <w:rFonts w:hint="eastAsia"/>
        </w:rPr>
        <w:t>表39</w:t>
      </w:r>
    </w:p>
    <w:tbl>
      <w:tblPr>
        <w:tblStyle w:val="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7"/>
        <w:gridCol w:w="793"/>
        <w:gridCol w:w="803"/>
        <w:gridCol w:w="772"/>
        <w:gridCol w:w="910"/>
        <w:gridCol w:w="986"/>
        <w:gridCol w:w="954"/>
        <w:gridCol w:w="1082"/>
        <w:gridCol w:w="994"/>
        <w:gridCol w:w="901"/>
        <w:gridCol w:w="890"/>
      </w:tblGrid>
      <w:tr w14:paraId="5BA1AC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tcBorders>
              <w:top w:val="single" w:color="000000" w:sz="8" w:space="0"/>
              <w:left w:val="nil"/>
              <w:bottom w:val="single" w:color="000000" w:sz="8" w:space="0"/>
              <w:right w:val="single" w:color="000000" w:sz="8" w:space="0"/>
            </w:tcBorders>
            <w:shd w:val="clear" w:color="auto" w:fill="FFFFFF"/>
            <w:vAlign w:val="center"/>
          </w:tcPr>
          <w:p w14:paraId="26E52102">
            <w:pPr>
              <w:pStyle w:val="10"/>
              <w:bidi w:val="0"/>
              <w:jc w:val="center"/>
              <w:rPr>
                <w:rFonts w:hint="eastAsia"/>
                <w:b/>
                <w:bCs/>
                <w:color w:val="000000"/>
              </w:rPr>
            </w:pPr>
            <w:r>
              <w:rPr>
                <w:rFonts w:hint="eastAsia"/>
                <w:b/>
                <w:bCs/>
                <w:color w:val="000000"/>
              </w:rPr>
              <w:t>村名</w:t>
            </w:r>
          </w:p>
        </w:tc>
        <w:tc>
          <w:tcPr>
            <w:tcW w:w="39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26C0953">
            <w:pPr>
              <w:pStyle w:val="10"/>
              <w:bidi w:val="0"/>
              <w:jc w:val="center"/>
              <w:rPr>
                <w:rFonts w:hint="eastAsia"/>
                <w:b/>
                <w:bCs/>
                <w:color w:val="000000"/>
              </w:rPr>
            </w:pPr>
            <w:r>
              <w:rPr>
                <w:rFonts w:hint="eastAsia"/>
                <w:b/>
                <w:bCs/>
                <w:color w:val="000000"/>
              </w:rPr>
              <w:t>村小组（个）</w:t>
            </w:r>
          </w:p>
        </w:tc>
        <w:tc>
          <w:tcPr>
            <w:tcW w:w="40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B08C3F2">
            <w:pPr>
              <w:pStyle w:val="10"/>
              <w:bidi w:val="0"/>
              <w:jc w:val="center"/>
              <w:rPr>
                <w:rFonts w:hint="eastAsia"/>
                <w:b/>
                <w:bCs/>
                <w:color w:val="000000"/>
              </w:rPr>
            </w:pPr>
            <w:r>
              <w:rPr>
                <w:rFonts w:hint="eastAsia"/>
                <w:b/>
                <w:bCs/>
                <w:color w:val="000000"/>
              </w:rPr>
              <w:t>户数（户）</w:t>
            </w:r>
          </w:p>
        </w:tc>
        <w:tc>
          <w:tcPr>
            <w:tcW w:w="38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CD1EC6D">
            <w:pPr>
              <w:pStyle w:val="10"/>
              <w:bidi w:val="0"/>
              <w:jc w:val="center"/>
              <w:rPr>
                <w:rFonts w:hint="eastAsia"/>
                <w:b/>
                <w:bCs/>
                <w:color w:val="000000"/>
              </w:rPr>
            </w:pPr>
            <w:r>
              <w:rPr>
                <w:rFonts w:hint="eastAsia"/>
                <w:b/>
                <w:bCs/>
                <w:color w:val="000000"/>
              </w:rPr>
              <w:t>总人口（人）</w:t>
            </w:r>
          </w:p>
        </w:tc>
        <w:tc>
          <w:tcPr>
            <w:tcW w:w="45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AB6DB9C">
            <w:pPr>
              <w:pStyle w:val="10"/>
              <w:bidi w:val="0"/>
              <w:jc w:val="center"/>
              <w:rPr>
                <w:rFonts w:hint="eastAsia"/>
                <w:b/>
                <w:bCs/>
                <w:color w:val="000000"/>
              </w:rPr>
            </w:pPr>
            <w:r>
              <w:rPr>
                <w:rFonts w:hint="eastAsia"/>
                <w:b/>
                <w:bCs/>
                <w:color w:val="000000"/>
              </w:rPr>
              <w:t>劳动力人口（人）</w:t>
            </w:r>
          </w:p>
        </w:tc>
        <w:tc>
          <w:tcPr>
            <w:tcW w:w="494"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4AF018E">
            <w:pPr>
              <w:pStyle w:val="10"/>
              <w:bidi w:val="0"/>
              <w:jc w:val="center"/>
              <w:rPr>
                <w:rFonts w:hint="eastAsia"/>
                <w:b/>
                <w:bCs/>
                <w:color w:val="000000"/>
              </w:rPr>
            </w:pPr>
            <w:r>
              <w:rPr>
                <w:rFonts w:hint="eastAsia"/>
                <w:b/>
                <w:bCs/>
                <w:color w:val="000000"/>
              </w:rPr>
              <w:t>集体所有农用地总面积</w:t>
            </w:r>
          </w:p>
          <w:p w14:paraId="7996E5EA">
            <w:pPr>
              <w:pStyle w:val="10"/>
              <w:bidi w:val="0"/>
              <w:jc w:val="center"/>
              <w:rPr>
                <w:rFonts w:hint="eastAsia"/>
                <w:b/>
                <w:bCs/>
                <w:color w:val="000000"/>
              </w:rPr>
            </w:pPr>
            <w:r>
              <w:rPr>
                <w:rFonts w:hint="eastAsia"/>
                <w:b/>
                <w:bCs/>
                <w:color w:val="000000"/>
              </w:rPr>
              <w:t>（万亩）</w:t>
            </w:r>
          </w:p>
        </w:tc>
        <w:tc>
          <w:tcPr>
            <w:tcW w:w="47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6452A11">
            <w:pPr>
              <w:pStyle w:val="10"/>
              <w:bidi w:val="0"/>
              <w:jc w:val="center"/>
              <w:rPr>
                <w:rFonts w:hint="eastAsia"/>
                <w:b/>
                <w:bCs/>
                <w:color w:val="000000"/>
              </w:rPr>
            </w:pPr>
            <w:r>
              <w:rPr>
                <w:rFonts w:hint="eastAsia"/>
                <w:b/>
                <w:bCs/>
                <w:color w:val="000000"/>
              </w:rPr>
              <w:t>耕地面积（万亩）</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14AC50E">
            <w:pPr>
              <w:pStyle w:val="10"/>
              <w:bidi w:val="0"/>
              <w:jc w:val="center"/>
              <w:rPr>
                <w:rFonts w:hint="eastAsia"/>
                <w:b/>
                <w:bCs/>
                <w:color w:val="000000"/>
              </w:rPr>
            </w:pPr>
            <w:r>
              <w:rPr>
                <w:rFonts w:hint="eastAsia"/>
                <w:b/>
                <w:bCs/>
                <w:color w:val="000000"/>
              </w:rPr>
              <w:t>山林面积（万亩）</w:t>
            </w:r>
          </w:p>
        </w:tc>
        <w:tc>
          <w:tcPr>
            <w:tcW w:w="49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B2944E0">
            <w:pPr>
              <w:pStyle w:val="10"/>
              <w:bidi w:val="0"/>
              <w:jc w:val="center"/>
              <w:rPr>
                <w:rFonts w:hint="eastAsia"/>
                <w:b/>
                <w:bCs/>
                <w:color w:val="000000"/>
              </w:rPr>
            </w:pPr>
            <w:r>
              <w:rPr>
                <w:rFonts w:hint="eastAsia"/>
                <w:b/>
                <w:bCs/>
                <w:color w:val="000000"/>
              </w:rPr>
              <w:t>农村经济总收入</w:t>
            </w:r>
          </w:p>
          <w:p w14:paraId="06D411E4">
            <w:pPr>
              <w:pStyle w:val="10"/>
              <w:bidi w:val="0"/>
              <w:jc w:val="center"/>
              <w:rPr>
                <w:rFonts w:hint="eastAsia"/>
                <w:b/>
                <w:bCs/>
                <w:color w:val="000000"/>
              </w:rPr>
            </w:pPr>
            <w:r>
              <w:rPr>
                <w:rFonts w:hint="eastAsia"/>
                <w:b/>
                <w:bCs/>
                <w:color w:val="000000"/>
              </w:rPr>
              <w:t>（万元）</w:t>
            </w:r>
          </w:p>
        </w:tc>
        <w:tc>
          <w:tcPr>
            <w:tcW w:w="45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802ED77">
            <w:pPr>
              <w:pStyle w:val="10"/>
              <w:bidi w:val="0"/>
              <w:jc w:val="center"/>
              <w:rPr>
                <w:rFonts w:hint="eastAsia"/>
                <w:b/>
                <w:bCs/>
                <w:color w:val="000000"/>
              </w:rPr>
            </w:pPr>
            <w:r>
              <w:rPr>
                <w:rFonts w:hint="eastAsia"/>
                <w:b/>
                <w:bCs/>
                <w:color w:val="000000"/>
              </w:rPr>
              <w:t>农民人均纯收入（元）</w:t>
            </w:r>
          </w:p>
        </w:tc>
        <w:tc>
          <w:tcPr>
            <w:tcW w:w="446" w:type="pct"/>
            <w:tcBorders>
              <w:top w:val="single" w:color="000000" w:sz="8" w:space="0"/>
              <w:left w:val="single" w:color="000000" w:sz="8" w:space="0"/>
              <w:bottom w:val="single" w:color="000000" w:sz="8" w:space="0"/>
              <w:right w:val="nil"/>
            </w:tcBorders>
            <w:shd w:val="clear" w:color="auto" w:fill="FFFFFF"/>
            <w:vAlign w:val="center"/>
          </w:tcPr>
          <w:p w14:paraId="3290F0BB">
            <w:pPr>
              <w:pStyle w:val="10"/>
              <w:bidi w:val="0"/>
              <w:jc w:val="center"/>
              <w:rPr>
                <w:rFonts w:hint="eastAsia"/>
                <w:b/>
                <w:bCs/>
                <w:color w:val="000000"/>
              </w:rPr>
            </w:pPr>
            <w:r>
              <w:rPr>
                <w:rFonts w:hint="eastAsia"/>
                <w:b/>
                <w:bCs/>
                <w:color w:val="000000"/>
              </w:rPr>
              <w:t>主要经</w:t>
            </w:r>
          </w:p>
          <w:p w14:paraId="2CD1A3AB">
            <w:pPr>
              <w:pStyle w:val="10"/>
              <w:bidi w:val="0"/>
              <w:jc w:val="center"/>
              <w:rPr>
                <w:rFonts w:hint="eastAsia"/>
                <w:b/>
                <w:bCs/>
                <w:color w:val="000000"/>
              </w:rPr>
            </w:pPr>
            <w:r>
              <w:rPr>
                <w:rFonts w:hint="eastAsia"/>
                <w:b/>
                <w:bCs/>
                <w:color w:val="000000"/>
              </w:rPr>
              <w:t>济作物</w:t>
            </w:r>
          </w:p>
        </w:tc>
      </w:tr>
      <w:tr w14:paraId="55B2DF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tcBorders>
              <w:top w:val="single" w:color="000000" w:sz="8" w:space="0"/>
              <w:left w:val="nil"/>
              <w:bottom w:val="single" w:color="000000" w:sz="8" w:space="0"/>
              <w:right w:val="single" w:color="000000" w:sz="8" w:space="0"/>
            </w:tcBorders>
            <w:shd w:val="clear" w:color="auto" w:fill="FFFFFF"/>
            <w:vAlign w:val="center"/>
          </w:tcPr>
          <w:p w14:paraId="097E92C7">
            <w:pPr>
              <w:pStyle w:val="10"/>
              <w:bidi w:val="0"/>
              <w:jc w:val="center"/>
              <w:rPr>
                <w:rFonts w:hint="eastAsia"/>
                <w:color w:val="000000"/>
              </w:rPr>
            </w:pPr>
            <w:r>
              <w:rPr>
                <w:rFonts w:hint="eastAsia"/>
                <w:color w:val="000000"/>
              </w:rPr>
              <w:t>社区</w:t>
            </w:r>
          </w:p>
        </w:tc>
        <w:tc>
          <w:tcPr>
            <w:tcW w:w="39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D7AB6B7">
            <w:pPr>
              <w:pStyle w:val="10"/>
              <w:bidi w:val="0"/>
              <w:jc w:val="center"/>
              <w:rPr>
                <w:rFonts w:hint="eastAsia"/>
                <w:color w:val="000000"/>
              </w:rPr>
            </w:pPr>
            <w:r>
              <w:rPr>
                <w:rFonts w:hint="eastAsia"/>
                <w:color w:val="000000"/>
              </w:rPr>
              <w:t>0</w:t>
            </w:r>
          </w:p>
        </w:tc>
        <w:tc>
          <w:tcPr>
            <w:tcW w:w="40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0A0B1D5">
            <w:pPr>
              <w:pStyle w:val="10"/>
              <w:bidi w:val="0"/>
              <w:jc w:val="center"/>
              <w:rPr>
                <w:rFonts w:hint="eastAsia"/>
                <w:color w:val="000000"/>
              </w:rPr>
            </w:pPr>
            <w:r>
              <w:rPr>
                <w:rFonts w:hint="eastAsia"/>
                <w:color w:val="000000"/>
              </w:rPr>
              <w:t>1568</w:t>
            </w:r>
          </w:p>
        </w:tc>
        <w:tc>
          <w:tcPr>
            <w:tcW w:w="38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611C763">
            <w:pPr>
              <w:pStyle w:val="10"/>
              <w:bidi w:val="0"/>
              <w:jc w:val="center"/>
              <w:rPr>
                <w:rFonts w:hint="eastAsia"/>
                <w:color w:val="000000"/>
              </w:rPr>
            </w:pPr>
            <w:r>
              <w:rPr>
                <w:rFonts w:hint="eastAsia"/>
                <w:color w:val="000000"/>
              </w:rPr>
              <w:t>1679</w:t>
            </w:r>
          </w:p>
        </w:tc>
        <w:tc>
          <w:tcPr>
            <w:tcW w:w="45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724D9DE">
            <w:pPr>
              <w:pStyle w:val="10"/>
              <w:bidi w:val="0"/>
              <w:jc w:val="center"/>
              <w:rPr>
                <w:rFonts w:hint="eastAsia"/>
                <w:color w:val="000000"/>
              </w:rPr>
            </w:pPr>
            <w:r>
              <w:rPr>
                <w:rFonts w:hint="eastAsia"/>
                <w:color w:val="000000"/>
              </w:rPr>
              <w:t>1203</w:t>
            </w:r>
          </w:p>
        </w:tc>
        <w:tc>
          <w:tcPr>
            <w:tcW w:w="494"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8DBC742">
            <w:pPr>
              <w:pStyle w:val="10"/>
              <w:bidi w:val="0"/>
              <w:jc w:val="center"/>
              <w:rPr>
                <w:rFonts w:hint="eastAsia"/>
                <w:color w:val="000000"/>
              </w:rPr>
            </w:pPr>
            <w:r>
              <w:rPr>
                <w:rFonts w:hint="eastAsia"/>
                <w:color w:val="000000"/>
              </w:rPr>
              <w:t>0</w:t>
            </w:r>
          </w:p>
        </w:tc>
        <w:tc>
          <w:tcPr>
            <w:tcW w:w="47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B8676B8">
            <w:pPr>
              <w:pStyle w:val="10"/>
              <w:bidi w:val="0"/>
              <w:jc w:val="center"/>
              <w:rPr>
                <w:rFonts w:hint="eastAsia"/>
                <w:color w:val="000000"/>
              </w:rPr>
            </w:pPr>
            <w:r>
              <w:rPr>
                <w:rFonts w:hint="eastAsia"/>
                <w:color w:val="000000"/>
              </w:rPr>
              <w:t>0</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2EDC6AF">
            <w:pPr>
              <w:pStyle w:val="10"/>
              <w:bidi w:val="0"/>
              <w:jc w:val="center"/>
              <w:rPr>
                <w:rFonts w:hint="eastAsia"/>
                <w:color w:val="000000"/>
              </w:rPr>
            </w:pPr>
            <w:r>
              <w:rPr>
                <w:rFonts w:hint="eastAsia"/>
                <w:color w:val="000000"/>
              </w:rPr>
              <w:t>0</w:t>
            </w:r>
          </w:p>
        </w:tc>
        <w:tc>
          <w:tcPr>
            <w:tcW w:w="49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A9F1579">
            <w:pPr>
              <w:pStyle w:val="10"/>
              <w:bidi w:val="0"/>
              <w:jc w:val="center"/>
              <w:rPr>
                <w:rFonts w:hint="eastAsia"/>
                <w:color w:val="000000"/>
              </w:rPr>
            </w:pPr>
            <w:r>
              <w:rPr>
                <w:rFonts w:hint="eastAsia"/>
                <w:color w:val="000000"/>
              </w:rPr>
              <w:t>0</w:t>
            </w:r>
          </w:p>
        </w:tc>
        <w:tc>
          <w:tcPr>
            <w:tcW w:w="45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17CA70F">
            <w:pPr>
              <w:pStyle w:val="10"/>
              <w:bidi w:val="0"/>
              <w:jc w:val="center"/>
              <w:rPr>
                <w:rFonts w:hint="eastAsia"/>
                <w:color w:val="000000"/>
              </w:rPr>
            </w:pPr>
            <w:r>
              <w:rPr>
                <w:rFonts w:hint="eastAsia"/>
                <w:color w:val="000000"/>
              </w:rPr>
              <w:t>0</w:t>
            </w:r>
          </w:p>
        </w:tc>
        <w:tc>
          <w:tcPr>
            <w:tcW w:w="446" w:type="pct"/>
            <w:tcBorders>
              <w:top w:val="single" w:color="000000" w:sz="8" w:space="0"/>
              <w:left w:val="single" w:color="000000" w:sz="8" w:space="0"/>
              <w:bottom w:val="single" w:color="000000" w:sz="8" w:space="0"/>
              <w:right w:val="nil"/>
            </w:tcBorders>
            <w:shd w:val="clear" w:color="auto" w:fill="FFFFFF"/>
            <w:vAlign w:val="center"/>
          </w:tcPr>
          <w:p w14:paraId="5C77B10C">
            <w:pPr>
              <w:pStyle w:val="10"/>
              <w:bidi w:val="0"/>
              <w:jc w:val="center"/>
              <w:rPr>
                <w:rFonts w:hint="eastAsia"/>
                <w:color w:val="000000"/>
              </w:rPr>
            </w:pPr>
          </w:p>
        </w:tc>
      </w:tr>
      <w:tr w14:paraId="0AD52A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tcBorders>
              <w:top w:val="single" w:color="000000" w:sz="8" w:space="0"/>
              <w:left w:val="nil"/>
              <w:bottom w:val="single" w:color="000000" w:sz="8" w:space="0"/>
              <w:right w:val="single" w:color="000000" w:sz="8" w:space="0"/>
            </w:tcBorders>
            <w:shd w:val="clear" w:color="auto" w:fill="FFFFFF"/>
            <w:vAlign w:val="center"/>
          </w:tcPr>
          <w:p w14:paraId="79C49E75">
            <w:pPr>
              <w:pStyle w:val="10"/>
              <w:bidi w:val="0"/>
              <w:jc w:val="center"/>
              <w:rPr>
                <w:rFonts w:hint="eastAsia"/>
                <w:color w:val="000000"/>
              </w:rPr>
            </w:pPr>
            <w:r>
              <w:rPr>
                <w:color w:val="000000"/>
              </w:rPr>
              <w:t>陂头</w:t>
            </w:r>
          </w:p>
        </w:tc>
        <w:tc>
          <w:tcPr>
            <w:tcW w:w="39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92E3E88">
            <w:pPr>
              <w:pStyle w:val="10"/>
              <w:bidi w:val="0"/>
              <w:jc w:val="center"/>
              <w:rPr>
                <w:rFonts w:hint="eastAsia"/>
                <w:color w:val="000000"/>
              </w:rPr>
            </w:pPr>
            <w:r>
              <w:rPr>
                <w:color w:val="000000"/>
              </w:rPr>
              <w:t>21</w:t>
            </w:r>
          </w:p>
        </w:tc>
        <w:tc>
          <w:tcPr>
            <w:tcW w:w="40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FA524B0">
            <w:pPr>
              <w:pStyle w:val="10"/>
              <w:bidi w:val="0"/>
              <w:jc w:val="center"/>
              <w:rPr>
                <w:rFonts w:hint="eastAsia"/>
                <w:color w:val="000000"/>
              </w:rPr>
            </w:pPr>
            <w:r>
              <w:rPr>
                <w:color w:val="000000"/>
              </w:rPr>
              <w:t>731</w:t>
            </w:r>
          </w:p>
        </w:tc>
        <w:tc>
          <w:tcPr>
            <w:tcW w:w="38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1ADBACC">
            <w:pPr>
              <w:pStyle w:val="10"/>
              <w:bidi w:val="0"/>
              <w:jc w:val="center"/>
              <w:rPr>
                <w:rFonts w:hint="eastAsia"/>
                <w:color w:val="000000"/>
              </w:rPr>
            </w:pPr>
            <w:r>
              <w:rPr>
                <w:color w:val="000000"/>
              </w:rPr>
              <w:t>3402</w:t>
            </w:r>
          </w:p>
        </w:tc>
        <w:tc>
          <w:tcPr>
            <w:tcW w:w="45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D9A782F">
            <w:pPr>
              <w:pStyle w:val="10"/>
              <w:bidi w:val="0"/>
              <w:jc w:val="center"/>
              <w:rPr>
                <w:rFonts w:hint="eastAsia"/>
                <w:color w:val="000000"/>
              </w:rPr>
            </w:pPr>
            <w:r>
              <w:rPr>
                <w:color w:val="000000"/>
              </w:rPr>
              <w:t>2018</w:t>
            </w:r>
          </w:p>
        </w:tc>
        <w:tc>
          <w:tcPr>
            <w:tcW w:w="494"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2E195F7">
            <w:pPr>
              <w:pStyle w:val="10"/>
              <w:bidi w:val="0"/>
              <w:jc w:val="center"/>
              <w:rPr>
                <w:rFonts w:hint="eastAsia"/>
                <w:color w:val="000000"/>
              </w:rPr>
            </w:pPr>
            <w:r>
              <w:rPr>
                <w:color w:val="000000"/>
              </w:rPr>
              <w:t>3.7366</w:t>
            </w:r>
          </w:p>
        </w:tc>
        <w:tc>
          <w:tcPr>
            <w:tcW w:w="47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ABDAA54">
            <w:pPr>
              <w:pStyle w:val="10"/>
              <w:bidi w:val="0"/>
              <w:jc w:val="center"/>
              <w:rPr>
                <w:rFonts w:hint="eastAsia"/>
                <w:color w:val="000000"/>
              </w:rPr>
            </w:pPr>
            <w:r>
              <w:rPr>
                <w:color w:val="000000"/>
              </w:rPr>
              <w:t>0.2588</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6CBF54F">
            <w:pPr>
              <w:pStyle w:val="10"/>
              <w:bidi w:val="0"/>
              <w:jc w:val="center"/>
              <w:rPr>
                <w:rFonts w:hint="eastAsia"/>
                <w:color w:val="000000"/>
              </w:rPr>
            </w:pPr>
            <w:r>
              <w:rPr>
                <w:color w:val="000000"/>
              </w:rPr>
              <w:t>3</w:t>
            </w:r>
            <w:r>
              <w:rPr>
                <w:rFonts w:hint="eastAsia"/>
                <w:color w:val="000000"/>
              </w:rPr>
              <w:t>.</w:t>
            </w:r>
            <w:r>
              <w:rPr>
                <w:color w:val="000000"/>
              </w:rPr>
              <w:t>35</w:t>
            </w:r>
          </w:p>
        </w:tc>
        <w:tc>
          <w:tcPr>
            <w:tcW w:w="49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406262F">
            <w:pPr>
              <w:pStyle w:val="10"/>
              <w:bidi w:val="0"/>
              <w:jc w:val="center"/>
              <w:rPr>
                <w:rFonts w:hint="eastAsia"/>
                <w:color w:val="000000"/>
              </w:rPr>
            </w:pPr>
            <w:r>
              <w:rPr>
                <w:color w:val="000000"/>
              </w:rPr>
              <w:t>4756</w:t>
            </w:r>
          </w:p>
        </w:tc>
        <w:tc>
          <w:tcPr>
            <w:tcW w:w="45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CAAC340">
            <w:pPr>
              <w:pStyle w:val="10"/>
              <w:bidi w:val="0"/>
              <w:jc w:val="center"/>
              <w:rPr>
                <w:rFonts w:hint="eastAsia"/>
                <w:color w:val="000000"/>
              </w:rPr>
            </w:pPr>
            <w:r>
              <w:rPr>
                <w:color w:val="000000"/>
              </w:rPr>
              <w:t>7778</w:t>
            </w:r>
          </w:p>
        </w:tc>
        <w:tc>
          <w:tcPr>
            <w:tcW w:w="446" w:type="pct"/>
            <w:tcBorders>
              <w:top w:val="single" w:color="000000" w:sz="8" w:space="0"/>
              <w:left w:val="single" w:color="000000" w:sz="8" w:space="0"/>
              <w:bottom w:val="single" w:color="000000" w:sz="8" w:space="0"/>
              <w:right w:val="nil"/>
            </w:tcBorders>
            <w:shd w:val="clear" w:color="auto" w:fill="FFFFFF"/>
            <w:vAlign w:val="center"/>
          </w:tcPr>
          <w:p w14:paraId="55CF40F3">
            <w:pPr>
              <w:pStyle w:val="10"/>
              <w:bidi w:val="0"/>
              <w:jc w:val="center"/>
              <w:rPr>
                <w:rFonts w:hint="eastAsia"/>
                <w:color w:val="000000"/>
              </w:rPr>
            </w:pPr>
            <w:r>
              <w:rPr>
                <w:rFonts w:hint="eastAsia"/>
                <w:color w:val="000000"/>
              </w:rPr>
              <w:t>黄烟、花生</w:t>
            </w:r>
          </w:p>
        </w:tc>
      </w:tr>
      <w:tr w14:paraId="33918C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tcBorders>
              <w:top w:val="single" w:color="000000" w:sz="8" w:space="0"/>
              <w:left w:val="nil"/>
              <w:bottom w:val="single" w:color="000000" w:sz="8" w:space="0"/>
              <w:right w:val="single" w:color="000000" w:sz="8" w:space="0"/>
            </w:tcBorders>
            <w:shd w:val="clear" w:color="auto" w:fill="FFFFFF"/>
            <w:vAlign w:val="center"/>
          </w:tcPr>
          <w:p w14:paraId="7F44CF9A">
            <w:pPr>
              <w:pStyle w:val="10"/>
              <w:bidi w:val="0"/>
              <w:jc w:val="center"/>
              <w:rPr>
                <w:rFonts w:hint="eastAsia"/>
                <w:color w:val="000000"/>
              </w:rPr>
            </w:pPr>
            <w:r>
              <w:rPr>
                <w:color w:val="000000"/>
              </w:rPr>
              <w:t>羊角</w:t>
            </w:r>
          </w:p>
        </w:tc>
        <w:tc>
          <w:tcPr>
            <w:tcW w:w="39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0F48B0A">
            <w:pPr>
              <w:pStyle w:val="10"/>
              <w:bidi w:val="0"/>
              <w:jc w:val="center"/>
              <w:rPr>
                <w:rFonts w:hint="eastAsia"/>
                <w:color w:val="000000"/>
              </w:rPr>
            </w:pPr>
            <w:r>
              <w:rPr>
                <w:color w:val="000000"/>
              </w:rPr>
              <w:t>21</w:t>
            </w:r>
          </w:p>
        </w:tc>
        <w:tc>
          <w:tcPr>
            <w:tcW w:w="40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D801776">
            <w:pPr>
              <w:pStyle w:val="10"/>
              <w:bidi w:val="0"/>
              <w:jc w:val="center"/>
              <w:rPr>
                <w:rFonts w:hint="eastAsia"/>
                <w:color w:val="000000"/>
              </w:rPr>
            </w:pPr>
            <w:r>
              <w:rPr>
                <w:color w:val="000000"/>
              </w:rPr>
              <w:t>822</w:t>
            </w:r>
          </w:p>
        </w:tc>
        <w:tc>
          <w:tcPr>
            <w:tcW w:w="38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9BD9558">
            <w:pPr>
              <w:pStyle w:val="10"/>
              <w:bidi w:val="0"/>
              <w:jc w:val="center"/>
              <w:rPr>
                <w:rFonts w:hint="eastAsia"/>
                <w:color w:val="000000"/>
              </w:rPr>
            </w:pPr>
            <w:r>
              <w:rPr>
                <w:color w:val="000000"/>
              </w:rPr>
              <w:t>3458</w:t>
            </w:r>
          </w:p>
        </w:tc>
        <w:tc>
          <w:tcPr>
            <w:tcW w:w="45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A84FBE5">
            <w:pPr>
              <w:pStyle w:val="10"/>
              <w:bidi w:val="0"/>
              <w:jc w:val="center"/>
              <w:rPr>
                <w:rFonts w:hint="eastAsia"/>
                <w:color w:val="000000"/>
              </w:rPr>
            </w:pPr>
            <w:r>
              <w:rPr>
                <w:color w:val="000000"/>
              </w:rPr>
              <w:t>2049</w:t>
            </w:r>
          </w:p>
        </w:tc>
        <w:tc>
          <w:tcPr>
            <w:tcW w:w="494"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897EA2E">
            <w:pPr>
              <w:pStyle w:val="10"/>
              <w:bidi w:val="0"/>
              <w:jc w:val="center"/>
              <w:rPr>
                <w:rFonts w:hint="eastAsia"/>
                <w:color w:val="000000"/>
              </w:rPr>
            </w:pPr>
            <w:r>
              <w:rPr>
                <w:color w:val="000000"/>
              </w:rPr>
              <w:t>0.4902</w:t>
            </w:r>
          </w:p>
        </w:tc>
        <w:tc>
          <w:tcPr>
            <w:tcW w:w="47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A232F48">
            <w:pPr>
              <w:pStyle w:val="10"/>
              <w:bidi w:val="0"/>
              <w:jc w:val="center"/>
              <w:rPr>
                <w:rFonts w:hint="eastAsia"/>
                <w:color w:val="000000"/>
              </w:rPr>
            </w:pPr>
            <w:r>
              <w:rPr>
                <w:color w:val="000000"/>
              </w:rPr>
              <w:t>0.3221</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EFE16BC">
            <w:pPr>
              <w:pStyle w:val="10"/>
              <w:bidi w:val="0"/>
              <w:jc w:val="center"/>
              <w:rPr>
                <w:rFonts w:hint="eastAsia"/>
                <w:color w:val="000000"/>
              </w:rPr>
            </w:pPr>
            <w:r>
              <w:rPr>
                <w:rFonts w:hint="eastAsia"/>
                <w:color w:val="000000"/>
              </w:rPr>
              <w:t>0.</w:t>
            </w:r>
            <w:r>
              <w:rPr>
                <w:color w:val="000000"/>
              </w:rPr>
              <w:t>85</w:t>
            </w:r>
          </w:p>
        </w:tc>
        <w:tc>
          <w:tcPr>
            <w:tcW w:w="49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9E111E8">
            <w:pPr>
              <w:pStyle w:val="10"/>
              <w:bidi w:val="0"/>
              <w:jc w:val="center"/>
              <w:rPr>
                <w:rFonts w:hint="eastAsia"/>
                <w:color w:val="000000"/>
              </w:rPr>
            </w:pPr>
            <w:r>
              <w:rPr>
                <w:color w:val="000000"/>
              </w:rPr>
              <w:t>4835</w:t>
            </w:r>
          </w:p>
        </w:tc>
        <w:tc>
          <w:tcPr>
            <w:tcW w:w="45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AC8DFD9">
            <w:pPr>
              <w:pStyle w:val="10"/>
              <w:bidi w:val="0"/>
              <w:jc w:val="center"/>
              <w:rPr>
                <w:rFonts w:hint="eastAsia"/>
                <w:color w:val="000000"/>
              </w:rPr>
            </w:pPr>
            <w:r>
              <w:rPr>
                <w:color w:val="000000"/>
              </w:rPr>
              <w:t>7699</w:t>
            </w:r>
          </w:p>
        </w:tc>
        <w:tc>
          <w:tcPr>
            <w:tcW w:w="446" w:type="pct"/>
            <w:tcBorders>
              <w:top w:val="single" w:color="000000" w:sz="8" w:space="0"/>
              <w:left w:val="single" w:color="000000" w:sz="8" w:space="0"/>
              <w:bottom w:val="single" w:color="000000" w:sz="8" w:space="0"/>
              <w:right w:val="nil"/>
            </w:tcBorders>
            <w:shd w:val="clear" w:color="auto" w:fill="FFFFFF"/>
            <w:vAlign w:val="center"/>
          </w:tcPr>
          <w:p w14:paraId="5DE791CE">
            <w:pPr>
              <w:pStyle w:val="10"/>
              <w:bidi w:val="0"/>
              <w:jc w:val="center"/>
              <w:rPr>
                <w:rFonts w:hint="eastAsia"/>
                <w:color w:val="000000"/>
              </w:rPr>
            </w:pPr>
            <w:r>
              <w:rPr>
                <w:rFonts w:hint="eastAsia"/>
                <w:color w:val="000000"/>
              </w:rPr>
              <w:t>水稻</w:t>
            </w:r>
          </w:p>
        </w:tc>
      </w:tr>
      <w:tr w14:paraId="7933A9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tcBorders>
              <w:top w:val="single" w:color="000000" w:sz="8" w:space="0"/>
              <w:left w:val="nil"/>
              <w:bottom w:val="single" w:color="000000" w:sz="8" w:space="0"/>
              <w:right w:val="single" w:color="000000" w:sz="8" w:space="0"/>
            </w:tcBorders>
            <w:shd w:val="clear" w:color="auto" w:fill="FFFFFF"/>
            <w:vAlign w:val="center"/>
          </w:tcPr>
          <w:p w14:paraId="088C87BC">
            <w:pPr>
              <w:pStyle w:val="10"/>
              <w:bidi w:val="0"/>
              <w:jc w:val="center"/>
              <w:rPr>
                <w:rFonts w:hint="eastAsia"/>
                <w:color w:val="000000"/>
              </w:rPr>
            </w:pPr>
            <w:r>
              <w:rPr>
                <w:color w:val="000000"/>
              </w:rPr>
              <w:t>古塘</w:t>
            </w:r>
          </w:p>
        </w:tc>
        <w:tc>
          <w:tcPr>
            <w:tcW w:w="39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03524FE">
            <w:pPr>
              <w:pStyle w:val="10"/>
              <w:bidi w:val="0"/>
              <w:jc w:val="center"/>
              <w:rPr>
                <w:rFonts w:hint="eastAsia"/>
                <w:color w:val="000000"/>
              </w:rPr>
            </w:pPr>
            <w:r>
              <w:rPr>
                <w:color w:val="000000"/>
              </w:rPr>
              <w:t>16</w:t>
            </w:r>
          </w:p>
        </w:tc>
        <w:tc>
          <w:tcPr>
            <w:tcW w:w="40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E40D263">
            <w:pPr>
              <w:pStyle w:val="10"/>
              <w:bidi w:val="0"/>
              <w:jc w:val="center"/>
              <w:rPr>
                <w:rFonts w:hint="eastAsia"/>
                <w:color w:val="000000"/>
              </w:rPr>
            </w:pPr>
            <w:r>
              <w:rPr>
                <w:color w:val="000000"/>
              </w:rPr>
              <w:t>651</w:t>
            </w:r>
          </w:p>
        </w:tc>
        <w:tc>
          <w:tcPr>
            <w:tcW w:w="38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C4AE41E">
            <w:pPr>
              <w:pStyle w:val="10"/>
              <w:bidi w:val="0"/>
              <w:jc w:val="center"/>
              <w:rPr>
                <w:rFonts w:hint="eastAsia"/>
                <w:color w:val="000000"/>
              </w:rPr>
            </w:pPr>
            <w:r>
              <w:rPr>
                <w:color w:val="000000"/>
              </w:rPr>
              <w:t>2683</w:t>
            </w:r>
          </w:p>
        </w:tc>
        <w:tc>
          <w:tcPr>
            <w:tcW w:w="45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345D1D2">
            <w:pPr>
              <w:pStyle w:val="10"/>
              <w:bidi w:val="0"/>
              <w:jc w:val="center"/>
              <w:rPr>
                <w:rFonts w:hint="eastAsia"/>
                <w:color w:val="000000"/>
              </w:rPr>
            </w:pPr>
            <w:r>
              <w:rPr>
                <w:color w:val="000000"/>
              </w:rPr>
              <w:t>1589</w:t>
            </w:r>
          </w:p>
        </w:tc>
        <w:tc>
          <w:tcPr>
            <w:tcW w:w="494"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423115A">
            <w:pPr>
              <w:pStyle w:val="10"/>
              <w:bidi w:val="0"/>
              <w:jc w:val="center"/>
              <w:rPr>
                <w:rFonts w:hint="eastAsia"/>
                <w:color w:val="000000"/>
              </w:rPr>
            </w:pPr>
            <w:r>
              <w:rPr>
                <w:color w:val="000000"/>
              </w:rPr>
              <w:t>0.4082</w:t>
            </w:r>
          </w:p>
        </w:tc>
        <w:tc>
          <w:tcPr>
            <w:tcW w:w="47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390A646">
            <w:pPr>
              <w:pStyle w:val="10"/>
              <w:bidi w:val="0"/>
              <w:jc w:val="center"/>
              <w:rPr>
                <w:rFonts w:hint="eastAsia"/>
                <w:color w:val="000000"/>
              </w:rPr>
            </w:pPr>
            <w:r>
              <w:rPr>
                <w:color w:val="000000"/>
              </w:rPr>
              <w:t>0.2212</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8BFFC98">
            <w:pPr>
              <w:pStyle w:val="10"/>
              <w:bidi w:val="0"/>
              <w:jc w:val="center"/>
              <w:rPr>
                <w:rFonts w:hint="eastAsia"/>
                <w:color w:val="000000"/>
              </w:rPr>
            </w:pPr>
            <w:r>
              <w:rPr>
                <w:color w:val="000000"/>
              </w:rPr>
              <w:t>0.09</w:t>
            </w:r>
          </w:p>
        </w:tc>
        <w:tc>
          <w:tcPr>
            <w:tcW w:w="49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A6EEBF3">
            <w:pPr>
              <w:pStyle w:val="10"/>
              <w:bidi w:val="0"/>
              <w:jc w:val="center"/>
              <w:rPr>
                <w:rFonts w:hint="eastAsia"/>
                <w:color w:val="000000"/>
              </w:rPr>
            </w:pPr>
            <w:r>
              <w:rPr>
                <w:color w:val="000000"/>
              </w:rPr>
              <w:t>3739</w:t>
            </w:r>
          </w:p>
        </w:tc>
        <w:tc>
          <w:tcPr>
            <w:tcW w:w="45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F245998">
            <w:pPr>
              <w:pStyle w:val="10"/>
              <w:bidi w:val="0"/>
              <w:jc w:val="center"/>
              <w:rPr>
                <w:rFonts w:hint="eastAsia"/>
                <w:color w:val="000000"/>
              </w:rPr>
            </w:pPr>
            <w:r>
              <w:rPr>
                <w:color w:val="000000"/>
              </w:rPr>
              <w:t>7710</w:t>
            </w:r>
          </w:p>
        </w:tc>
        <w:tc>
          <w:tcPr>
            <w:tcW w:w="446" w:type="pct"/>
            <w:tcBorders>
              <w:top w:val="single" w:color="000000" w:sz="8" w:space="0"/>
              <w:left w:val="single" w:color="000000" w:sz="8" w:space="0"/>
              <w:bottom w:val="single" w:color="000000" w:sz="8" w:space="0"/>
              <w:right w:val="nil"/>
            </w:tcBorders>
            <w:shd w:val="clear" w:color="auto" w:fill="FFFFFF"/>
            <w:vAlign w:val="center"/>
          </w:tcPr>
          <w:p w14:paraId="12211E1D">
            <w:pPr>
              <w:pStyle w:val="10"/>
              <w:bidi w:val="0"/>
              <w:jc w:val="center"/>
              <w:rPr>
                <w:rFonts w:hint="eastAsia"/>
                <w:color w:val="000000"/>
              </w:rPr>
            </w:pPr>
            <w:r>
              <w:rPr>
                <w:rFonts w:hint="eastAsia"/>
                <w:color w:val="000000"/>
              </w:rPr>
              <w:t>水稻</w:t>
            </w:r>
          </w:p>
        </w:tc>
      </w:tr>
      <w:tr w14:paraId="40FD59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tcBorders>
              <w:top w:val="single" w:color="000000" w:sz="8" w:space="0"/>
              <w:left w:val="nil"/>
              <w:bottom w:val="single" w:color="000000" w:sz="8" w:space="0"/>
              <w:right w:val="single" w:color="000000" w:sz="8" w:space="0"/>
            </w:tcBorders>
            <w:shd w:val="clear" w:color="auto" w:fill="FFFFFF"/>
            <w:vAlign w:val="center"/>
          </w:tcPr>
          <w:p w14:paraId="6759B37B">
            <w:pPr>
              <w:pStyle w:val="10"/>
              <w:bidi w:val="0"/>
              <w:jc w:val="center"/>
              <w:rPr>
                <w:rFonts w:hint="eastAsia"/>
                <w:color w:val="000000"/>
              </w:rPr>
            </w:pPr>
            <w:r>
              <w:rPr>
                <w:color w:val="000000"/>
              </w:rPr>
              <w:t>全安</w:t>
            </w:r>
          </w:p>
        </w:tc>
        <w:tc>
          <w:tcPr>
            <w:tcW w:w="39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9F39862">
            <w:pPr>
              <w:pStyle w:val="10"/>
              <w:bidi w:val="0"/>
              <w:jc w:val="center"/>
              <w:rPr>
                <w:rFonts w:hint="eastAsia"/>
                <w:color w:val="000000"/>
              </w:rPr>
            </w:pPr>
            <w:r>
              <w:rPr>
                <w:color w:val="000000"/>
              </w:rPr>
              <w:t>20</w:t>
            </w:r>
          </w:p>
        </w:tc>
        <w:tc>
          <w:tcPr>
            <w:tcW w:w="40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3DE8B0E">
            <w:pPr>
              <w:pStyle w:val="10"/>
              <w:bidi w:val="0"/>
              <w:jc w:val="center"/>
              <w:rPr>
                <w:rFonts w:hint="eastAsia"/>
                <w:color w:val="000000"/>
              </w:rPr>
            </w:pPr>
            <w:r>
              <w:rPr>
                <w:color w:val="000000"/>
              </w:rPr>
              <w:t>639</w:t>
            </w:r>
          </w:p>
        </w:tc>
        <w:tc>
          <w:tcPr>
            <w:tcW w:w="38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AF182D4">
            <w:pPr>
              <w:pStyle w:val="10"/>
              <w:bidi w:val="0"/>
              <w:jc w:val="center"/>
              <w:rPr>
                <w:rFonts w:hint="eastAsia"/>
                <w:color w:val="000000"/>
              </w:rPr>
            </w:pPr>
            <w:r>
              <w:rPr>
                <w:color w:val="000000"/>
              </w:rPr>
              <w:t>2765</w:t>
            </w:r>
          </w:p>
        </w:tc>
        <w:tc>
          <w:tcPr>
            <w:tcW w:w="45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03F81F3">
            <w:pPr>
              <w:pStyle w:val="10"/>
              <w:bidi w:val="0"/>
              <w:jc w:val="center"/>
              <w:rPr>
                <w:rFonts w:hint="eastAsia"/>
                <w:color w:val="000000"/>
              </w:rPr>
            </w:pPr>
            <w:r>
              <w:rPr>
                <w:color w:val="000000"/>
              </w:rPr>
              <w:t>1637</w:t>
            </w:r>
          </w:p>
        </w:tc>
        <w:tc>
          <w:tcPr>
            <w:tcW w:w="494"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CEB2A7A">
            <w:pPr>
              <w:pStyle w:val="10"/>
              <w:bidi w:val="0"/>
              <w:jc w:val="center"/>
              <w:rPr>
                <w:rFonts w:hint="eastAsia"/>
                <w:color w:val="000000"/>
              </w:rPr>
            </w:pPr>
            <w:r>
              <w:rPr>
                <w:color w:val="000000"/>
              </w:rPr>
              <w:t>1.0452</w:t>
            </w:r>
          </w:p>
        </w:tc>
        <w:tc>
          <w:tcPr>
            <w:tcW w:w="47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02836C3">
            <w:pPr>
              <w:pStyle w:val="10"/>
              <w:bidi w:val="0"/>
              <w:jc w:val="center"/>
              <w:rPr>
                <w:rFonts w:hint="eastAsia"/>
                <w:color w:val="000000"/>
              </w:rPr>
            </w:pPr>
            <w:r>
              <w:rPr>
                <w:color w:val="000000"/>
              </w:rPr>
              <w:t>0.1478</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84998A0">
            <w:pPr>
              <w:pStyle w:val="10"/>
              <w:bidi w:val="0"/>
              <w:jc w:val="center"/>
              <w:rPr>
                <w:rFonts w:hint="eastAsia"/>
                <w:color w:val="000000"/>
              </w:rPr>
            </w:pPr>
            <w:r>
              <w:rPr>
                <w:color w:val="000000"/>
              </w:rPr>
              <w:t>0.82</w:t>
            </w:r>
          </w:p>
        </w:tc>
        <w:tc>
          <w:tcPr>
            <w:tcW w:w="49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8494B14">
            <w:pPr>
              <w:pStyle w:val="10"/>
              <w:bidi w:val="0"/>
              <w:jc w:val="center"/>
              <w:rPr>
                <w:rFonts w:hint="eastAsia"/>
                <w:color w:val="000000"/>
              </w:rPr>
            </w:pPr>
            <w:r>
              <w:rPr>
                <w:color w:val="000000"/>
              </w:rPr>
              <w:t>3854</w:t>
            </w:r>
          </w:p>
        </w:tc>
        <w:tc>
          <w:tcPr>
            <w:tcW w:w="45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4CC51A9">
            <w:pPr>
              <w:pStyle w:val="10"/>
              <w:bidi w:val="0"/>
              <w:jc w:val="center"/>
              <w:rPr>
                <w:rFonts w:hint="eastAsia"/>
                <w:color w:val="000000"/>
              </w:rPr>
            </w:pPr>
            <w:r>
              <w:rPr>
                <w:color w:val="000000"/>
              </w:rPr>
              <w:t>7813</w:t>
            </w:r>
          </w:p>
        </w:tc>
        <w:tc>
          <w:tcPr>
            <w:tcW w:w="446" w:type="pct"/>
            <w:tcBorders>
              <w:top w:val="single" w:color="000000" w:sz="8" w:space="0"/>
              <w:left w:val="single" w:color="000000" w:sz="8" w:space="0"/>
              <w:bottom w:val="single" w:color="000000" w:sz="8" w:space="0"/>
              <w:right w:val="nil"/>
            </w:tcBorders>
            <w:shd w:val="clear" w:color="auto" w:fill="FFFFFF"/>
            <w:vAlign w:val="center"/>
          </w:tcPr>
          <w:p w14:paraId="16598346">
            <w:pPr>
              <w:pStyle w:val="10"/>
              <w:bidi w:val="0"/>
              <w:jc w:val="center"/>
              <w:rPr>
                <w:rFonts w:hint="eastAsia"/>
                <w:color w:val="000000"/>
              </w:rPr>
            </w:pPr>
            <w:r>
              <w:rPr>
                <w:rFonts w:hint="eastAsia"/>
                <w:color w:val="000000"/>
              </w:rPr>
              <w:t>水稻</w:t>
            </w:r>
          </w:p>
        </w:tc>
      </w:tr>
      <w:tr w14:paraId="3F3103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tcBorders>
              <w:top w:val="single" w:color="000000" w:sz="8" w:space="0"/>
              <w:left w:val="nil"/>
              <w:bottom w:val="single" w:color="000000" w:sz="8" w:space="0"/>
              <w:right w:val="single" w:color="000000" w:sz="8" w:space="0"/>
            </w:tcBorders>
            <w:shd w:val="clear" w:color="auto" w:fill="FFFFFF"/>
            <w:vAlign w:val="center"/>
          </w:tcPr>
          <w:p w14:paraId="5EE3C8F7">
            <w:pPr>
              <w:pStyle w:val="10"/>
              <w:bidi w:val="0"/>
              <w:jc w:val="center"/>
              <w:rPr>
                <w:rFonts w:hint="eastAsia"/>
                <w:color w:val="000000"/>
              </w:rPr>
            </w:pPr>
            <w:r>
              <w:rPr>
                <w:color w:val="000000"/>
              </w:rPr>
              <w:t>王亭石</w:t>
            </w:r>
          </w:p>
        </w:tc>
        <w:tc>
          <w:tcPr>
            <w:tcW w:w="39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178DAE8">
            <w:pPr>
              <w:pStyle w:val="10"/>
              <w:bidi w:val="0"/>
              <w:jc w:val="center"/>
              <w:rPr>
                <w:rFonts w:hint="eastAsia"/>
                <w:color w:val="000000"/>
              </w:rPr>
            </w:pPr>
            <w:r>
              <w:rPr>
                <w:color w:val="000000"/>
              </w:rPr>
              <w:t>11</w:t>
            </w:r>
          </w:p>
        </w:tc>
        <w:tc>
          <w:tcPr>
            <w:tcW w:w="40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8A7E62D">
            <w:pPr>
              <w:pStyle w:val="10"/>
              <w:bidi w:val="0"/>
              <w:jc w:val="center"/>
              <w:rPr>
                <w:rFonts w:hint="eastAsia"/>
                <w:color w:val="000000"/>
              </w:rPr>
            </w:pPr>
            <w:r>
              <w:rPr>
                <w:color w:val="000000"/>
              </w:rPr>
              <w:t>283</w:t>
            </w:r>
          </w:p>
        </w:tc>
        <w:tc>
          <w:tcPr>
            <w:tcW w:w="38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C9FB904">
            <w:pPr>
              <w:pStyle w:val="10"/>
              <w:bidi w:val="0"/>
              <w:jc w:val="center"/>
              <w:rPr>
                <w:rFonts w:hint="eastAsia"/>
                <w:color w:val="000000"/>
              </w:rPr>
            </w:pPr>
            <w:r>
              <w:rPr>
                <w:color w:val="000000"/>
              </w:rPr>
              <w:t>1288</w:t>
            </w:r>
          </w:p>
        </w:tc>
        <w:tc>
          <w:tcPr>
            <w:tcW w:w="45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1AEA8DA">
            <w:pPr>
              <w:pStyle w:val="10"/>
              <w:bidi w:val="0"/>
              <w:jc w:val="center"/>
              <w:rPr>
                <w:rFonts w:hint="eastAsia"/>
                <w:color w:val="000000"/>
              </w:rPr>
            </w:pPr>
            <w:r>
              <w:rPr>
                <w:color w:val="000000"/>
              </w:rPr>
              <w:t>759</w:t>
            </w:r>
          </w:p>
        </w:tc>
        <w:tc>
          <w:tcPr>
            <w:tcW w:w="494"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0DD2A72">
            <w:pPr>
              <w:pStyle w:val="10"/>
              <w:bidi w:val="0"/>
              <w:jc w:val="center"/>
              <w:rPr>
                <w:rFonts w:hint="eastAsia"/>
                <w:color w:val="000000"/>
              </w:rPr>
            </w:pPr>
            <w:r>
              <w:rPr>
                <w:color w:val="000000"/>
              </w:rPr>
              <w:t>0.4407</w:t>
            </w:r>
          </w:p>
        </w:tc>
        <w:tc>
          <w:tcPr>
            <w:tcW w:w="47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17C3944">
            <w:pPr>
              <w:pStyle w:val="10"/>
              <w:bidi w:val="0"/>
              <w:jc w:val="center"/>
              <w:rPr>
                <w:rFonts w:hint="eastAsia"/>
                <w:color w:val="000000"/>
              </w:rPr>
            </w:pPr>
            <w:r>
              <w:rPr>
                <w:color w:val="000000"/>
              </w:rPr>
              <w:t>0.2333</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D4C382E">
            <w:pPr>
              <w:pStyle w:val="10"/>
              <w:bidi w:val="0"/>
              <w:jc w:val="center"/>
              <w:rPr>
                <w:rFonts w:hint="eastAsia"/>
                <w:color w:val="000000"/>
              </w:rPr>
            </w:pPr>
            <w:r>
              <w:rPr>
                <w:color w:val="000000"/>
              </w:rPr>
              <w:t>0.1903</w:t>
            </w:r>
          </w:p>
        </w:tc>
        <w:tc>
          <w:tcPr>
            <w:tcW w:w="49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D11A112">
            <w:pPr>
              <w:pStyle w:val="10"/>
              <w:bidi w:val="0"/>
              <w:jc w:val="center"/>
              <w:rPr>
                <w:rFonts w:hint="eastAsia"/>
                <w:color w:val="000000"/>
              </w:rPr>
            </w:pPr>
            <w:r>
              <w:rPr>
                <w:color w:val="000000"/>
              </w:rPr>
              <w:t>1765</w:t>
            </w:r>
          </w:p>
        </w:tc>
        <w:tc>
          <w:tcPr>
            <w:tcW w:w="45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0794564">
            <w:pPr>
              <w:pStyle w:val="10"/>
              <w:bidi w:val="0"/>
              <w:jc w:val="center"/>
              <w:rPr>
                <w:rFonts w:hint="eastAsia"/>
                <w:color w:val="000000"/>
              </w:rPr>
            </w:pPr>
            <w:r>
              <w:rPr>
                <w:color w:val="000000"/>
              </w:rPr>
              <w:t>7697</w:t>
            </w:r>
          </w:p>
        </w:tc>
        <w:tc>
          <w:tcPr>
            <w:tcW w:w="446" w:type="pct"/>
            <w:tcBorders>
              <w:top w:val="single" w:color="000000" w:sz="8" w:space="0"/>
              <w:left w:val="single" w:color="000000" w:sz="8" w:space="0"/>
              <w:bottom w:val="single" w:color="000000" w:sz="8" w:space="0"/>
              <w:right w:val="nil"/>
            </w:tcBorders>
            <w:shd w:val="clear" w:color="auto" w:fill="FFFFFF"/>
            <w:vAlign w:val="center"/>
          </w:tcPr>
          <w:p w14:paraId="5B3D5BD2">
            <w:pPr>
              <w:pStyle w:val="10"/>
              <w:bidi w:val="0"/>
              <w:jc w:val="center"/>
              <w:rPr>
                <w:rFonts w:hint="eastAsia"/>
                <w:color w:val="000000"/>
              </w:rPr>
            </w:pPr>
            <w:r>
              <w:rPr>
                <w:rFonts w:hint="eastAsia"/>
                <w:color w:val="000000"/>
              </w:rPr>
              <w:t>黄烟、花生</w:t>
            </w:r>
          </w:p>
        </w:tc>
      </w:tr>
      <w:tr w14:paraId="38342C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tcBorders>
              <w:top w:val="single" w:color="000000" w:sz="8" w:space="0"/>
              <w:left w:val="nil"/>
              <w:bottom w:val="single" w:color="000000" w:sz="8" w:space="0"/>
              <w:right w:val="single" w:color="000000" w:sz="8" w:space="0"/>
            </w:tcBorders>
            <w:shd w:val="clear" w:color="auto" w:fill="FFFFFF"/>
            <w:vAlign w:val="center"/>
          </w:tcPr>
          <w:p w14:paraId="2657A535">
            <w:pPr>
              <w:pStyle w:val="10"/>
              <w:bidi w:val="0"/>
              <w:jc w:val="center"/>
              <w:rPr>
                <w:rFonts w:hint="eastAsia"/>
                <w:color w:val="000000"/>
              </w:rPr>
            </w:pPr>
            <w:r>
              <w:rPr>
                <w:color w:val="000000"/>
              </w:rPr>
              <w:t>河塘</w:t>
            </w:r>
          </w:p>
        </w:tc>
        <w:tc>
          <w:tcPr>
            <w:tcW w:w="39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C8FE4A0">
            <w:pPr>
              <w:pStyle w:val="10"/>
              <w:bidi w:val="0"/>
              <w:jc w:val="center"/>
              <w:rPr>
                <w:rFonts w:hint="eastAsia"/>
                <w:color w:val="000000"/>
              </w:rPr>
            </w:pPr>
            <w:r>
              <w:rPr>
                <w:color w:val="000000"/>
              </w:rPr>
              <w:t>13</w:t>
            </w:r>
          </w:p>
        </w:tc>
        <w:tc>
          <w:tcPr>
            <w:tcW w:w="40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6B04F8A">
            <w:pPr>
              <w:pStyle w:val="10"/>
              <w:bidi w:val="0"/>
              <w:jc w:val="center"/>
              <w:rPr>
                <w:rFonts w:hint="eastAsia"/>
                <w:color w:val="000000"/>
              </w:rPr>
            </w:pPr>
            <w:r>
              <w:rPr>
                <w:color w:val="000000"/>
              </w:rPr>
              <w:t>551</w:t>
            </w:r>
          </w:p>
        </w:tc>
        <w:tc>
          <w:tcPr>
            <w:tcW w:w="38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F9FD370">
            <w:pPr>
              <w:pStyle w:val="10"/>
              <w:bidi w:val="0"/>
              <w:jc w:val="center"/>
              <w:rPr>
                <w:rFonts w:hint="eastAsia"/>
                <w:color w:val="000000"/>
              </w:rPr>
            </w:pPr>
            <w:r>
              <w:rPr>
                <w:color w:val="000000"/>
              </w:rPr>
              <w:t>2435</w:t>
            </w:r>
          </w:p>
        </w:tc>
        <w:tc>
          <w:tcPr>
            <w:tcW w:w="45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0F4781E">
            <w:pPr>
              <w:pStyle w:val="10"/>
              <w:bidi w:val="0"/>
              <w:jc w:val="center"/>
              <w:rPr>
                <w:rFonts w:hint="eastAsia"/>
                <w:color w:val="000000"/>
              </w:rPr>
            </w:pPr>
            <w:r>
              <w:rPr>
                <w:color w:val="000000"/>
              </w:rPr>
              <w:t>1441</w:t>
            </w:r>
          </w:p>
        </w:tc>
        <w:tc>
          <w:tcPr>
            <w:tcW w:w="494"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1FA1D5B">
            <w:pPr>
              <w:pStyle w:val="10"/>
              <w:bidi w:val="0"/>
              <w:jc w:val="center"/>
              <w:rPr>
                <w:rFonts w:hint="eastAsia"/>
                <w:color w:val="000000"/>
              </w:rPr>
            </w:pPr>
            <w:r>
              <w:rPr>
                <w:color w:val="000000"/>
              </w:rPr>
              <w:t>0.6326</w:t>
            </w:r>
          </w:p>
        </w:tc>
        <w:tc>
          <w:tcPr>
            <w:tcW w:w="47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2C3C6F4">
            <w:pPr>
              <w:pStyle w:val="10"/>
              <w:bidi w:val="0"/>
              <w:jc w:val="center"/>
              <w:rPr>
                <w:rFonts w:hint="eastAsia"/>
                <w:color w:val="000000"/>
              </w:rPr>
            </w:pPr>
            <w:r>
              <w:rPr>
                <w:color w:val="000000"/>
              </w:rPr>
              <w:t>0.1826</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C236169">
            <w:pPr>
              <w:pStyle w:val="10"/>
              <w:bidi w:val="0"/>
              <w:jc w:val="center"/>
              <w:rPr>
                <w:rFonts w:hint="eastAsia"/>
                <w:color w:val="000000"/>
              </w:rPr>
            </w:pPr>
            <w:r>
              <w:rPr>
                <w:color w:val="000000"/>
              </w:rPr>
              <w:t>0.367</w:t>
            </w:r>
          </w:p>
        </w:tc>
        <w:tc>
          <w:tcPr>
            <w:tcW w:w="49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B84F303">
            <w:pPr>
              <w:pStyle w:val="10"/>
              <w:bidi w:val="0"/>
              <w:jc w:val="center"/>
              <w:rPr>
                <w:rFonts w:hint="eastAsia"/>
                <w:color w:val="000000"/>
              </w:rPr>
            </w:pPr>
            <w:r>
              <w:rPr>
                <w:color w:val="000000"/>
              </w:rPr>
              <w:t>3388</w:t>
            </w:r>
          </w:p>
        </w:tc>
        <w:tc>
          <w:tcPr>
            <w:tcW w:w="45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4FFE7C7">
            <w:pPr>
              <w:pStyle w:val="10"/>
              <w:bidi w:val="0"/>
              <w:jc w:val="center"/>
              <w:rPr>
                <w:rFonts w:hint="eastAsia"/>
                <w:color w:val="000000"/>
              </w:rPr>
            </w:pPr>
            <w:r>
              <w:rPr>
                <w:color w:val="000000"/>
              </w:rPr>
              <w:t>7818</w:t>
            </w:r>
          </w:p>
        </w:tc>
        <w:tc>
          <w:tcPr>
            <w:tcW w:w="446" w:type="pct"/>
            <w:tcBorders>
              <w:top w:val="single" w:color="000000" w:sz="8" w:space="0"/>
              <w:left w:val="single" w:color="000000" w:sz="8" w:space="0"/>
              <w:bottom w:val="single" w:color="000000" w:sz="8" w:space="0"/>
              <w:right w:val="nil"/>
            </w:tcBorders>
            <w:shd w:val="clear" w:color="auto" w:fill="FFFFFF"/>
            <w:vAlign w:val="center"/>
          </w:tcPr>
          <w:p w14:paraId="1C5A3F69">
            <w:pPr>
              <w:pStyle w:val="10"/>
              <w:bidi w:val="0"/>
              <w:jc w:val="center"/>
              <w:rPr>
                <w:rFonts w:hint="eastAsia"/>
                <w:color w:val="000000"/>
              </w:rPr>
            </w:pPr>
            <w:r>
              <w:rPr>
                <w:rFonts w:hint="eastAsia"/>
                <w:color w:val="000000"/>
              </w:rPr>
              <w:t>水稻</w:t>
            </w:r>
          </w:p>
        </w:tc>
      </w:tr>
      <w:tr w14:paraId="388709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tcBorders>
              <w:top w:val="single" w:color="000000" w:sz="8" w:space="0"/>
              <w:left w:val="nil"/>
              <w:bottom w:val="single" w:color="000000" w:sz="8" w:space="0"/>
              <w:right w:val="single" w:color="000000" w:sz="8" w:space="0"/>
            </w:tcBorders>
            <w:shd w:val="clear" w:color="auto" w:fill="FFFFFF"/>
            <w:vAlign w:val="center"/>
          </w:tcPr>
          <w:p w14:paraId="2B74D2C7">
            <w:pPr>
              <w:pStyle w:val="10"/>
              <w:bidi w:val="0"/>
              <w:jc w:val="center"/>
              <w:rPr>
                <w:rFonts w:hint="eastAsia"/>
                <w:color w:val="000000"/>
              </w:rPr>
            </w:pPr>
            <w:r>
              <w:rPr>
                <w:color w:val="000000"/>
              </w:rPr>
              <w:t>杨沥</w:t>
            </w:r>
          </w:p>
        </w:tc>
        <w:tc>
          <w:tcPr>
            <w:tcW w:w="39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6D0C5B0">
            <w:pPr>
              <w:pStyle w:val="10"/>
              <w:bidi w:val="0"/>
              <w:jc w:val="center"/>
              <w:rPr>
                <w:rFonts w:hint="eastAsia"/>
                <w:color w:val="000000"/>
              </w:rPr>
            </w:pPr>
            <w:r>
              <w:rPr>
                <w:color w:val="000000"/>
              </w:rPr>
              <w:t>15</w:t>
            </w:r>
          </w:p>
        </w:tc>
        <w:tc>
          <w:tcPr>
            <w:tcW w:w="40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9796421">
            <w:pPr>
              <w:pStyle w:val="10"/>
              <w:bidi w:val="0"/>
              <w:jc w:val="center"/>
              <w:rPr>
                <w:rFonts w:hint="eastAsia"/>
                <w:color w:val="000000"/>
              </w:rPr>
            </w:pPr>
            <w:r>
              <w:rPr>
                <w:color w:val="000000"/>
              </w:rPr>
              <w:t>551</w:t>
            </w:r>
          </w:p>
        </w:tc>
        <w:tc>
          <w:tcPr>
            <w:tcW w:w="38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F4DB0B4">
            <w:pPr>
              <w:pStyle w:val="10"/>
              <w:bidi w:val="0"/>
              <w:jc w:val="center"/>
              <w:rPr>
                <w:rFonts w:hint="eastAsia"/>
                <w:color w:val="000000"/>
              </w:rPr>
            </w:pPr>
            <w:r>
              <w:rPr>
                <w:color w:val="000000"/>
              </w:rPr>
              <w:t>2375</w:t>
            </w:r>
          </w:p>
        </w:tc>
        <w:tc>
          <w:tcPr>
            <w:tcW w:w="45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29E8C47">
            <w:pPr>
              <w:pStyle w:val="10"/>
              <w:bidi w:val="0"/>
              <w:jc w:val="center"/>
              <w:rPr>
                <w:rFonts w:hint="eastAsia"/>
                <w:color w:val="000000"/>
              </w:rPr>
            </w:pPr>
            <w:r>
              <w:rPr>
                <w:color w:val="000000"/>
              </w:rPr>
              <w:t>1405</w:t>
            </w:r>
          </w:p>
        </w:tc>
        <w:tc>
          <w:tcPr>
            <w:tcW w:w="494"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4B227C9">
            <w:pPr>
              <w:pStyle w:val="10"/>
              <w:bidi w:val="0"/>
              <w:jc w:val="center"/>
              <w:rPr>
                <w:rFonts w:hint="eastAsia"/>
                <w:color w:val="000000"/>
              </w:rPr>
            </w:pPr>
            <w:r>
              <w:rPr>
                <w:color w:val="000000"/>
              </w:rPr>
              <w:t>2.6206</w:t>
            </w:r>
          </w:p>
        </w:tc>
        <w:tc>
          <w:tcPr>
            <w:tcW w:w="47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C1038C3">
            <w:pPr>
              <w:pStyle w:val="10"/>
              <w:bidi w:val="0"/>
              <w:jc w:val="center"/>
              <w:rPr>
                <w:rFonts w:hint="eastAsia"/>
                <w:color w:val="000000"/>
              </w:rPr>
            </w:pPr>
            <w:r>
              <w:rPr>
                <w:color w:val="000000"/>
              </w:rPr>
              <w:t>0.1891</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978A1A9">
            <w:pPr>
              <w:pStyle w:val="10"/>
              <w:bidi w:val="0"/>
              <w:jc w:val="center"/>
              <w:rPr>
                <w:rFonts w:hint="eastAsia"/>
                <w:color w:val="000000"/>
              </w:rPr>
            </w:pPr>
            <w:r>
              <w:rPr>
                <w:color w:val="000000"/>
              </w:rPr>
              <w:t>2.33</w:t>
            </w:r>
          </w:p>
        </w:tc>
        <w:tc>
          <w:tcPr>
            <w:tcW w:w="49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D4D2DDB">
            <w:pPr>
              <w:pStyle w:val="10"/>
              <w:bidi w:val="0"/>
              <w:jc w:val="center"/>
              <w:rPr>
                <w:rFonts w:hint="eastAsia"/>
                <w:color w:val="000000"/>
              </w:rPr>
            </w:pPr>
            <w:r>
              <w:rPr>
                <w:color w:val="000000"/>
              </w:rPr>
              <w:t>3302</w:t>
            </w:r>
          </w:p>
        </w:tc>
        <w:tc>
          <w:tcPr>
            <w:tcW w:w="45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12C7C92">
            <w:pPr>
              <w:pStyle w:val="10"/>
              <w:bidi w:val="0"/>
              <w:jc w:val="center"/>
              <w:rPr>
                <w:rFonts w:hint="eastAsia"/>
                <w:color w:val="000000"/>
              </w:rPr>
            </w:pPr>
            <w:r>
              <w:rPr>
                <w:color w:val="000000"/>
              </w:rPr>
              <w:t>7715</w:t>
            </w:r>
          </w:p>
        </w:tc>
        <w:tc>
          <w:tcPr>
            <w:tcW w:w="446" w:type="pct"/>
            <w:tcBorders>
              <w:top w:val="single" w:color="000000" w:sz="8" w:space="0"/>
              <w:left w:val="single" w:color="000000" w:sz="8" w:space="0"/>
              <w:bottom w:val="single" w:color="000000" w:sz="8" w:space="0"/>
              <w:right w:val="nil"/>
            </w:tcBorders>
            <w:shd w:val="clear" w:color="auto" w:fill="FFFFFF"/>
            <w:vAlign w:val="center"/>
          </w:tcPr>
          <w:p w14:paraId="46D32857">
            <w:pPr>
              <w:pStyle w:val="10"/>
              <w:bidi w:val="0"/>
              <w:jc w:val="center"/>
              <w:rPr>
                <w:rFonts w:hint="eastAsia"/>
                <w:color w:val="000000"/>
              </w:rPr>
            </w:pPr>
            <w:r>
              <w:rPr>
                <w:rFonts w:hint="eastAsia"/>
                <w:color w:val="000000"/>
              </w:rPr>
              <w:t>水稻</w:t>
            </w:r>
          </w:p>
        </w:tc>
      </w:tr>
      <w:tr w14:paraId="0FBC79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tcBorders>
              <w:top w:val="single" w:color="000000" w:sz="8" w:space="0"/>
              <w:left w:val="nil"/>
              <w:bottom w:val="single" w:color="000000" w:sz="8" w:space="0"/>
              <w:right w:val="single" w:color="000000" w:sz="8" w:space="0"/>
            </w:tcBorders>
            <w:shd w:val="clear" w:color="auto" w:fill="FFFFFF"/>
            <w:vAlign w:val="center"/>
          </w:tcPr>
          <w:p w14:paraId="51B30CB7">
            <w:pPr>
              <w:pStyle w:val="10"/>
              <w:bidi w:val="0"/>
              <w:jc w:val="center"/>
              <w:rPr>
                <w:rFonts w:hint="eastAsia"/>
                <w:color w:val="000000"/>
              </w:rPr>
            </w:pPr>
            <w:r>
              <w:rPr>
                <w:color w:val="000000"/>
              </w:rPr>
              <w:t>荔迳</w:t>
            </w:r>
          </w:p>
        </w:tc>
        <w:tc>
          <w:tcPr>
            <w:tcW w:w="39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13D86D7">
            <w:pPr>
              <w:pStyle w:val="10"/>
              <w:bidi w:val="0"/>
              <w:jc w:val="center"/>
              <w:rPr>
                <w:rFonts w:hint="eastAsia"/>
                <w:color w:val="000000"/>
              </w:rPr>
            </w:pPr>
            <w:r>
              <w:rPr>
                <w:color w:val="000000"/>
              </w:rPr>
              <w:t>11</w:t>
            </w:r>
          </w:p>
        </w:tc>
        <w:tc>
          <w:tcPr>
            <w:tcW w:w="40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BB2D197">
            <w:pPr>
              <w:pStyle w:val="10"/>
              <w:bidi w:val="0"/>
              <w:jc w:val="center"/>
              <w:rPr>
                <w:rFonts w:hint="eastAsia"/>
                <w:color w:val="000000"/>
              </w:rPr>
            </w:pPr>
            <w:r>
              <w:rPr>
                <w:color w:val="000000"/>
              </w:rPr>
              <w:t>409</w:t>
            </w:r>
          </w:p>
        </w:tc>
        <w:tc>
          <w:tcPr>
            <w:tcW w:w="38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0E84925">
            <w:pPr>
              <w:pStyle w:val="10"/>
              <w:bidi w:val="0"/>
              <w:jc w:val="center"/>
              <w:rPr>
                <w:rFonts w:hint="eastAsia"/>
                <w:color w:val="000000"/>
              </w:rPr>
            </w:pPr>
            <w:r>
              <w:rPr>
                <w:color w:val="000000"/>
              </w:rPr>
              <w:t>145</w:t>
            </w:r>
            <w:r>
              <w:rPr>
                <w:rFonts w:hint="eastAsia"/>
                <w:color w:val="000000"/>
              </w:rPr>
              <w:t>0</w:t>
            </w:r>
          </w:p>
        </w:tc>
        <w:tc>
          <w:tcPr>
            <w:tcW w:w="45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B172BFE">
            <w:pPr>
              <w:pStyle w:val="10"/>
              <w:bidi w:val="0"/>
              <w:jc w:val="center"/>
              <w:rPr>
                <w:rFonts w:hint="eastAsia"/>
                <w:color w:val="000000"/>
              </w:rPr>
            </w:pPr>
            <w:r>
              <w:rPr>
                <w:color w:val="000000"/>
              </w:rPr>
              <w:t>856</w:t>
            </w:r>
          </w:p>
        </w:tc>
        <w:tc>
          <w:tcPr>
            <w:tcW w:w="494"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A6AE981">
            <w:pPr>
              <w:pStyle w:val="10"/>
              <w:bidi w:val="0"/>
              <w:jc w:val="center"/>
              <w:rPr>
                <w:rFonts w:hint="eastAsia"/>
                <w:color w:val="000000"/>
              </w:rPr>
            </w:pPr>
            <w:r>
              <w:rPr>
                <w:color w:val="000000"/>
              </w:rPr>
              <w:t>1.0004</w:t>
            </w:r>
          </w:p>
        </w:tc>
        <w:tc>
          <w:tcPr>
            <w:tcW w:w="47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E52F544">
            <w:pPr>
              <w:pStyle w:val="10"/>
              <w:bidi w:val="0"/>
              <w:jc w:val="center"/>
              <w:rPr>
                <w:rFonts w:hint="eastAsia"/>
                <w:color w:val="000000"/>
              </w:rPr>
            </w:pPr>
            <w:r>
              <w:rPr>
                <w:color w:val="000000"/>
              </w:rPr>
              <w:t>0.1229</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8E0F819">
            <w:pPr>
              <w:pStyle w:val="10"/>
              <w:bidi w:val="0"/>
              <w:jc w:val="center"/>
              <w:rPr>
                <w:rFonts w:hint="eastAsia"/>
                <w:color w:val="000000"/>
              </w:rPr>
            </w:pPr>
            <w:r>
              <w:rPr>
                <w:color w:val="000000"/>
              </w:rPr>
              <w:t>0.847</w:t>
            </w:r>
          </w:p>
        </w:tc>
        <w:tc>
          <w:tcPr>
            <w:tcW w:w="49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52C2420">
            <w:pPr>
              <w:pStyle w:val="10"/>
              <w:bidi w:val="0"/>
              <w:jc w:val="center"/>
              <w:rPr>
                <w:rFonts w:hint="eastAsia"/>
                <w:color w:val="000000"/>
              </w:rPr>
            </w:pPr>
            <w:r>
              <w:rPr>
                <w:color w:val="000000"/>
              </w:rPr>
              <w:t>1994</w:t>
            </w:r>
          </w:p>
        </w:tc>
        <w:tc>
          <w:tcPr>
            <w:tcW w:w="45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8C3D21B">
            <w:pPr>
              <w:pStyle w:val="10"/>
              <w:bidi w:val="0"/>
              <w:jc w:val="center"/>
              <w:rPr>
                <w:rFonts w:hint="eastAsia"/>
                <w:color w:val="000000"/>
              </w:rPr>
            </w:pPr>
            <w:r>
              <w:rPr>
                <w:color w:val="000000"/>
              </w:rPr>
              <w:t>7722</w:t>
            </w:r>
          </w:p>
        </w:tc>
        <w:tc>
          <w:tcPr>
            <w:tcW w:w="446" w:type="pct"/>
            <w:tcBorders>
              <w:top w:val="single" w:color="000000" w:sz="8" w:space="0"/>
              <w:left w:val="single" w:color="000000" w:sz="8" w:space="0"/>
              <w:bottom w:val="single" w:color="000000" w:sz="8" w:space="0"/>
              <w:right w:val="nil"/>
            </w:tcBorders>
            <w:shd w:val="clear" w:color="auto" w:fill="FFFFFF"/>
            <w:vAlign w:val="center"/>
          </w:tcPr>
          <w:p w14:paraId="4B0AF4CB">
            <w:pPr>
              <w:pStyle w:val="10"/>
              <w:bidi w:val="0"/>
              <w:jc w:val="center"/>
              <w:rPr>
                <w:rFonts w:hint="eastAsia"/>
                <w:color w:val="000000"/>
              </w:rPr>
            </w:pPr>
            <w:r>
              <w:rPr>
                <w:rFonts w:hint="eastAsia"/>
                <w:color w:val="000000"/>
              </w:rPr>
              <w:t>水稻</w:t>
            </w:r>
          </w:p>
        </w:tc>
      </w:tr>
      <w:tr w14:paraId="7D87C4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tcBorders>
              <w:top w:val="single" w:color="000000" w:sz="8" w:space="0"/>
              <w:left w:val="nil"/>
              <w:bottom w:val="single" w:color="000000" w:sz="8" w:space="0"/>
              <w:right w:val="single" w:color="000000" w:sz="8" w:space="0"/>
            </w:tcBorders>
            <w:shd w:val="clear" w:color="auto" w:fill="FFFFFF"/>
            <w:vAlign w:val="center"/>
          </w:tcPr>
          <w:p w14:paraId="7377A817">
            <w:pPr>
              <w:pStyle w:val="10"/>
              <w:bidi w:val="0"/>
              <w:jc w:val="center"/>
              <w:rPr>
                <w:rFonts w:hint="eastAsia"/>
                <w:color w:val="000000"/>
              </w:rPr>
            </w:pPr>
            <w:r>
              <w:rPr>
                <w:color w:val="000000"/>
              </w:rPr>
              <w:t>密下水</w:t>
            </w:r>
          </w:p>
        </w:tc>
        <w:tc>
          <w:tcPr>
            <w:tcW w:w="39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F60153E">
            <w:pPr>
              <w:pStyle w:val="10"/>
              <w:bidi w:val="0"/>
              <w:jc w:val="center"/>
              <w:rPr>
                <w:rFonts w:hint="eastAsia"/>
                <w:color w:val="000000"/>
              </w:rPr>
            </w:pPr>
            <w:r>
              <w:rPr>
                <w:color w:val="000000"/>
              </w:rPr>
              <w:t>19</w:t>
            </w:r>
          </w:p>
        </w:tc>
        <w:tc>
          <w:tcPr>
            <w:tcW w:w="40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A7388DF">
            <w:pPr>
              <w:pStyle w:val="10"/>
              <w:bidi w:val="0"/>
              <w:jc w:val="center"/>
              <w:rPr>
                <w:rFonts w:hint="eastAsia"/>
                <w:color w:val="000000"/>
              </w:rPr>
            </w:pPr>
            <w:r>
              <w:rPr>
                <w:color w:val="000000"/>
              </w:rPr>
              <w:t>544</w:t>
            </w:r>
          </w:p>
        </w:tc>
        <w:tc>
          <w:tcPr>
            <w:tcW w:w="38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0B2D912">
            <w:pPr>
              <w:pStyle w:val="10"/>
              <w:bidi w:val="0"/>
              <w:jc w:val="center"/>
              <w:rPr>
                <w:rFonts w:hint="eastAsia"/>
                <w:color w:val="000000"/>
              </w:rPr>
            </w:pPr>
            <w:r>
              <w:rPr>
                <w:color w:val="000000"/>
              </w:rPr>
              <w:t>2228</w:t>
            </w:r>
          </w:p>
        </w:tc>
        <w:tc>
          <w:tcPr>
            <w:tcW w:w="45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0FF2C47">
            <w:pPr>
              <w:pStyle w:val="10"/>
              <w:bidi w:val="0"/>
              <w:jc w:val="center"/>
              <w:rPr>
                <w:rFonts w:hint="eastAsia"/>
                <w:color w:val="000000"/>
              </w:rPr>
            </w:pPr>
            <w:r>
              <w:rPr>
                <w:color w:val="000000"/>
              </w:rPr>
              <w:t>1317</w:t>
            </w:r>
          </w:p>
        </w:tc>
        <w:tc>
          <w:tcPr>
            <w:tcW w:w="494"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5E1F527">
            <w:pPr>
              <w:pStyle w:val="10"/>
              <w:bidi w:val="0"/>
              <w:jc w:val="center"/>
              <w:rPr>
                <w:rFonts w:hint="eastAsia"/>
                <w:color w:val="000000"/>
              </w:rPr>
            </w:pPr>
            <w:r>
              <w:rPr>
                <w:color w:val="000000"/>
              </w:rPr>
              <w:t>3.9638</w:t>
            </w:r>
          </w:p>
        </w:tc>
        <w:tc>
          <w:tcPr>
            <w:tcW w:w="47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06C8880">
            <w:pPr>
              <w:pStyle w:val="10"/>
              <w:bidi w:val="0"/>
              <w:jc w:val="center"/>
              <w:rPr>
                <w:rFonts w:hint="eastAsia"/>
                <w:color w:val="000000"/>
              </w:rPr>
            </w:pPr>
            <w:r>
              <w:rPr>
                <w:color w:val="000000"/>
              </w:rPr>
              <w:t>0.2228</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C7430BD">
            <w:pPr>
              <w:pStyle w:val="10"/>
              <w:bidi w:val="0"/>
              <w:jc w:val="center"/>
              <w:rPr>
                <w:rFonts w:hint="eastAsia"/>
                <w:color w:val="000000"/>
              </w:rPr>
            </w:pPr>
            <w:r>
              <w:rPr>
                <w:color w:val="000000"/>
              </w:rPr>
              <w:t>3.657</w:t>
            </w:r>
          </w:p>
        </w:tc>
        <w:tc>
          <w:tcPr>
            <w:tcW w:w="49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FB48AFC">
            <w:pPr>
              <w:pStyle w:val="10"/>
              <w:bidi w:val="0"/>
              <w:jc w:val="center"/>
              <w:rPr>
                <w:rFonts w:hint="eastAsia"/>
                <w:color w:val="000000"/>
              </w:rPr>
            </w:pPr>
            <w:r>
              <w:rPr>
                <w:color w:val="000000"/>
              </w:rPr>
              <w:t>3095</w:t>
            </w:r>
          </w:p>
        </w:tc>
        <w:tc>
          <w:tcPr>
            <w:tcW w:w="45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94E2908">
            <w:pPr>
              <w:pStyle w:val="10"/>
              <w:bidi w:val="0"/>
              <w:jc w:val="center"/>
              <w:rPr>
                <w:rFonts w:hint="eastAsia"/>
                <w:color w:val="000000"/>
              </w:rPr>
            </w:pPr>
            <w:r>
              <w:rPr>
                <w:color w:val="000000"/>
              </w:rPr>
              <w:t>7681</w:t>
            </w:r>
          </w:p>
        </w:tc>
        <w:tc>
          <w:tcPr>
            <w:tcW w:w="446" w:type="pct"/>
            <w:tcBorders>
              <w:top w:val="single" w:color="000000" w:sz="8" w:space="0"/>
              <w:left w:val="single" w:color="000000" w:sz="8" w:space="0"/>
              <w:bottom w:val="single" w:color="000000" w:sz="8" w:space="0"/>
              <w:right w:val="nil"/>
            </w:tcBorders>
            <w:shd w:val="clear" w:color="auto" w:fill="FFFFFF"/>
            <w:vAlign w:val="center"/>
          </w:tcPr>
          <w:p w14:paraId="48A37B53">
            <w:pPr>
              <w:pStyle w:val="10"/>
              <w:bidi w:val="0"/>
              <w:jc w:val="center"/>
              <w:rPr>
                <w:rFonts w:hint="eastAsia"/>
                <w:color w:val="000000"/>
              </w:rPr>
            </w:pPr>
            <w:r>
              <w:rPr>
                <w:rFonts w:hint="eastAsia"/>
                <w:color w:val="000000"/>
              </w:rPr>
              <w:t>花生、水稻</w:t>
            </w:r>
          </w:p>
        </w:tc>
      </w:tr>
      <w:tr w14:paraId="7985EE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tcBorders>
              <w:top w:val="single" w:color="000000" w:sz="8" w:space="0"/>
              <w:left w:val="nil"/>
              <w:bottom w:val="single" w:color="000000" w:sz="8" w:space="0"/>
              <w:right w:val="single" w:color="000000" w:sz="8" w:space="0"/>
            </w:tcBorders>
            <w:shd w:val="clear" w:color="auto" w:fill="FFFFFF"/>
            <w:vAlign w:val="center"/>
          </w:tcPr>
          <w:p w14:paraId="6AA7DCB4">
            <w:pPr>
              <w:pStyle w:val="10"/>
              <w:bidi w:val="0"/>
              <w:jc w:val="center"/>
              <w:rPr>
                <w:rFonts w:hint="eastAsia"/>
                <w:color w:val="000000"/>
              </w:rPr>
            </w:pPr>
            <w:r>
              <w:rPr>
                <w:color w:val="000000"/>
              </w:rPr>
              <w:t>苍石</w:t>
            </w:r>
          </w:p>
        </w:tc>
        <w:tc>
          <w:tcPr>
            <w:tcW w:w="39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05A4377">
            <w:pPr>
              <w:pStyle w:val="10"/>
              <w:bidi w:val="0"/>
              <w:jc w:val="center"/>
              <w:rPr>
                <w:rFonts w:hint="eastAsia"/>
                <w:color w:val="000000"/>
              </w:rPr>
            </w:pPr>
            <w:r>
              <w:rPr>
                <w:color w:val="000000"/>
              </w:rPr>
              <w:t>13</w:t>
            </w:r>
          </w:p>
        </w:tc>
        <w:tc>
          <w:tcPr>
            <w:tcW w:w="40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826F6BE">
            <w:pPr>
              <w:pStyle w:val="10"/>
              <w:bidi w:val="0"/>
              <w:jc w:val="center"/>
              <w:rPr>
                <w:rFonts w:hint="eastAsia"/>
                <w:color w:val="000000"/>
              </w:rPr>
            </w:pPr>
            <w:r>
              <w:rPr>
                <w:color w:val="000000"/>
              </w:rPr>
              <w:t>299</w:t>
            </w:r>
          </w:p>
        </w:tc>
        <w:tc>
          <w:tcPr>
            <w:tcW w:w="38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B61094E">
            <w:pPr>
              <w:pStyle w:val="10"/>
              <w:bidi w:val="0"/>
              <w:jc w:val="center"/>
              <w:rPr>
                <w:rFonts w:hint="eastAsia"/>
                <w:color w:val="000000"/>
              </w:rPr>
            </w:pPr>
            <w:r>
              <w:rPr>
                <w:color w:val="000000"/>
              </w:rPr>
              <w:t>1292</w:t>
            </w:r>
          </w:p>
        </w:tc>
        <w:tc>
          <w:tcPr>
            <w:tcW w:w="45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4CAE544">
            <w:pPr>
              <w:pStyle w:val="10"/>
              <w:bidi w:val="0"/>
              <w:jc w:val="center"/>
              <w:rPr>
                <w:rFonts w:hint="eastAsia"/>
                <w:color w:val="000000"/>
              </w:rPr>
            </w:pPr>
            <w:r>
              <w:rPr>
                <w:color w:val="000000"/>
              </w:rPr>
              <w:t>761</w:t>
            </w:r>
          </w:p>
        </w:tc>
        <w:tc>
          <w:tcPr>
            <w:tcW w:w="494"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55A570F">
            <w:pPr>
              <w:pStyle w:val="10"/>
              <w:bidi w:val="0"/>
              <w:jc w:val="center"/>
              <w:rPr>
                <w:rFonts w:hint="eastAsia"/>
                <w:color w:val="000000"/>
              </w:rPr>
            </w:pPr>
            <w:r>
              <w:rPr>
                <w:color w:val="000000"/>
              </w:rPr>
              <w:t>2.7153</w:t>
            </w:r>
          </w:p>
        </w:tc>
        <w:tc>
          <w:tcPr>
            <w:tcW w:w="47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9A4FA6A">
            <w:pPr>
              <w:pStyle w:val="10"/>
              <w:bidi w:val="0"/>
              <w:jc w:val="center"/>
              <w:rPr>
                <w:rFonts w:hint="eastAsia"/>
                <w:color w:val="000000"/>
              </w:rPr>
            </w:pPr>
            <w:r>
              <w:rPr>
                <w:color w:val="000000"/>
              </w:rPr>
              <w:t>0.1073</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4BB67FF">
            <w:pPr>
              <w:pStyle w:val="10"/>
              <w:bidi w:val="0"/>
              <w:jc w:val="center"/>
              <w:rPr>
                <w:rFonts w:hint="eastAsia"/>
                <w:color w:val="000000"/>
              </w:rPr>
            </w:pPr>
            <w:r>
              <w:rPr>
                <w:color w:val="000000"/>
              </w:rPr>
              <w:t>2.585</w:t>
            </w:r>
          </w:p>
        </w:tc>
        <w:tc>
          <w:tcPr>
            <w:tcW w:w="49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DC027CB">
            <w:pPr>
              <w:pStyle w:val="10"/>
              <w:bidi w:val="0"/>
              <w:jc w:val="center"/>
              <w:rPr>
                <w:rFonts w:hint="eastAsia"/>
                <w:color w:val="000000"/>
              </w:rPr>
            </w:pPr>
            <w:r>
              <w:rPr>
                <w:color w:val="000000"/>
              </w:rPr>
              <w:t>1771</w:t>
            </w:r>
          </w:p>
        </w:tc>
        <w:tc>
          <w:tcPr>
            <w:tcW w:w="45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0963807">
            <w:pPr>
              <w:pStyle w:val="10"/>
              <w:bidi w:val="0"/>
              <w:jc w:val="center"/>
              <w:rPr>
                <w:rFonts w:hint="eastAsia"/>
                <w:color w:val="000000"/>
              </w:rPr>
            </w:pPr>
            <w:r>
              <w:rPr>
                <w:color w:val="000000"/>
              </w:rPr>
              <w:t>7702</w:t>
            </w:r>
          </w:p>
        </w:tc>
        <w:tc>
          <w:tcPr>
            <w:tcW w:w="446" w:type="pct"/>
            <w:tcBorders>
              <w:top w:val="single" w:color="000000" w:sz="8" w:space="0"/>
              <w:left w:val="single" w:color="000000" w:sz="8" w:space="0"/>
              <w:bottom w:val="single" w:color="000000" w:sz="8" w:space="0"/>
              <w:right w:val="nil"/>
            </w:tcBorders>
            <w:shd w:val="clear" w:color="auto" w:fill="FFFFFF"/>
            <w:vAlign w:val="center"/>
          </w:tcPr>
          <w:p w14:paraId="6592D442">
            <w:pPr>
              <w:pStyle w:val="10"/>
              <w:bidi w:val="0"/>
              <w:jc w:val="center"/>
              <w:rPr>
                <w:rFonts w:hint="eastAsia"/>
                <w:color w:val="000000"/>
              </w:rPr>
            </w:pPr>
            <w:r>
              <w:rPr>
                <w:rFonts w:hint="eastAsia"/>
                <w:color w:val="000000"/>
              </w:rPr>
              <w:t>水稻</w:t>
            </w:r>
          </w:p>
        </w:tc>
      </w:tr>
      <w:tr w14:paraId="5D7729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tcBorders>
              <w:top w:val="single" w:color="000000" w:sz="8" w:space="0"/>
              <w:left w:val="nil"/>
              <w:bottom w:val="single" w:color="000000" w:sz="8" w:space="0"/>
              <w:right w:val="single" w:color="000000" w:sz="8" w:space="0"/>
            </w:tcBorders>
            <w:shd w:val="clear" w:color="auto" w:fill="FFFFFF"/>
            <w:vAlign w:val="center"/>
          </w:tcPr>
          <w:p w14:paraId="681A2D61">
            <w:pPr>
              <w:pStyle w:val="10"/>
              <w:bidi w:val="0"/>
              <w:jc w:val="center"/>
              <w:rPr>
                <w:rFonts w:hint="eastAsia"/>
                <w:color w:val="000000"/>
              </w:rPr>
            </w:pPr>
            <w:r>
              <w:rPr>
                <w:color w:val="000000"/>
              </w:rPr>
              <w:t>大坪</w:t>
            </w:r>
          </w:p>
        </w:tc>
        <w:tc>
          <w:tcPr>
            <w:tcW w:w="39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5EBBD0A">
            <w:pPr>
              <w:pStyle w:val="10"/>
              <w:bidi w:val="0"/>
              <w:jc w:val="center"/>
              <w:rPr>
                <w:rFonts w:hint="eastAsia"/>
                <w:color w:val="000000"/>
              </w:rPr>
            </w:pPr>
            <w:r>
              <w:rPr>
                <w:color w:val="000000"/>
              </w:rPr>
              <w:t>10</w:t>
            </w:r>
          </w:p>
        </w:tc>
        <w:tc>
          <w:tcPr>
            <w:tcW w:w="40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D1C2912">
            <w:pPr>
              <w:pStyle w:val="10"/>
              <w:bidi w:val="0"/>
              <w:jc w:val="center"/>
              <w:rPr>
                <w:rFonts w:hint="eastAsia"/>
                <w:color w:val="000000"/>
              </w:rPr>
            </w:pPr>
            <w:r>
              <w:rPr>
                <w:color w:val="000000"/>
              </w:rPr>
              <w:t>294</w:t>
            </w:r>
          </w:p>
        </w:tc>
        <w:tc>
          <w:tcPr>
            <w:tcW w:w="38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F16B74A">
            <w:pPr>
              <w:pStyle w:val="10"/>
              <w:bidi w:val="0"/>
              <w:jc w:val="center"/>
              <w:rPr>
                <w:rFonts w:hint="eastAsia"/>
                <w:color w:val="000000"/>
              </w:rPr>
            </w:pPr>
            <w:r>
              <w:rPr>
                <w:color w:val="000000"/>
              </w:rPr>
              <w:t>1407</w:t>
            </w:r>
          </w:p>
        </w:tc>
        <w:tc>
          <w:tcPr>
            <w:tcW w:w="45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2C4F6FC">
            <w:pPr>
              <w:pStyle w:val="10"/>
              <w:bidi w:val="0"/>
              <w:jc w:val="center"/>
              <w:rPr>
                <w:rFonts w:hint="eastAsia"/>
                <w:color w:val="000000"/>
              </w:rPr>
            </w:pPr>
            <w:r>
              <w:rPr>
                <w:color w:val="000000"/>
              </w:rPr>
              <w:t>829</w:t>
            </w:r>
          </w:p>
        </w:tc>
        <w:tc>
          <w:tcPr>
            <w:tcW w:w="494"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3DE67A2">
            <w:pPr>
              <w:pStyle w:val="10"/>
              <w:bidi w:val="0"/>
              <w:jc w:val="center"/>
              <w:rPr>
                <w:rFonts w:hint="eastAsia"/>
                <w:color w:val="000000"/>
              </w:rPr>
            </w:pPr>
            <w:r>
              <w:rPr>
                <w:color w:val="000000"/>
              </w:rPr>
              <w:t>4.2036</w:t>
            </w:r>
          </w:p>
        </w:tc>
        <w:tc>
          <w:tcPr>
            <w:tcW w:w="47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3065313">
            <w:pPr>
              <w:pStyle w:val="10"/>
              <w:bidi w:val="0"/>
              <w:jc w:val="center"/>
              <w:rPr>
                <w:rFonts w:hint="eastAsia"/>
                <w:color w:val="000000"/>
              </w:rPr>
            </w:pPr>
            <w:r>
              <w:rPr>
                <w:color w:val="000000"/>
              </w:rPr>
              <w:t>0.0745</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FD9BBA8">
            <w:pPr>
              <w:pStyle w:val="10"/>
              <w:bidi w:val="0"/>
              <w:jc w:val="center"/>
              <w:rPr>
                <w:rFonts w:hint="eastAsia"/>
                <w:color w:val="000000"/>
              </w:rPr>
            </w:pPr>
            <w:r>
              <w:rPr>
                <w:color w:val="000000"/>
              </w:rPr>
              <w:t>4.1139</w:t>
            </w:r>
          </w:p>
        </w:tc>
        <w:tc>
          <w:tcPr>
            <w:tcW w:w="49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A993CD9">
            <w:pPr>
              <w:pStyle w:val="10"/>
              <w:bidi w:val="0"/>
              <w:jc w:val="center"/>
              <w:rPr>
                <w:rFonts w:hint="eastAsia"/>
                <w:color w:val="000000"/>
              </w:rPr>
            </w:pPr>
            <w:r>
              <w:rPr>
                <w:color w:val="000000"/>
              </w:rPr>
              <w:t>1934</w:t>
            </w:r>
          </w:p>
        </w:tc>
        <w:tc>
          <w:tcPr>
            <w:tcW w:w="45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63930FF">
            <w:pPr>
              <w:pStyle w:val="10"/>
              <w:bidi w:val="0"/>
              <w:jc w:val="center"/>
              <w:rPr>
                <w:rFonts w:hint="eastAsia"/>
                <w:color w:val="000000"/>
              </w:rPr>
            </w:pPr>
            <w:r>
              <w:rPr>
                <w:color w:val="000000"/>
              </w:rPr>
              <w:t>7731</w:t>
            </w:r>
          </w:p>
        </w:tc>
        <w:tc>
          <w:tcPr>
            <w:tcW w:w="446" w:type="pct"/>
            <w:tcBorders>
              <w:top w:val="single" w:color="000000" w:sz="8" w:space="0"/>
              <w:left w:val="single" w:color="000000" w:sz="8" w:space="0"/>
              <w:bottom w:val="single" w:color="000000" w:sz="8" w:space="0"/>
              <w:right w:val="nil"/>
            </w:tcBorders>
            <w:shd w:val="clear" w:color="auto" w:fill="FFFFFF"/>
            <w:vAlign w:val="center"/>
          </w:tcPr>
          <w:p w14:paraId="39A350B2">
            <w:pPr>
              <w:pStyle w:val="10"/>
              <w:bidi w:val="0"/>
              <w:jc w:val="center"/>
              <w:rPr>
                <w:rFonts w:hint="eastAsia"/>
                <w:color w:val="000000"/>
              </w:rPr>
            </w:pPr>
            <w:r>
              <w:rPr>
                <w:rFonts w:hint="eastAsia"/>
                <w:color w:val="000000"/>
              </w:rPr>
              <w:t>水稻</w:t>
            </w:r>
          </w:p>
        </w:tc>
      </w:tr>
      <w:tr w14:paraId="7BB3BB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tcBorders>
              <w:top w:val="single" w:color="000000" w:sz="8" w:space="0"/>
              <w:left w:val="nil"/>
              <w:bottom w:val="single" w:color="000000" w:sz="8" w:space="0"/>
              <w:right w:val="single" w:color="000000" w:sz="8" w:space="0"/>
            </w:tcBorders>
            <w:shd w:val="clear" w:color="auto" w:fill="FFFFFF"/>
            <w:vAlign w:val="center"/>
          </w:tcPr>
          <w:p w14:paraId="7FA20807">
            <w:pPr>
              <w:pStyle w:val="10"/>
              <w:bidi w:val="0"/>
              <w:jc w:val="center"/>
              <w:rPr>
                <w:rFonts w:hint="eastAsia"/>
                <w:color w:val="000000"/>
              </w:rPr>
            </w:pPr>
            <w:r>
              <w:rPr>
                <w:color w:val="000000"/>
              </w:rPr>
              <w:t>兰溪</w:t>
            </w:r>
          </w:p>
        </w:tc>
        <w:tc>
          <w:tcPr>
            <w:tcW w:w="39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C456501">
            <w:pPr>
              <w:pStyle w:val="10"/>
              <w:bidi w:val="0"/>
              <w:jc w:val="center"/>
              <w:rPr>
                <w:rFonts w:hint="eastAsia"/>
                <w:color w:val="000000"/>
              </w:rPr>
            </w:pPr>
            <w:r>
              <w:rPr>
                <w:color w:val="000000"/>
              </w:rPr>
              <w:t>6</w:t>
            </w:r>
          </w:p>
        </w:tc>
        <w:tc>
          <w:tcPr>
            <w:tcW w:w="40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A4CE9C2">
            <w:pPr>
              <w:pStyle w:val="10"/>
              <w:bidi w:val="0"/>
              <w:jc w:val="center"/>
              <w:rPr>
                <w:rFonts w:hint="eastAsia"/>
                <w:color w:val="000000"/>
              </w:rPr>
            </w:pPr>
            <w:r>
              <w:rPr>
                <w:color w:val="000000"/>
              </w:rPr>
              <w:t>197</w:t>
            </w:r>
          </w:p>
        </w:tc>
        <w:tc>
          <w:tcPr>
            <w:tcW w:w="38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2F39FB4">
            <w:pPr>
              <w:pStyle w:val="10"/>
              <w:bidi w:val="0"/>
              <w:jc w:val="center"/>
              <w:rPr>
                <w:rFonts w:hint="eastAsia"/>
                <w:color w:val="000000"/>
              </w:rPr>
            </w:pPr>
            <w:r>
              <w:rPr>
                <w:color w:val="000000"/>
              </w:rPr>
              <w:t>905</w:t>
            </w:r>
          </w:p>
        </w:tc>
        <w:tc>
          <w:tcPr>
            <w:tcW w:w="45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4EF2184">
            <w:pPr>
              <w:pStyle w:val="10"/>
              <w:bidi w:val="0"/>
              <w:jc w:val="center"/>
              <w:rPr>
                <w:rFonts w:hint="eastAsia"/>
                <w:color w:val="000000"/>
              </w:rPr>
            </w:pPr>
            <w:r>
              <w:rPr>
                <w:color w:val="000000"/>
              </w:rPr>
              <w:t>53</w:t>
            </w:r>
            <w:r>
              <w:rPr>
                <w:rFonts w:hint="eastAsia"/>
                <w:color w:val="000000"/>
              </w:rPr>
              <w:t>0</w:t>
            </w:r>
          </w:p>
        </w:tc>
        <w:tc>
          <w:tcPr>
            <w:tcW w:w="494"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7B0ACB6">
            <w:pPr>
              <w:pStyle w:val="10"/>
              <w:bidi w:val="0"/>
              <w:jc w:val="center"/>
              <w:rPr>
                <w:rFonts w:hint="eastAsia"/>
                <w:color w:val="000000"/>
              </w:rPr>
            </w:pPr>
            <w:r>
              <w:rPr>
                <w:color w:val="000000"/>
              </w:rPr>
              <w:t>1.2157</w:t>
            </w:r>
          </w:p>
        </w:tc>
        <w:tc>
          <w:tcPr>
            <w:tcW w:w="47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FF603A1">
            <w:pPr>
              <w:pStyle w:val="10"/>
              <w:bidi w:val="0"/>
              <w:jc w:val="center"/>
              <w:rPr>
                <w:rFonts w:hint="eastAsia"/>
                <w:color w:val="000000"/>
              </w:rPr>
            </w:pPr>
            <w:r>
              <w:rPr>
                <w:color w:val="000000"/>
              </w:rPr>
              <w:t>0.0447</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E19AA0D">
            <w:pPr>
              <w:pStyle w:val="10"/>
              <w:bidi w:val="0"/>
              <w:jc w:val="center"/>
              <w:rPr>
                <w:rFonts w:hint="eastAsia"/>
                <w:color w:val="000000"/>
              </w:rPr>
            </w:pPr>
            <w:r>
              <w:rPr>
                <w:color w:val="000000"/>
              </w:rPr>
              <w:t>1.162</w:t>
            </w:r>
          </w:p>
        </w:tc>
        <w:tc>
          <w:tcPr>
            <w:tcW w:w="49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29039C9">
            <w:pPr>
              <w:pStyle w:val="10"/>
              <w:bidi w:val="0"/>
              <w:jc w:val="center"/>
              <w:rPr>
                <w:rFonts w:hint="eastAsia"/>
                <w:color w:val="000000"/>
              </w:rPr>
            </w:pPr>
            <w:r>
              <w:rPr>
                <w:color w:val="000000"/>
              </w:rPr>
              <w:t>1223</w:t>
            </w:r>
          </w:p>
        </w:tc>
        <w:tc>
          <w:tcPr>
            <w:tcW w:w="45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D9ED29D">
            <w:pPr>
              <w:pStyle w:val="10"/>
              <w:bidi w:val="0"/>
              <w:jc w:val="center"/>
              <w:rPr>
                <w:rFonts w:hint="eastAsia"/>
                <w:color w:val="000000"/>
              </w:rPr>
            </w:pPr>
            <w:r>
              <w:rPr>
                <w:color w:val="000000"/>
              </w:rPr>
              <w:t>7731</w:t>
            </w:r>
          </w:p>
        </w:tc>
        <w:tc>
          <w:tcPr>
            <w:tcW w:w="446" w:type="pct"/>
            <w:tcBorders>
              <w:top w:val="single" w:color="000000" w:sz="8" w:space="0"/>
              <w:left w:val="single" w:color="000000" w:sz="8" w:space="0"/>
              <w:bottom w:val="single" w:color="000000" w:sz="8" w:space="0"/>
              <w:right w:val="nil"/>
            </w:tcBorders>
            <w:shd w:val="clear" w:color="auto" w:fill="FFFFFF"/>
            <w:vAlign w:val="center"/>
          </w:tcPr>
          <w:p w14:paraId="7ED5161F">
            <w:pPr>
              <w:pStyle w:val="10"/>
              <w:bidi w:val="0"/>
              <w:jc w:val="center"/>
              <w:rPr>
                <w:rFonts w:hint="eastAsia"/>
                <w:color w:val="000000"/>
              </w:rPr>
            </w:pPr>
            <w:r>
              <w:rPr>
                <w:rFonts w:hint="eastAsia"/>
                <w:color w:val="000000"/>
              </w:rPr>
              <w:t>水稻</w:t>
            </w:r>
          </w:p>
        </w:tc>
      </w:tr>
      <w:tr w14:paraId="23B04A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tcBorders>
              <w:top w:val="single" w:color="000000" w:sz="8" w:space="0"/>
              <w:left w:val="nil"/>
              <w:bottom w:val="single" w:color="000000" w:sz="8" w:space="0"/>
              <w:right w:val="single" w:color="000000" w:sz="8" w:space="0"/>
            </w:tcBorders>
            <w:shd w:val="clear" w:color="auto" w:fill="FFFFFF"/>
            <w:vAlign w:val="center"/>
          </w:tcPr>
          <w:p w14:paraId="5F17296A">
            <w:pPr>
              <w:pStyle w:val="10"/>
              <w:bidi w:val="0"/>
              <w:jc w:val="center"/>
              <w:rPr>
                <w:rFonts w:hint="eastAsia"/>
                <w:color w:val="000000"/>
              </w:rPr>
            </w:pPr>
            <w:r>
              <w:rPr>
                <w:color w:val="000000"/>
              </w:rPr>
              <w:t>章禾洞</w:t>
            </w:r>
          </w:p>
        </w:tc>
        <w:tc>
          <w:tcPr>
            <w:tcW w:w="39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9151EFF">
            <w:pPr>
              <w:pStyle w:val="10"/>
              <w:bidi w:val="0"/>
              <w:jc w:val="center"/>
              <w:rPr>
                <w:rFonts w:hint="eastAsia"/>
                <w:color w:val="000000"/>
              </w:rPr>
            </w:pPr>
            <w:r>
              <w:rPr>
                <w:color w:val="000000"/>
              </w:rPr>
              <w:t>9</w:t>
            </w:r>
          </w:p>
        </w:tc>
        <w:tc>
          <w:tcPr>
            <w:tcW w:w="40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53C0B5D">
            <w:pPr>
              <w:pStyle w:val="10"/>
              <w:bidi w:val="0"/>
              <w:jc w:val="center"/>
              <w:rPr>
                <w:rFonts w:hint="eastAsia"/>
                <w:color w:val="000000"/>
              </w:rPr>
            </w:pPr>
            <w:r>
              <w:rPr>
                <w:color w:val="000000"/>
              </w:rPr>
              <w:t>213</w:t>
            </w:r>
          </w:p>
        </w:tc>
        <w:tc>
          <w:tcPr>
            <w:tcW w:w="38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2426EDB">
            <w:pPr>
              <w:pStyle w:val="10"/>
              <w:bidi w:val="0"/>
              <w:jc w:val="center"/>
              <w:rPr>
                <w:rFonts w:hint="eastAsia"/>
                <w:color w:val="000000"/>
              </w:rPr>
            </w:pPr>
            <w:r>
              <w:rPr>
                <w:color w:val="000000"/>
              </w:rPr>
              <w:t>821</w:t>
            </w:r>
          </w:p>
        </w:tc>
        <w:tc>
          <w:tcPr>
            <w:tcW w:w="45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AD79C8F">
            <w:pPr>
              <w:pStyle w:val="10"/>
              <w:bidi w:val="0"/>
              <w:jc w:val="center"/>
              <w:rPr>
                <w:rFonts w:hint="eastAsia"/>
                <w:color w:val="000000"/>
              </w:rPr>
            </w:pPr>
            <w:r>
              <w:rPr>
                <w:color w:val="000000"/>
              </w:rPr>
              <w:t>538</w:t>
            </w:r>
          </w:p>
        </w:tc>
        <w:tc>
          <w:tcPr>
            <w:tcW w:w="494"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01782E1">
            <w:pPr>
              <w:pStyle w:val="10"/>
              <w:bidi w:val="0"/>
              <w:jc w:val="center"/>
              <w:rPr>
                <w:rFonts w:hint="eastAsia"/>
                <w:color w:val="000000"/>
              </w:rPr>
            </w:pPr>
            <w:r>
              <w:rPr>
                <w:color w:val="000000"/>
              </w:rPr>
              <w:t>1.7858</w:t>
            </w:r>
          </w:p>
        </w:tc>
        <w:tc>
          <w:tcPr>
            <w:tcW w:w="47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FB8AD5A">
            <w:pPr>
              <w:pStyle w:val="10"/>
              <w:bidi w:val="0"/>
              <w:jc w:val="center"/>
              <w:rPr>
                <w:rFonts w:hint="eastAsia"/>
                <w:color w:val="000000"/>
              </w:rPr>
            </w:pPr>
            <w:r>
              <w:rPr>
                <w:color w:val="000000"/>
              </w:rPr>
              <w:t>0.1266</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BD41FAF">
            <w:pPr>
              <w:pStyle w:val="10"/>
              <w:bidi w:val="0"/>
              <w:jc w:val="center"/>
              <w:rPr>
                <w:rFonts w:hint="eastAsia"/>
                <w:color w:val="000000"/>
              </w:rPr>
            </w:pPr>
            <w:r>
              <w:rPr>
                <w:color w:val="000000"/>
              </w:rPr>
              <w:t>1.645</w:t>
            </w:r>
          </w:p>
        </w:tc>
        <w:tc>
          <w:tcPr>
            <w:tcW w:w="49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08D7E41">
            <w:pPr>
              <w:pStyle w:val="10"/>
              <w:bidi w:val="0"/>
              <w:jc w:val="center"/>
              <w:rPr>
                <w:rFonts w:hint="eastAsia"/>
                <w:color w:val="000000"/>
              </w:rPr>
            </w:pPr>
            <w:r>
              <w:rPr>
                <w:color w:val="000000"/>
              </w:rPr>
              <w:t>1238</w:t>
            </w:r>
          </w:p>
        </w:tc>
        <w:tc>
          <w:tcPr>
            <w:tcW w:w="45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22A46F8">
            <w:pPr>
              <w:pStyle w:val="10"/>
              <w:bidi w:val="0"/>
              <w:jc w:val="center"/>
              <w:rPr>
                <w:rFonts w:hint="eastAsia"/>
                <w:color w:val="000000"/>
              </w:rPr>
            </w:pPr>
            <w:r>
              <w:rPr>
                <w:color w:val="000000"/>
              </w:rPr>
              <w:t>7732</w:t>
            </w:r>
          </w:p>
        </w:tc>
        <w:tc>
          <w:tcPr>
            <w:tcW w:w="446" w:type="pct"/>
            <w:tcBorders>
              <w:top w:val="single" w:color="000000" w:sz="8" w:space="0"/>
              <w:left w:val="single" w:color="000000" w:sz="8" w:space="0"/>
              <w:bottom w:val="single" w:color="000000" w:sz="8" w:space="0"/>
              <w:right w:val="nil"/>
            </w:tcBorders>
            <w:shd w:val="clear" w:color="auto" w:fill="FFFFFF"/>
            <w:vAlign w:val="center"/>
          </w:tcPr>
          <w:p w14:paraId="02320ECB">
            <w:pPr>
              <w:pStyle w:val="10"/>
              <w:bidi w:val="0"/>
              <w:jc w:val="center"/>
              <w:rPr>
                <w:rFonts w:hint="eastAsia"/>
                <w:color w:val="000000"/>
              </w:rPr>
            </w:pPr>
            <w:r>
              <w:rPr>
                <w:rFonts w:hint="eastAsia"/>
                <w:color w:val="000000"/>
              </w:rPr>
              <w:t>水稻</w:t>
            </w:r>
          </w:p>
        </w:tc>
      </w:tr>
      <w:tr w14:paraId="5316FD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tcBorders>
              <w:top w:val="single" w:color="000000" w:sz="8" w:space="0"/>
              <w:left w:val="nil"/>
              <w:bottom w:val="single" w:color="000000" w:sz="8" w:space="0"/>
              <w:right w:val="single" w:color="000000" w:sz="8" w:space="0"/>
            </w:tcBorders>
            <w:shd w:val="clear" w:color="auto" w:fill="FFFFFF"/>
            <w:vAlign w:val="center"/>
          </w:tcPr>
          <w:p w14:paraId="427EBAAD">
            <w:pPr>
              <w:pStyle w:val="10"/>
              <w:bidi w:val="0"/>
              <w:jc w:val="center"/>
              <w:rPr>
                <w:rFonts w:hint="eastAsia"/>
                <w:color w:val="000000"/>
              </w:rPr>
            </w:pPr>
            <w:r>
              <w:rPr>
                <w:rFonts w:hint="eastAsia"/>
                <w:color w:val="000000"/>
              </w:rPr>
              <w:t>合计</w:t>
            </w:r>
          </w:p>
        </w:tc>
        <w:tc>
          <w:tcPr>
            <w:tcW w:w="39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EB88C0D">
            <w:pPr>
              <w:pStyle w:val="10"/>
              <w:bidi w:val="0"/>
              <w:jc w:val="center"/>
              <w:rPr>
                <w:rFonts w:hint="eastAsia"/>
                <w:color w:val="000000"/>
              </w:rPr>
            </w:pPr>
            <w:r>
              <w:rPr>
                <w:color w:val="000000"/>
              </w:rPr>
              <w:t>185</w:t>
            </w:r>
          </w:p>
        </w:tc>
        <w:tc>
          <w:tcPr>
            <w:tcW w:w="40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B001935">
            <w:pPr>
              <w:pStyle w:val="10"/>
              <w:bidi w:val="0"/>
              <w:jc w:val="center"/>
              <w:rPr>
                <w:rFonts w:hint="eastAsia"/>
                <w:color w:val="000000"/>
              </w:rPr>
            </w:pPr>
            <w:r>
              <w:rPr>
                <w:rFonts w:hint="eastAsia"/>
                <w:color w:val="000000"/>
              </w:rPr>
              <w:t>7752</w:t>
            </w:r>
          </w:p>
        </w:tc>
        <w:tc>
          <w:tcPr>
            <w:tcW w:w="38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0975432">
            <w:pPr>
              <w:pStyle w:val="10"/>
              <w:bidi w:val="0"/>
              <w:jc w:val="center"/>
              <w:rPr>
                <w:rFonts w:hint="eastAsia"/>
                <w:color w:val="000000"/>
              </w:rPr>
            </w:pPr>
            <w:r>
              <w:rPr>
                <w:rFonts w:hint="eastAsia"/>
                <w:color w:val="000000"/>
              </w:rPr>
              <w:t>28188</w:t>
            </w:r>
          </w:p>
        </w:tc>
        <w:tc>
          <w:tcPr>
            <w:tcW w:w="45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4159671">
            <w:pPr>
              <w:pStyle w:val="10"/>
              <w:bidi w:val="0"/>
              <w:jc w:val="center"/>
              <w:rPr>
                <w:rFonts w:hint="eastAsia"/>
                <w:color w:val="000000"/>
              </w:rPr>
            </w:pPr>
            <w:r>
              <w:rPr>
                <w:rFonts w:hint="eastAsia"/>
                <w:color w:val="000000"/>
              </w:rPr>
              <w:t>16932</w:t>
            </w:r>
          </w:p>
        </w:tc>
        <w:tc>
          <w:tcPr>
            <w:tcW w:w="494"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6A971EB">
            <w:pPr>
              <w:pStyle w:val="10"/>
              <w:bidi w:val="0"/>
              <w:jc w:val="center"/>
              <w:rPr>
                <w:rFonts w:hint="eastAsia"/>
                <w:color w:val="000000"/>
              </w:rPr>
            </w:pPr>
            <w:r>
              <w:rPr>
                <w:color w:val="000000"/>
              </w:rPr>
              <w:t>24.2587</w:t>
            </w:r>
          </w:p>
        </w:tc>
        <w:tc>
          <w:tcPr>
            <w:tcW w:w="47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F078DEB">
            <w:pPr>
              <w:pStyle w:val="10"/>
              <w:bidi w:val="0"/>
              <w:jc w:val="center"/>
              <w:rPr>
                <w:rFonts w:hint="eastAsia"/>
                <w:color w:val="000000"/>
              </w:rPr>
            </w:pPr>
            <w:r>
              <w:rPr>
                <w:color w:val="000000"/>
              </w:rPr>
              <w:t>2</w:t>
            </w:r>
            <w:r>
              <w:rPr>
                <w:rFonts w:hint="eastAsia"/>
                <w:color w:val="000000"/>
              </w:rPr>
              <w:t>.</w:t>
            </w:r>
            <w:r>
              <w:rPr>
                <w:color w:val="000000"/>
              </w:rPr>
              <w:t>2537</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BAB4C3E">
            <w:pPr>
              <w:pStyle w:val="10"/>
              <w:bidi w:val="0"/>
              <w:jc w:val="center"/>
              <w:rPr>
                <w:rFonts w:hint="eastAsia"/>
                <w:color w:val="000000"/>
              </w:rPr>
            </w:pPr>
            <w:r>
              <w:rPr>
                <w:color w:val="000000"/>
              </w:rPr>
              <w:t>21.2422</w:t>
            </w:r>
          </w:p>
        </w:tc>
        <w:tc>
          <w:tcPr>
            <w:tcW w:w="49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C8903EA">
            <w:pPr>
              <w:pStyle w:val="10"/>
              <w:bidi w:val="0"/>
              <w:jc w:val="center"/>
              <w:rPr>
                <w:rFonts w:hint="eastAsia"/>
                <w:color w:val="000000"/>
              </w:rPr>
            </w:pPr>
            <w:r>
              <w:rPr>
                <w:color w:val="000000"/>
              </w:rPr>
              <w:t>36894</w:t>
            </w:r>
          </w:p>
        </w:tc>
        <w:tc>
          <w:tcPr>
            <w:tcW w:w="45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755959D">
            <w:pPr>
              <w:pStyle w:val="10"/>
              <w:bidi w:val="0"/>
              <w:jc w:val="center"/>
              <w:rPr>
                <w:rFonts w:hint="eastAsia"/>
                <w:color w:val="000000"/>
              </w:rPr>
            </w:pPr>
            <w:r>
              <w:rPr>
                <w:color w:val="000000"/>
              </w:rPr>
              <w:t>7738</w:t>
            </w:r>
          </w:p>
        </w:tc>
        <w:tc>
          <w:tcPr>
            <w:tcW w:w="446" w:type="pct"/>
            <w:tcBorders>
              <w:top w:val="single" w:color="000000" w:sz="8" w:space="0"/>
              <w:left w:val="single" w:color="000000" w:sz="8" w:space="0"/>
              <w:bottom w:val="single" w:color="000000" w:sz="8" w:space="0"/>
              <w:right w:val="nil"/>
            </w:tcBorders>
            <w:shd w:val="clear" w:color="auto" w:fill="FFFFFF"/>
            <w:vAlign w:val="center"/>
          </w:tcPr>
          <w:p w14:paraId="631151C9">
            <w:pPr>
              <w:pStyle w:val="10"/>
              <w:bidi w:val="0"/>
              <w:jc w:val="center"/>
              <w:rPr>
                <w:rFonts w:hint="eastAsia"/>
                <w:color w:val="000000"/>
              </w:rPr>
            </w:pPr>
            <w:r>
              <w:rPr>
                <w:rFonts w:hint="eastAsia"/>
                <w:color w:val="000000"/>
              </w:rPr>
              <w:t>水稻</w:t>
            </w:r>
          </w:p>
        </w:tc>
      </w:tr>
    </w:tbl>
    <w:p w14:paraId="503B38C1">
      <w:pPr>
        <w:ind w:firstLine="420"/>
        <w:jc w:val="right"/>
        <w:rPr>
          <w:rFonts w:hint="eastAsia"/>
          <w:b/>
          <w:bCs/>
        </w:rPr>
      </w:pPr>
      <w:r>
        <w:rPr>
          <w:rFonts w:hint="eastAsia"/>
          <w:b/>
          <w:bCs/>
        </w:rPr>
        <w:t>（李</w:t>
      </w:r>
      <w:r>
        <w:rPr>
          <w:rFonts w:hint="eastAsia"/>
          <w:b/>
          <w:bCs/>
          <w:lang w:val="en-US" w:eastAsia="zh-CN"/>
        </w:rPr>
        <w:t xml:space="preserve">  </w:t>
      </w:r>
      <w:r>
        <w:rPr>
          <w:rFonts w:hint="eastAsia"/>
          <w:b/>
          <w:bCs/>
        </w:rPr>
        <w:t>颖）</w:t>
      </w:r>
    </w:p>
    <w:p w14:paraId="761677C0">
      <w:pPr>
        <w:pStyle w:val="10"/>
        <w:bidi w:val="0"/>
        <w:rPr>
          <w:b/>
          <w:bCs/>
        </w:rPr>
      </w:pPr>
      <w:r>
        <w:rPr>
          <w:rFonts w:hint="eastAsia"/>
          <w:b/>
          <w:bCs/>
        </w:rPr>
        <w:t>附：</w:t>
      </w:r>
      <w:r>
        <w:rPr>
          <w:b/>
          <w:bCs/>
        </w:rPr>
        <w:t>2013年全安镇领导班子成员名单</w:t>
      </w:r>
    </w:p>
    <w:p w14:paraId="52F8BDB6">
      <w:pPr>
        <w:pStyle w:val="10"/>
        <w:bidi w:val="0"/>
      </w:pPr>
      <w:r>
        <w:rPr>
          <w:rFonts w:hint="eastAsia"/>
          <w:b/>
          <w:bCs/>
        </w:rPr>
        <w:t>党委书记、人大主席：</w:t>
      </w:r>
      <w:r>
        <w:rPr>
          <w:rFonts w:hint="eastAsia"/>
        </w:rPr>
        <w:t>严桂龙（任至</w:t>
      </w:r>
      <w:r>
        <w:t>9月）</w:t>
      </w:r>
    </w:p>
    <w:p w14:paraId="576A139E">
      <w:pPr>
        <w:pStyle w:val="10"/>
        <w:bidi w:val="0"/>
        <w:ind w:firstLine="2100" w:firstLineChars="1000"/>
      </w:pPr>
      <w:r>
        <w:rPr>
          <w:rFonts w:hint="eastAsia"/>
        </w:rPr>
        <w:t>姚远华（</w:t>
      </w:r>
      <w:r>
        <w:t>9月任）</w:t>
      </w:r>
    </w:p>
    <w:p w14:paraId="48B1D30F">
      <w:pPr>
        <w:pStyle w:val="10"/>
        <w:bidi w:val="0"/>
        <w:rPr>
          <w:rFonts w:hint="eastAsia"/>
        </w:rPr>
      </w:pPr>
      <w:r>
        <w:rPr>
          <w:rFonts w:hint="eastAsia"/>
          <w:b/>
          <w:bCs/>
        </w:rPr>
        <w:t>党委副书记、镇长：</w:t>
      </w:r>
      <w:r>
        <w:rPr>
          <w:rFonts w:hint="eastAsia"/>
        </w:rPr>
        <w:t>邓光祥</w:t>
      </w:r>
    </w:p>
    <w:p w14:paraId="733D6161">
      <w:pPr>
        <w:pStyle w:val="10"/>
        <w:bidi w:val="0"/>
        <w:rPr>
          <w:rFonts w:hint="eastAsia"/>
        </w:rPr>
      </w:pPr>
      <w:r>
        <w:rPr>
          <w:rFonts w:hint="eastAsia"/>
          <w:b/>
          <w:bCs/>
        </w:rPr>
        <w:t>党委副书记：</w:t>
      </w:r>
      <w:r>
        <w:rPr>
          <w:rFonts w:hint="eastAsia"/>
        </w:rPr>
        <w:t>雷</w:t>
      </w:r>
      <w:r>
        <w:rPr>
          <w:rFonts w:hint="eastAsia"/>
          <w:lang w:val="en-US" w:eastAsia="zh-CN"/>
        </w:rPr>
        <w:t xml:space="preserve">  </w:t>
      </w:r>
      <w:r>
        <w:rPr>
          <w:rFonts w:hint="eastAsia"/>
        </w:rPr>
        <w:t>毅</w:t>
      </w:r>
    </w:p>
    <w:p w14:paraId="4D396BF1">
      <w:pPr>
        <w:pStyle w:val="10"/>
        <w:bidi w:val="0"/>
        <w:rPr>
          <w:rFonts w:hint="eastAsia"/>
        </w:rPr>
      </w:pPr>
      <w:r>
        <w:rPr>
          <w:rFonts w:hint="eastAsia"/>
          <w:b/>
          <w:bCs/>
        </w:rPr>
        <w:t>纪委书记：</w:t>
      </w:r>
      <w:r>
        <w:rPr>
          <w:rFonts w:hint="eastAsia"/>
          <w:b w:val="0"/>
          <w:bCs w:val="0"/>
        </w:rPr>
        <w:t>钟</w:t>
      </w:r>
      <w:r>
        <w:rPr>
          <w:rFonts w:hint="eastAsia"/>
        </w:rPr>
        <w:t>顺华</w:t>
      </w:r>
    </w:p>
    <w:p w14:paraId="07C6EFFA">
      <w:pPr>
        <w:pStyle w:val="10"/>
        <w:bidi w:val="0"/>
        <w:rPr>
          <w:rFonts w:hint="eastAsia"/>
        </w:rPr>
      </w:pPr>
      <w:r>
        <w:rPr>
          <w:rFonts w:hint="eastAsia"/>
          <w:b/>
          <w:bCs/>
        </w:rPr>
        <w:t>组织委员：</w:t>
      </w:r>
      <w:r>
        <w:rPr>
          <w:rFonts w:hint="eastAsia"/>
        </w:rPr>
        <w:t>林庆庆</w:t>
      </w:r>
    </w:p>
    <w:p w14:paraId="56E820A6">
      <w:pPr>
        <w:pStyle w:val="10"/>
        <w:bidi w:val="0"/>
        <w:rPr>
          <w:rFonts w:hint="eastAsia"/>
        </w:rPr>
      </w:pPr>
      <w:r>
        <w:rPr>
          <w:rFonts w:hint="eastAsia"/>
          <w:b/>
          <w:bCs/>
        </w:rPr>
        <w:t>宣传委员：</w:t>
      </w:r>
      <w:r>
        <w:rPr>
          <w:rFonts w:hint="eastAsia"/>
        </w:rPr>
        <w:t>张金兰</w:t>
      </w:r>
    </w:p>
    <w:p w14:paraId="4C291EDF">
      <w:pPr>
        <w:pStyle w:val="10"/>
        <w:bidi w:val="0"/>
        <w:rPr>
          <w:rFonts w:hint="eastAsia"/>
        </w:rPr>
      </w:pPr>
      <w:r>
        <w:rPr>
          <w:rFonts w:hint="eastAsia"/>
          <w:b/>
          <w:bCs/>
        </w:rPr>
        <w:t>人大副主席：</w:t>
      </w:r>
      <w:r>
        <w:rPr>
          <w:rFonts w:hint="eastAsia"/>
        </w:rPr>
        <w:t>张熙斌</w:t>
      </w:r>
    </w:p>
    <w:p w14:paraId="0BC51D4D">
      <w:pPr>
        <w:pStyle w:val="10"/>
        <w:bidi w:val="0"/>
        <w:rPr>
          <w:rFonts w:hint="eastAsia"/>
        </w:rPr>
      </w:pPr>
      <w:r>
        <w:rPr>
          <w:rFonts w:hint="eastAsia"/>
          <w:b/>
          <w:bCs/>
        </w:rPr>
        <w:t>武装部长：</w:t>
      </w:r>
      <w:r>
        <w:rPr>
          <w:rFonts w:hint="eastAsia"/>
        </w:rPr>
        <w:t>邓汝和</w:t>
      </w:r>
    </w:p>
    <w:p w14:paraId="0A2F2B68">
      <w:pPr>
        <w:pStyle w:val="10"/>
        <w:bidi w:val="0"/>
        <w:rPr>
          <w:rFonts w:hint="eastAsia"/>
        </w:rPr>
      </w:pPr>
      <w:r>
        <w:rPr>
          <w:rFonts w:hint="eastAsia"/>
          <w:b/>
          <w:bCs/>
        </w:rPr>
        <w:t>综治办专职副主任：</w:t>
      </w:r>
      <w:r>
        <w:rPr>
          <w:rFonts w:hint="eastAsia"/>
        </w:rPr>
        <w:t>周序海</w:t>
      </w:r>
    </w:p>
    <w:p w14:paraId="7FF2E4E4">
      <w:pPr>
        <w:pStyle w:val="10"/>
        <w:bidi w:val="0"/>
        <w:rPr>
          <w:rFonts w:hint="eastAsia"/>
        </w:rPr>
      </w:pPr>
      <w:r>
        <w:rPr>
          <w:rFonts w:hint="eastAsia"/>
          <w:b/>
          <w:bCs/>
        </w:rPr>
        <w:t>党委委员：</w:t>
      </w:r>
      <w:r>
        <w:rPr>
          <w:rFonts w:hint="eastAsia"/>
        </w:rPr>
        <w:t>田明华</w:t>
      </w:r>
    </w:p>
    <w:p w14:paraId="6BDAD22C">
      <w:pPr>
        <w:pStyle w:val="10"/>
        <w:bidi w:val="0"/>
        <w:rPr>
          <w:rFonts w:hint="eastAsia"/>
        </w:rPr>
      </w:pPr>
      <w:r>
        <w:rPr>
          <w:rFonts w:hint="eastAsia"/>
          <w:b/>
          <w:bCs/>
        </w:rPr>
        <w:t>副镇长：</w:t>
      </w:r>
      <w:r>
        <w:rPr>
          <w:rFonts w:hint="eastAsia"/>
        </w:rPr>
        <w:t>陈汉铭</w:t>
      </w:r>
      <w:r>
        <w:rPr>
          <w:rFonts w:hint="eastAsia"/>
          <w:lang w:val="en-US" w:eastAsia="zh-CN"/>
        </w:rPr>
        <w:t xml:space="preserve">   </w:t>
      </w:r>
      <w:r>
        <w:rPr>
          <w:rFonts w:hint="eastAsia"/>
        </w:rPr>
        <w:t>潘</w:t>
      </w:r>
      <w:r>
        <w:rPr>
          <w:rFonts w:hint="eastAsia"/>
          <w:lang w:val="en-US" w:eastAsia="zh-CN"/>
        </w:rPr>
        <w:t xml:space="preserve">  </w:t>
      </w:r>
      <w:r>
        <w:rPr>
          <w:rFonts w:hint="eastAsia"/>
        </w:rPr>
        <w:t>彬</w:t>
      </w:r>
      <w:r>
        <w:rPr>
          <w:rFonts w:hint="eastAsia"/>
          <w:lang w:val="en-US" w:eastAsia="zh-CN"/>
        </w:rPr>
        <w:t xml:space="preserve">   </w:t>
      </w:r>
      <w:r>
        <w:rPr>
          <w:rFonts w:hint="eastAsia"/>
        </w:rPr>
        <w:t>陈永春</w:t>
      </w:r>
    </w:p>
    <w:p w14:paraId="14698C2A">
      <w:pPr>
        <w:pStyle w:val="3"/>
        <w:bidi w:val="0"/>
        <w:rPr>
          <w:rFonts w:hint="eastAsia"/>
        </w:rPr>
      </w:pPr>
      <w:r>
        <w:rPr>
          <w:rFonts w:hint="eastAsia"/>
        </w:rPr>
        <w:t>帽子峰镇</w:t>
      </w:r>
    </w:p>
    <w:p w14:paraId="58574E3C">
      <w:pPr>
        <w:pStyle w:val="4"/>
        <w:bidi w:val="0"/>
        <w:rPr>
          <w:rFonts w:hint="eastAsia"/>
        </w:rPr>
      </w:pPr>
      <w:r>
        <w:rPr>
          <w:rFonts w:hint="eastAsia"/>
        </w:rPr>
        <w:t>【概况】</w:t>
      </w:r>
    </w:p>
    <w:p w14:paraId="6BED976E">
      <w:r>
        <w:rPr>
          <w:rFonts w:hint="eastAsia"/>
        </w:rPr>
        <w:t>帽子峰镇地处南雄市西北部，东临珠玑，南接全安，西靠澜河，北与江西省大余县交界。距市区</w:t>
      </w:r>
      <w:r>
        <w:t>24公里，人民政府驻帽子峰镇富竹墟，位于</w:t>
      </w:r>
      <w:r>
        <w:rPr>
          <w:rFonts w:hint="eastAsia"/>
        </w:rPr>
        <w:t>北纬</w:t>
      </w:r>
      <w:r>
        <w:t>25°13</w:t>
      </w:r>
      <w:r>
        <w:rPr>
          <w:rFonts w:hint="eastAsia"/>
          <w:lang w:val="en-US" w:eastAsia="zh-CN"/>
        </w:rPr>
        <w:t>′</w:t>
      </w:r>
      <w:r>
        <w:t>，东经114°13</w:t>
      </w:r>
      <w:r>
        <w:rPr>
          <w:rFonts w:hint="eastAsia"/>
          <w:lang w:val="en-US" w:eastAsia="zh-CN"/>
        </w:rPr>
        <w:t>′</w:t>
      </w:r>
      <w:r>
        <w:t>，邮政编码512429。帽</w:t>
      </w:r>
      <w:r>
        <w:rPr>
          <w:rFonts w:hint="eastAsia"/>
        </w:rPr>
        <w:t>子峰镇边境最</w:t>
      </w:r>
      <w:r>
        <w:rPr>
          <w:rFonts w:hint="eastAsia"/>
          <w:lang w:eastAsia="zh-CN"/>
        </w:rPr>
        <w:t>高</w:t>
      </w:r>
      <w:r>
        <w:rPr>
          <w:rFonts w:hint="eastAsia"/>
        </w:rPr>
        <w:t>山峰形状似帽子，故称此山为帽子峰，海拔高度</w:t>
      </w:r>
      <w:r>
        <w:t>1058米，亦以此为名。</w:t>
      </w:r>
    </w:p>
    <w:p w14:paraId="1F9A9C38">
      <w:pPr>
        <w:rPr>
          <w:rFonts w:hint="eastAsia" w:eastAsia="宋体"/>
          <w:lang w:eastAsia="zh-CN"/>
        </w:rPr>
      </w:pPr>
      <w:r>
        <w:rPr>
          <w:rFonts w:hint="eastAsia"/>
        </w:rPr>
        <w:t>民国</w:t>
      </w:r>
      <w:r>
        <w:t>17年（1928年）属第八区人和正乡、人</w:t>
      </w:r>
      <w:r>
        <w:rPr>
          <w:rFonts w:hint="eastAsia"/>
        </w:rPr>
        <w:t>和分乡、人和衷乡。</w:t>
      </w:r>
      <w:r>
        <w:t>1940年改属第一区永和乡。1949年后属全安（卫星）人民公社、城郊人民公</w:t>
      </w:r>
      <w:r>
        <w:rPr>
          <w:rFonts w:hint="eastAsia"/>
        </w:rPr>
        <w:t>社。</w:t>
      </w:r>
      <w:r>
        <w:t>1960年从城郊人民公社分出，设帽子峰林业人</w:t>
      </w:r>
      <w:r>
        <w:rPr>
          <w:rFonts w:hint="eastAsia"/>
        </w:rPr>
        <w:t>民公社，后改帽子峰人民公社。</w:t>
      </w:r>
      <w:r>
        <w:t>1984年改称区。1986年冬撤区建镇</w:t>
      </w:r>
      <w:r>
        <w:rPr>
          <w:rFonts w:hint="eastAsia"/>
          <w:lang w:eastAsia="zh-CN"/>
        </w:rPr>
        <w:t>。</w:t>
      </w:r>
    </w:p>
    <w:p w14:paraId="7CF6D0E9">
      <w:pPr>
        <w:rPr>
          <w:rFonts w:hint="eastAsia"/>
        </w:rPr>
      </w:pPr>
      <w:r>
        <w:rPr>
          <w:rFonts w:hint="eastAsia"/>
        </w:rPr>
        <w:t>帽子峰镇辖</w:t>
      </w:r>
      <w:r>
        <w:t>5个村委会和1个社区居委会，共56个村民小组。辖区总面积101.25平方公里，其</w:t>
      </w:r>
      <w:r>
        <w:rPr>
          <w:rFonts w:hint="eastAsia"/>
        </w:rPr>
        <w:t>中山林面积</w:t>
      </w:r>
      <w:r>
        <w:t>12.53万亩，耕地面积1.29万亩。总人</w:t>
      </w:r>
      <w:r>
        <w:rPr>
          <w:rFonts w:hint="eastAsia"/>
        </w:rPr>
        <w:t>口</w:t>
      </w:r>
      <w:r>
        <w:t>9098人，总户数为2474户，其中农业人口1693</w:t>
      </w:r>
      <w:r>
        <w:rPr>
          <w:rFonts w:hint="eastAsia"/>
        </w:rPr>
        <w:t>户共</w:t>
      </w:r>
      <w:r>
        <w:t>8406人，常住人口6075人。绝大部分为汉族，</w:t>
      </w:r>
      <w:r>
        <w:rPr>
          <w:rFonts w:hint="eastAsia"/>
        </w:rPr>
        <w:t>只有畲族一个少数民族</w:t>
      </w:r>
      <w:r>
        <w:t>137人主要分布在上龙和富</w:t>
      </w:r>
      <w:r>
        <w:rPr>
          <w:rFonts w:hint="eastAsia"/>
        </w:rPr>
        <w:t>竹、洞头等村。</w:t>
      </w:r>
    </w:p>
    <w:p w14:paraId="7D6DACEC">
      <w:pPr>
        <w:pStyle w:val="4"/>
        <w:bidi w:val="0"/>
        <w:rPr>
          <w:rFonts w:hint="eastAsia"/>
        </w:rPr>
      </w:pPr>
      <w:r>
        <w:rPr>
          <w:rFonts w:hint="eastAsia"/>
        </w:rPr>
        <w:t>【自然条件】</w:t>
      </w:r>
    </w:p>
    <w:p w14:paraId="2AC80F87">
      <w:pPr>
        <w:rPr>
          <w:rFonts w:hint="eastAsia"/>
        </w:rPr>
      </w:pPr>
      <w:r>
        <w:rPr>
          <w:rFonts w:hint="eastAsia"/>
        </w:rPr>
        <w:t>帽子峰镇地处大庚岭西段山区，属亚热带季风湿润气候区。地质属燕山期</w:t>
      </w:r>
      <w:r>
        <w:rPr>
          <w:rFonts w:hint="eastAsia"/>
          <w:lang w:eastAsia="zh-CN"/>
        </w:rPr>
        <w:t>花岗岩</w:t>
      </w:r>
      <w:r>
        <w:rPr>
          <w:rFonts w:hint="eastAsia"/>
        </w:rPr>
        <w:t>体及寒武纪、震旦纪变质岩体。云母花岗岩、二长花岗岩遍布全境。土壤类型是花岗岩风化发育而成的黄壤和红壤。森林覆盖率</w:t>
      </w:r>
      <w:r>
        <w:t>76%，树种以松、杉、毛竹</w:t>
      </w:r>
      <w:r>
        <w:rPr>
          <w:rFonts w:hint="eastAsia"/>
        </w:rPr>
        <w:t>为主。境内主要河流年均流量</w:t>
      </w:r>
      <w:r>
        <w:t>9.26立方米/秒，水</w:t>
      </w:r>
      <w:r>
        <w:rPr>
          <w:rFonts w:hint="eastAsia"/>
        </w:rPr>
        <w:t>能蕴藏量</w:t>
      </w:r>
      <w:r>
        <w:t>0.54万千瓦。矿场有花岗石、稀土、黄</w:t>
      </w:r>
      <w:r>
        <w:rPr>
          <w:rFonts w:hint="eastAsia"/>
        </w:rPr>
        <w:t>金等。冬短夏长，四季分明，年平均气温</w:t>
      </w:r>
      <w:r>
        <w:t>19.6度。</w:t>
      </w:r>
      <w:r>
        <w:rPr>
          <w:rFonts w:hint="eastAsia"/>
        </w:rPr>
        <w:t>适宜种植水稻、黄烟、花生、银杏、田七、桑麻、反季节蔬菜及各种食用、药用菌类等。</w:t>
      </w:r>
    </w:p>
    <w:p w14:paraId="3118514A">
      <w:pPr>
        <w:pStyle w:val="4"/>
        <w:bidi w:val="0"/>
        <w:rPr>
          <w:rFonts w:hint="eastAsia"/>
        </w:rPr>
      </w:pPr>
      <w:r>
        <w:rPr>
          <w:rFonts w:hint="eastAsia"/>
        </w:rPr>
        <w:t>【旅游资源】</w:t>
      </w:r>
    </w:p>
    <w:p w14:paraId="3C154523">
      <w:pPr>
        <w:rPr>
          <w:rFonts w:hint="eastAsia"/>
        </w:rPr>
      </w:pPr>
      <w:r>
        <w:rPr>
          <w:rFonts w:hint="eastAsia"/>
        </w:rPr>
        <w:t>帽子峰镇水资源丰富，水文情况稳定，凌江河有六座梯级电站拦起</w:t>
      </w:r>
      <w:r>
        <w:t>6处各具特色的高</w:t>
      </w:r>
      <w:r>
        <w:rPr>
          <w:rFonts w:hint="eastAsia"/>
        </w:rPr>
        <w:t>峡平湖，山水秀丽；帽子峰海拔</w:t>
      </w:r>
      <w:r>
        <w:t>1058米，耸立于</w:t>
      </w:r>
      <w:r>
        <w:rPr>
          <w:rFonts w:hint="eastAsia"/>
        </w:rPr>
        <w:t>崇山峻岭之中，登峰远眺，或观日出，或览雾海，不亚于庐山、丹霞。帽子峰林场风景宜人，无奇险之胜景，但有清静幽雅之环境。远离村镇，层峦叠嶂，空气清新，“翠滴青山不染尘”。林场资源除用材林外，树木繁多，已知用材林树种有</w:t>
      </w:r>
      <w:r>
        <w:t>133种，药</w:t>
      </w:r>
      <w:r>
        <w:rPr>
          <w:rFonts w:hint="eastAsia"/>
        </w:rPr>
        <w:t>用植物有</w:t>
      </w:r>
      <w:r>
        <w:t>168种。林场四季草木繁多，很多地方保</w:t>
      </w:r>
      <w:r>
        <w:rPr>
          <w:rFonts w:hint="eastAsia"/>
        </w:rPr>
        <w:t>留了原始森林风貌，野果也满山遍野。林场四季鸟语花香，五十年代这里曾有华南虎的足迹，现在树林间，也但闻鸟语、偶见松鼠、麋子出没。已发现兰花品种有</w:t>
      </w:r>
      <w:r>
        <w:t>5种，桂花散生山坑，有的树龄百年以</w:t>
      </w:r>
      <w:r>
        <w:rPr>
          <w:rFonts w:hint="eastAsia"/>
        </w:rPr>
        <w:t>上，八月花开，清香远播。</w:t>
      </w:r>
    </w:p>
    <w:p w14:paraId="4E77614C">
      <w:pPr>
        <w:pStyle w:val="4"/>
        <w:bidi w:val="0"/>
        <w:rPr>
          <w:rFonts w:hint="eastAsia"/>
        </w:rPr>
      </w:pPr>
      <w:r>
        <w:rPr>
          <w:rFonts w:hint="eastAsia"/>
        </w:rPr>
        <w:t>【经济概况】</w:t>
      </w:r>
    </w:p>
    <w:p w14:paraId="1D08BE2C">
      <w:r>
        <w:rPr>
          <w:rFonts w:hint="eastAsia"/>
        </w:rPr>
        <w:t>帽子峰镇耕地面积</w:t>
      </w:r>
      <w:r>
        <w:t>860公顷，人均1.56亩。粮食作物以水稻、薯类和玉米为主，2013</w:t>
      </w:r>
      <w:r>
        <w:rPr>
          <w:rFonts w:hint="eastAsia"/>
        </w:rPr>
        <w:t>年生产粮食</w:t>
      </w:r>
      <w:r>
        <w:t>6601吨，其中水稻5450吨，薯类307</w:t>
      </w:r>
      <w:r>
        <w:rPr>
          <w:rFonts w:hint="eastAsia"/>
        </w:rPr>
        <w:t>吨、玉米</w:t>
      </w:r>
      <w:r>
        <w:t>318吨。主要经济作物有黄烟、花生、朝</w:t>
      </w:r>
      <w:r>
        <w:rPr>
          <w:rFonts w:hint="eastAsia"/>
        </w:rPr>
        <w:t>天椒，</w:t>
      </w:r>
      <w:r>
        <w:t>2013年蔬菜种植总产量为9571吨；黄烟种</w:t>
      </w:r>
      <w:r>
        <w:rPr>
          <w:rFonts w:hint="eastAsia"/>
        </w:rPr>
        <w:t>植面积</w:t>
      </w:r>
      <w:r>
        <w:t>73.93公顷，收购总量为3187担，收购价11.81元/斤（不含产后补贴）；发展种植辣椒等经</w:t>
      </w:r>
      <w:r>
        <w:rPr>
          <w:rFonts w:hint="eastAsia"/>
        </w:rPr>
        <w:t>济作物</w:t>
      </w:r>
      <w:r>
        <w:t>44.8公顷，育杉苗25公顷，蔬菜制种1.4</w:t>
      </w:r>
      <w:r>
        <w:rPr>
          <w:rFonts w:hint="eastAsia"/>
        </w:rPr>
        <w:t>公顷。畜牧业以猪、鸡、鸭、牛为主，生猪出栏为</w:t>
      </w:r>
      <w:r>
        <w:t>14357头、存栏6455头，家禽出栏2.2万只、存栏5万只。实现工农业总产值17419万元，人均纯收</w:t>
      </w:r>
      <w:r>
        <w:rPr>
          <w:rFonts w:hint="eastAsia"/>
        </w:rPr>
        <w:t>入</w:t>
      </w:r>
      <w:r>
        <w:t>7715元，累计完成固定资产投资1.09亿元。</w:t>
      </w:r>
    </w:p>
    <w:p w14:paraId="41E37B92">
      <w:pPr>
        <w:pStyle w:val="4"/>
        <w:bidi w:val="0"/>
        <w:rPr>
          <w:rFonts w:hint="eastAsia"/>
        </w:rPr>
      </w:pPr>
      <w:r>
        <w:rPr>
          <w:rFonts w:hint="eastAsia"/>
        </w:rPr>
        <w:t>【社会发展】</w:t>
      </w:r>
    </w:p>
    <w:p w14:paraId="65446E3E">
      <w:r>
        <w:t>2013年新型农村养老保险19-59岁</w:t>
      </w:r>
      <w:r>
        <w:rPr>
          <w:rFonts w:hint="eastAsia"/>
        </w:rPr>
        <w:t>参保量</w:t>
      </w:r>
      <w:r>
        <w:t>2784人，城居社会养老保险参保缴费完成65人，参加2013年下半年度城镇居民医疗保险185</w:t>
      </w:r>
      <w:r>
        <w:rPr>
          <w:rFonts w:hint="eastAsia"/>
        </w:rPr>
        <w:t>人，新型农村合作医疗保险参保量</w:t>
      </w:r>
      <w:r>
        <w:t>7904人。有现</w:t>
      </w:r>
      <w:r>
        <w:rPr>
          <w:rFonts w:hint="eastAsia"/>
        </w:rPr>
        <w:t>役军人</w:t>
      </w:r>
      <w:r>
        <w:t>3名，优抚对象4名，士官5名，农村最低</w:t>
      </w:r>
      <w:r>
        <w:rPr>
          <w:rFonts w:hint="eastAsia"/>
        </w:rPr>
        <w:t>生活保障户数</w:t>
      </w:r>
      <w:r>
        <w:t>92户，人数180人，农村五保集中</w:t>
      </w:r>
      <w:r>
        <w:rPr>
          <w:rFonts w:hint="eastAsia"/>
        </w:rPr>
        <w:t>供养</w:t>
      </w:r>
      <w:r>
        <w:t>9人，农村五保分散供养13人，其中供养孤</w:t>
      </w:r>
      <w:r>
        <w:rPr>
          <w:rFonts w:hint="eastAsia"/>
        </w:rPr>
        <w:t>儿</w:t>
      </w:r>
      <w:r>
        <w:t>6人，国家抚恤、补助各类优抚对象19人。2013年发放了5000元大病医疗救助，向136位低</w:t>
      </w:r>
      <w:r>
        <w:rPr>
          <w:rFonts w:hint="eastAsia"/>
        </w:rPr>
        <w:t>保人员、残疾人发放生活补贴共</w:t>
      </w:r>
      <w:r>
        <w:t>23180元，为59</w:t>
      </w:r>
      <w:r>
        <w:rPr>
          <w:rFonts w:hint="eastAsia"/>
        </w:rPr>
        <w:t>名白内障患者免费落实手术，实现农村劳动力就业转移</w:t>
      </w:r>
      <w:r>
        <w:t>220人，失业再就业40人，就业困难就业7</w:t>
      </w:r>
      <w:r>
        <w:rPr>
          <w:rFonts w:hint="eastAsia"/>
        </w:rPr>
        <w:t>人，城镇新增就业</w:t>
      </w:r>
      <w:r>
        <w:t>55人。</w:t>
      </w:r>
    </w:p>
    <w:p w14:paraId="589D04F2">
      <w:r>
        <w:t>2013年有幼儿园1所，九年一贯制学校一所</w:t>
      </w:r>
      <w:r>
        <w:rPr>
          <w:rFonts w:hint="eastAsia"/>
        </w:rPr>
        <w:t>初中适龄人口</w:t>
      </w:r>
      <w:r>
        <w:rPr>
          <w:rFonts w:hint="eastAsia"/>
          <w:lang w:val="en-US" w:eastAsia="zh-CN"/>
        </w:rPr>
        <w:t>入</w:t>
      </w:r>
      <w:r>
        <w:rPr>
          <w:rFonts w:hint="eastAsia"/>
        </w:rPr>
        <w:t>学率</w:t>
      </w:r>
      <w:r>
        <w:t>100%，小升初升学率100%，</w:t>
      </w:r>
      <w:r>
        <w:rPr>
          <w:rFonts w:hint="eastAsia"/>
        </w:rPr>
        <w:t>九年义务教育覆盖率达</w:t>
      </w:r>
      <w:r>
        <w:t>100%。实现教学楼房化。</w:t>
      </w:r>
      <w:r>
        <w:rPr>
          <w:rFonts w:hint="eastAsia"/>
        </w:rPr>
        <w:t>医疗保健设施有中心卫生院</w:t>
      </w:r>
      <w:r>
        <w:t>1所，村级医疗站5所。</w:t>
      </w:r>
    </w:p>
    <w:p w14:paraId="78D773EC">
      <w:pPr>
        <w:pStyle w:val="4"/>
        <w:bidi w:val="0"/>
        <w:rPr>
          <w:rFonts w:hint="eastAsia"/>
        </w:rPr>
      </w:pPr>
      <w:r>
        <w:rPr>
          <w:rFonts w:hint="eastAsia"/>
        </w:rPr>
        <w:t>【招商引资】</w:t>
      </w:r>
    </w:p>
    <w:p w14:paraId="2FA8C7A6">
      <w:pPr>
        <w:rPr>
          <w:rFonts w:hint="eastAsia"/>
        </w:rPr>
      </w:pPr>
      <w:r>
        <w:rPr>
          <w:rFonts w:hint="eastAsia"/>
        </w:rPr>
        <w:t>该镇依托丰富的林业和农业资源，优化招商环境，积极对外招商，有力地推动项目的</w:t>
      </w:r>
      <w:r>
        <w:rPr>
          <w:rFonts w:hint="eastAsia"/>
          <w:lang w:val="en-US" w:eastAsia="zh-CN"/>
        </w:rPr>
        <w:t>健</w:t>
      </w:r>
      <w:r>
        <w:rPr>
          <w:rFonts w:hint="eastAsia"/>
        </w:rPr>
        <w:t>康运行，引进韶关裕拓农业开发有限公司做大做强农业，引进韶关青云园林景观设计有限公司做活林业，引进韶关月蓝装饰设计有限公司做好服务</w:t>
      </w:r>
      <w:r>
        <w:rPr>
          <w:rFonts w:hint="eastAsia"/>
          <w:lang w:val="en-US" w:eastAsia="zh-CN"/>
        </w:rPr>
        <w:t>产</w:t>
      </w:r>
      <w:r>
        <w:rPr>
          <w:rFonts w:hint="eastAsia"/>
        </w:rPr>
        <w:t>业。</w:t>
      </w:r>
    </w:p>
    <w:p w14:paraId="6FD22883">
      <w:pPr>
        <w:pStyle w:val="4"/>
        <w:bidi w:val="0"/>
        <w:rPr>
          <w:rFonts w:hint="eastAsia"/>
        </w:rPr>
      </w:pPr>
      <w:r>
        <w:rPr>
          <w:rFonts w:hint="eastAsia"/>
        </w:rPr>
        <w:t>【基础设施】</w:t>
      </w:r>
    </w:p>
    <w:p w14:paraId="764C69D4">
      <w:r>
        <w:t>2013年投资12.6万元完善和建设帽</w:t>
      </w:r>
      <w:r>
        <w:rPr>
          <w:rFonts w:hint="eastAsia"/>
        </w:rPr>
        <w:t>子峰学校自来水系统；按照农村“一事一议”工作要求，该镇积极开展村庄环境整治建设，争取</w:t>
      </w:r>
      <w:r>
        <w:t>1.5</w:t>
      </w:r>
      <w:r>
        <w:rPr>
          <w:rFonts w:hint="eastAsia"/>
        </w:rPr>
        <w:t>万元资金在坪山村建</w:t>
      </w:r>
      <w:r>
        <w:t>5米长陂头1座；利用上级财</w:t>
      </w:r>
      <w:r>
        <w:rPr>
          <w:rFonts w:hint="eastAsia"/>
        </w:rPr>
        <w:t>政补贴</w:t>
      </w:r>
      <w:r>
        <w:t>30万元，在坑尾修建一条700米长的水坭</w:t>
      </w:r>
      <w:r>
        <w:rPr>
          <w:rFonts w:hint="eastAsia"/>
        </w:rPr>
        <w:t>硬化三面光水渠；完成水泥道路硬化</w:t>
      </w:r>
      <w:r>
        <w:t>3公里；争取</w:t>
      </w:r>
      <w:r>
        <w:rPr>
          <w:rFonts w:hint="eastAsia"/>
        </w:rPr>
        <w:t>上级资金</w:t>
      </w:r>
      <w:r>
        <w:t>10万元用以完善洞头村委会办公楼设施。</w:t>
      </w:r>
    </w:p>
    <w:p w14:paraId="1CE52A3B">
      <w:pPr>
        <w:pStyle w:val="4"/>
        <w:bidi w:val="0"/>
        <w:rPr>
          <w:rFonts w:hint="eastAsia"/>
        </w:rPr>
      </w:pPr>
      <w:r>
        <w:rPr>
          <w:rFonts w:hint="eastAsia"/>
        </w:rPr>
        <w:t>【林业建设】</w:t>
      </w:r>
    </w:p>
    <w:p w14:paraId="5BE58EC8">
      <w:r>
        <w:rPr>
          <w:rFonts w:hint="eastAsia"/>
        </w:rPr>
        <w:t>全镇造林</w:t>
      </w:r>
      <w:r>
        <w:t>1500亩，完成富竹和梨树2个万村绿示范点植树造林工作；耕地保有量1.5</w:t>
      </w:r>
      <w:r>
        <w:rPr>
          <w:rFonts w:hint="eastAsia"/>
        </w:rPr>
        <w:t>万亩，完成本任务的</w:t>
      </w:r>
      <w:r>
        <w:t>106%。依法依规</w:t>
      </w:r>
      <w:r>
        <w:rPr>
          <w:rFonts w:hint="eastAsia"/>
          <w:lang w:eastAsia="zh-CN"/>
        </w:rPr>
        <w:t>查</w:t>
      </w:r>
      <w:r>
        <w:t>处9宗滥</w:t>
      </w:r>
      <w:r>
        <w:rPr>
          <w:rFonts w:hint="eastAsia"/>
        </w:rPr>
        <w:t>砍滥伐林木案件，罚款金额</w:t>
      </w:r>
      <w:r>
        <w:t>19200元。</w:t>
      </w:r>
    </w:p>
    <w:p w14:paraId="34A27DBD">
      <w:pPr>
        <w:pStyle w:val="4"/>
        <w:bidi w:val="0"/>
        <w:rPr>
          <w:rFonts w:hint="eastAsia"/>
        </w:rPr>
      </w:pPr>
      <w:r>
        <w:rPr>
          <w:rFonts w:hint="eastAsia"/>
        </w:rPr>
        <w:t>【扶贫双到】</w:t>
      </w:r>
    </w:p>
    <w:p w14:paraId="3C21E5D4">
      <w:r>
        <w:rPr>
          <w:rFonts w:hint="eastAsia"/>
        </w:rPr>
        <w:t>上龙、坪山</w:t>
      </w:r>
      <w:r>
        <w:t>2个重点帮扶村的扶贫</w:t>
      </w:r>
      <w:r>
        <w:rPr>
          <w:rFonts w:hint="eastAsia"/>
        </w:rPr>
        <w:t>开发“双到”工作已全面铺开。两个重点帮扶村分别成立了</w:t>
      </w:r>
      <w:r>
        <w:t>2个专业合作社，完成4户农房改造；垃</w:t>
      </w:r>
      <w:r>
        <w:rPr>
          <w:rFonts w:hint="eastAsia"/>
        </w:rPr>
        <w:t>圾池、垃圾屋建设完工，农田水利项目已经启动。另外坪山村与金友公司、烟草公司及加多宝集团分别签订了发展优质水稻、黄烟种植的工作任务目标及种植仙草合同；上龙村委会至上龙、黄屋村小组</w:t>
      </w:r>
      <w:r>
        <w:t>1公里道路完成水泥硬化。2013年，贫困村人均纯</w:t>
      </w:r>
      <w:r>
        <w:rPr>
          <w:rFonts w:hint="eastAsia"/>
        </w:rPr>
        <w:t>收入比</w:t>
      </w:r>
      <w:r>
        <w:t>2012年全省农村农民人均纯收入增加15%，</w:t>
      </w:r>
      <w:r>
        <w:rPr>
          <w:rFonts w:hint="eastAsia"/>
        </w:rPr>
        <w:t>达</w:t>
      </w:r>
      <w:r>
        <w:t>5400元，其他村贫困户人均纯收入比2012年全</w:t>
      </w:r>
      <w:r>
        <w:rPr>
          <w:rFonts w:hint="eastAsia"/>
        </w:rPr>
        <w:t>省农村农民人均纯收入增加</w:t>
      </w:r>
      <w:r>
        <w:t>8%。</w:t>
      </w:r>
    </w:p>
    <w:p w14:paraId="0BC28D37">
      <w:pPr>
        <w:pStyle w:val="4"/>
        <w:bidi w:val="0"/>
        <w:rPr>
          <w:rFonts w:hint="eastAsia"/>
        </w:rPr>
      </w:pPr>
      <w:r>
        <w:rPr>
          <w:rFonts w:hint="eastAsia"/>
        </w:rPr>
        <w:t>【计划生育】</w:t>
      </w:r>
    </w:p>
    <w:p w14:paraId="0DF8363D">
      <w:pPr>
        <w:rPr>
          <w:rFonts w:hint="eastAsia"/>
          <w:lang w:eastAsia="zh-CN"/>
        </w:rPr>
      </w:pPr>
      <w:r>
        <w:t>2013年全镇出生率14.94‰，政策</w:t>
      </w:r>
      <w:r>
        <w:rPr>
          <w:rFonts w:hint="eastAsia"/>
        </w:rPr>
        <w:t>内出生</w:t>
      </w:r>
      <w:r>
        <w:t>124人，政策生育率为86.71%，性别比104.29，长效措施落实率80%，长效措施及时率50.48%。自然增长率8.05‰，落实避孕节育措施130例</w:t>
      </w:r>
      <w:r>
        <w:rPr>
          <w:rFonts w:hint="eastAsia"/>
          <w:lang w:eastAsia="zh-CN"/>
        </w:rPr>
        <w:t>。</w:t>
      </w:r>
    </w:p>
    <w:p w14:paraId="18FA6A9F">
      <w:pPr>
        <w:pStyle w:val="4"/>
        <w:bidi w:val="0"/>
        <w:rPr>
          <w:rFonts w:hint="eastAsia"/>
        </w:rPr>
      </w:pPr>
      <w:r>
        <w:rPr>
          <w:rFonts w:hint="eastAsia"/>
        </w:rPr>
        <w:t>【精神文明建设】</w:t>
      </w:r>
    </w:p>
    <w:p w14:paraId="79E63A9A">
      <w:pPr>
        <w:rPr>
          <w:rFonts w:hint="eastAsia"/>
        </w:rPr>
      </w:pPr>
      <w:r>
        <w:rPr>
          <w:rFonts w:hint="eastAsia"/>
        </w:rPr>
        <w:t>投入</w:t>
      </w:r>
      <w:r>
        <w:t>70多万元新建镇便民服务</w:t>
      </w:r>
      <w:r>
        <w:rPr>
          <w:rFonts w:hint="eastAsia"/>
        </w:rPr>
        <w:t>中心和上龙、坪山等村级便民服务站，进一步整合资源，统一规范化建设，设置民政、“三保”、计生、国土、林业、农业、党建等</w:t>
      </w:r>
      <w:r>
        <w:t>6项便民服务窗</w:t>
      </w:r>
      <w:r>
        <w:rPr>
          <w:rFonts w:hint="eastAsia"/>
        </w:rPr>
        <w:t>口；教育事业不断发展。教育创强成果得到巩固，学校硬件不断加强，</w:t>
      </w:r>
      <w:r>
        <w:t>2013年小学生和初中生均无缀</w:t>
      </w:r>
      <w:r>
        <w:rPr>
          <w:rFonts w:hint="eastAsia"/>
        </w:rPr>
        <w:t>学现象，</w:t>
      </w:r>
      <w:r>
        <w:rPr>
          <w:rFonts w:hint="eastAsia"/>
          <w:lang w:val="en-US" w:eastAsia="zh-CN"/>
        </w:rPr>
        <w:t>缀</w:t>
      </w:r>
      <w:r>
        <w:rPr>
          <w:rFonts w:hint="eastAsia"/>
        </w:rPr>
        <w:t>学率均为零，教育创强工作通过省验收组复</w:t>
      </w:r>
      <w:r>
        <w:rPr>
          <w:rFonts w:hint="eastAsia"/>
          <w:lang w:eastAsia="zh-CN"/>
        </w:rPr>
        <w:t>查</w:t>
      </w:r>
      <w:r>
        <w:rPr>
          <w:rFonts w:hint="eastAsia"/>
        </w:rPr>
        <w:t>组验收；对综合文化站进行翻新装修，实现标准化、规范化、现代化，为</w:t>
      </w:r>
      <w:r>
        <w:t>80多户农户免费安</w:t>
      </w:r>
      <w:r>
        <w:rPr>
          <w:rFonts w:hint="eastAsia"/>
        </w:rPr>
        <w:t>装“户户通”卫星定位电视接收器。</w:t>
      </w:r>
    </w:p>
    <w:p w14:paraId="6C4F9DCA">
      <w:pPr>
        <w:pStyle w:val="4"/>
        <w:bidi w:val="0"/>
        <w:rPr>
          <w:rFonts w:hint="eastAsia"/>
        </w:rPr>
      </w:pPr>
      <w:r>
        <w:rPr>
          <w:rFonts w:hint="eastAsia"/>
        </w:rPr>
        <w:t>【各村委会（社区）基本情况】</w:t>
      </w:r>
    </w:p>
    <w:p w14:paraId="5C6815F9">
      <w:pPr>
        <w:rPr>
          <w:rFonts w:hint="eastAsia"/>
        </w:rPr>
      </w:pPr>
      <w:r>
        <w:rPr>
          <w:rFonts w:hint="eastAsia"/>
          <w:b/>
          <w:bCs/>
        </w:rPr>
        <w:t>墟镇社区</w:t>
      </w:r>
      <w:r>
        <w:rPr>
          <w:rFonts w:hint="eastAsia"/>
          <w:lang w:val="en-US" w:eastAsia="zh-CN"/>
        </w:rPr>
        <w:t xml:space="preserve">  </w:t>
      </w:r>
      <w:r>
        <w:rPr>
          <w:rFonts w:hint="eastAsia"/>
        </w:rPr>
        <w:t>是镇政府所在地。下辖</w:t>
      </w:r>
      <w:r>
        <w:t>3个村小组416户，共506人，其中有畲族1户1人，其余为</w:t>
      </w:r>
      <w:r>
        <w:rPr>
          <w:rFonts w:hint="eastAsia"/>
        </w:rPr>
        <w:t>汉族。</w:t>
      </w:r>
    </w:p>
    <w:p w14:paraId="38361642">
      <w:r>
        <w:rPr>
          <w:rFonts w:hint="eastAsia"/>
          <w:b/>
          <w:bCs/>
        </w:rPr>
        <w:t>富竹村委会</w:t>
      </w:r>
      <w:r>
        <w:rPr>
          <w:rFonts w:hint="eastAsia"/>
          <w:b/>
          <w:bCs/>
          <w:lang w:val="en-US" w:eastAsia="zh-CN"/>
        </w:rPr>
        <w:t xml:space="preserve"> </w:t>
      </w:r>
      <w:r>
        <w:rPr>
          <w:rFonts w:hint="eastAsia"/>
          <w:lang w:val="en-US" w:eastAsia="zh-CN"/>
        </w:rPr>
        <w:t xml:space="preserve"> </w:t>
      </w:r>
      <w:r>
        <w:rPr>
          <w:rFonts w:hint="eastAsia"/>
        </w:rPr>
        <w:t>位于帽子峰镇南部，距离镇政府所在地</w:t>
      </w:r>
      <w:r>
        <w:t>0.5公里。下辖15个村小组518户，共2196人。其中有畲族26户109人，分布在西石</w:t>
      </w:r>
      <w:r>
        <w:rPr>
          <w:rFonts w:hint="eastAsia"/>
          <w:lang w:eastAsia="zh-CN"/>
        </w:rPr>
        <w:t>、</w:t>
      </w:r>
      <w:r>
        <w:rPr>
          <w:rFonts w:hint="eastAsia"/>
        </w:rPr>
        <w:t>水南坝村小组，其余为汉族。</w:t>
      </w:r>
      <w:r>
        <w:t>2013年集体经济收入7.8万元，农村人均纯收入7715元。2013年富竹</w:t>
      </w:r>
      <w:r>
        <w:rPr>
          <w:rFonts w:hint="eastAsia"/>
        </w:rPr>
        <w:t>村委会种植销售杉苗</w:t>
      </w:r>
      <w:r>
        <w:t>6公顷、小辣椒13.3公顷，</w:t>
      </w:r>
      <w:r>
        <w:rPr>
          <w:rFonts w:hint="eastAsia"/>
        </w:rPr>
        <w:t>成立黄烟、砂糖桔、苗木培育</w:t>
      </w:r>
      <w:r>
        <w:t>3个专业合作社，实</w:t>
      </w:r>
      <w:r>
        <w:rPr>
          <w:rFonts w:hint="eastAsia"/>
        </w:rPr>
        <w:t>现潭溪村小组村道水泥硬化</w:t>
      </w:r>
      <w:r>
        <w:t>1.8公里。</w:t>
      </w:r>
    </w:p>
    <w:p w14:paraId="4AA4D091">
      <w:pPr>
        <w:rPr>
          <w:rFonts w:hint="eastAsia"/>
        </w:rPr>
      </w:pPr>
      <w:r>
        <w:rPr>
          <w:rFonts w:hint="eastAsia"/>
          <w:b/>
          <w:bCs/>
        </w:rPr>
        <w:t>洞头村委会</w:t>
      </w:r>
      <w:r>
        <w:rPr>
          <w:rFonts w:hint="eastAsia"/>
          <w:b/>
          <w:bCs/>
          <w:lang w:val="en-US" w:eastAsia="zh-CN"/>
        </w:rPr>
        <w:t xml:space="preserve"> </w:t>
      </w:r>
      <w:r>
        <w:rPr>
          <w:rFonts w:hint="eastAsia"/>
          <w:lang w:val="en-US" w:eastAsia="zh-CN"/>
        </w:rPr>
        <w:t xml:space="preserve"> </w:t>
      </w:r>
      <w:r>
        <w:rPr>
          <w:rFonts w:hint="eastAsia"/>
        </w:rPr>
        <w:t>位于帽子峰镇北部，距离镇政府所在地</w:t>
      </w:r>
      <w:r>
        <w:t>6公里。下辖11个村小组426户，共1883</w:t>
      </w:r>
      <w:r>
        <w:rPr>
          <w:rFonts w:hint="eastAsia"/>
        </w:rPr>
        <w:t>人。其中有畲族</w:t>
      </w:r>
      <w:r>
        <w:t>5户21人，主要分布在坎头下村</w:t>
      </w:r>
      <w:r>
        <w:rPr>
          <w:rFonts w:hint="eastAsia"/>
        </w:rPr>
        <w:t>小组，其余为汉族。</w:t>
      </w:r>
      <w:r>
        <w:t>2013年集体经济收入2.6万</w:t>
      </w:r>
      <w:r>
        <w:rPr>
          <w:rFonts w:hint="eastAsia"/>
        </w:rPr>
        <w:t>元，农村人均纯收入</w:t>
      </w:r>
      <w:r>
        <w:t>8175元。2013年洞头村委会</w:t>
      </w:r>
      <w:r>
        <w:rPr>
          <w:rFonts w:hint="eastAsia"/>
        </w:rPr>
        <w:t>收购黄烟</w:t>
      </w:r>
      <w:r>
        <w:t>800多担、培育销售杉苗7公顷。完成坎</w:t>
      </w:r>
      <w:r>
        <w:rPr>
          <w:rFonts w:hint="eastAsia"/>
        </w:rPr>
        <w:t>头下、松头村小组</w:t>
      </w:r>
      <w:r>
        <w:t>2座陂头的主坝工程，在河背村</w:t>
      </w:r>
      <w:r>
        <w:rPr>
          <w:rFonts w:hint="eastAsia"/>
        </w:rPr>
        <w:t>小组新建</w:t>
      </w:r>
      <w:r>
        <w:t>10间烤烟房，利用上级资金完成新村委</w:t>
      </w:r>
      <w:r>
        <w:rPr>
          <w:rFonts w:hint="eastAsia"/>
        </w:rPr>
        <w:t>会办公大楼的建设。</w:t>
      </w:r>
    </w:p>
    <w:p w14:paraId="18B48E96">
      <w:r>
        <w:rPr>
          <w:rFonts w:hint="eastAsia"/>
          <w:b/>
          <w:bCs/>
        </w:rPr>
        <w:t>坪山村委会</w:t>
      </w:r>
      <w:r>
        <w:rPr>
          <w:rFonts w:hint="eastAsia"/>
          <w:b/>
          <w:bCs/>
          <w:lang w:val="en-US" w:eastAsia="zh-CN"/>
        </w:rPr>
        <w:t xml:space="preserve"> </w:t>
      </w:r>
      <w:r>
        <w:rPr>
          <w:rFonts w:hint="eastAsia"/>
          <w:lang w:val="en-US" w:eastAsia="zh-CN"/>
        </w:rPr>
        <w:t xml:space="preserve"> </w:t>
      </w:r>
      <w:r>
        <w:rPr>
          <w:rFonts w:hint="eastAsia"/>
        </w:rPr>
        <w:t>位于帽子峰镇东北部，距离镇政府所在地</w:t>
      </w:r>
      <w:r>
        <w:t>5公里。下辖11个村小组377户，共1494人。2013年集体经济收入1.9万元，农村人</w:t>
      </w:r>
      <w:r>
        <w:rPr>
          <w:rFonts w:hint="eastAsia"/>
        </w:rPr>
        <w:t>均纯收入</w:t>
      </w:r>
      <w:r>
        <w:t>7415元。2013年坪山村委会种植黄烟14.7公顷，收购黄烟600多担，培育销售杉苗6公</w:t>
      </w:r>
      <w:r>
        <w:rPr>
          <w:rFonts w:hint="eastAsia"/>
        </w:rPr>
        <w:t>顷，种植优质水稻</w:t>
      </w:r>
      <w:r>
        <w:t>106.6公顷、花生8公顷、甜玉</w:t>
      </w:r>
      <w:r>
        <w:rPr>
          <w:rFonts w:hint="eastAsia"/>
        </w:rPr>
        <w:t>米</w:t>
      </w:r>
      <w:r>
        <w:t>53公顷，成立了农产品专业合作社和中药材专</w:t>
      </w:r>
      <w:r>
        <w:rPr>
          <w:rFonts w:hint="eastAsia"/>
        </w:rPr>
        <w:t>业合作社</w:t>
      </w:r>
      <w:r>
        <w:t>2个专业合作社，在下坎村小组建造水泥</w:t>
      </w:r>
      <w:r>
        <w:rPr>
          <w:rFonts w:hint="eastAsia"/>
        </w:rPr>
        <w:t>陂头</w:t>
      </w:r>
      <w:r>
        <w:t>1座，完成新村小组自来水饮水工程。</w:t>
      </w:r>
    </w:p>
    <w:p w14:paraId="518C94CB">
      <w:r>
        <w:rPr>
          <w:rFonts w:hint="eastAsia"/>
          <w:b/>
          <w:bCs/>
        </w:rPr>
        <w:t>上龙村委会</w:t>
      </w:r>
      <w:r>
        <w:rPr>
          <w:rFonts w:hint="eastAsia"/>
          <w:lang w:val="en-US" w:eastAsia="zh-CN"/>
        </w:rPr>
        <w:t xml:space="preserve">  </w:t>
      </w:r>
      <w:r>
        <w:rPr>
          <w:rFonts w:hint="eastAsia"/>
        </w:rPr>
        <w:t>位于帽子峰镇东北部，距离镇政府所在地</w:t>
      </w:r>
      <w:r>
        <w:t>7公里。下辖8个村小组372户，共1481</w:t>
      </w:r>
      <w:r>
        <w:rPr>
          <w:rFonts w:hint="eastAsia"/>
        </w:rPr>
        <w:t>人。其中有畲族</w:t>
      </w:r>
      <w:r>
        <w:t>2户6人，分布在上龙、旱芫村小</w:t>
      </w:r>
      <w:r>
        <w:rPr>
          <w:rFonts w:hint="eastAsia"/>
        </w:rPr>
        <w:t>组，其余为汉族。</w:t>
      </w:r>
      <w:r>
        <w:t>2013年集体经济收入2.9万元，</w:t>
      </w:r>
      <w:r>
        <w:rPr>
          <w:rFonts w:hint="eastAsia"/>
        </w:rPr>
        <w:t>农村人均纯收入</w:t>
      </w:r>
      <w:r>
        <w:t>7286元。2013年上龙村委会收购</w:t>
      </w:r>
      <w:r>
        <w:rPr>
          <w:rFonts w:hint="eastAsia"/>
        </w:rPr>
        <w:t>黄烟</w:t>
      </w:r>
      <w:r>
        <w:t>510担，培育杉苗6公顷，成立了甜玉米专业</w:t>
      </w:r>
      <w:r>
        <w:rPr>
          <w:rFonts w:hint="eastAsia"/>
        </w:rPr>
        <w:t>合作社和蔬菜制种专业合作社</w:t>
      </w:r>
      <w:r>
        <w:t>2个专业合作社，新</w:t>
      </w:r>
      <w:r>
        <w:rPr>
          <w:rFonts w:hint="eastAsia"/>
        </w:rPr>
        <w:t>增一台变压器，解决上龙、新屋两个村小组</w:t>
      </w:r>
      <w:r>
        <w:t>80多</w:t>
      </w:r>
      <w:r>
        <w:rPr>
          <w:rFonts w:hint="eastAsia"/>
        </w:rPr>
        <w:t>户用电难的问题，完成上龙村委会至上龙、黄屋村小组</w:t>
      </w:r>
      <w:r>
        <w:t>1公里道路的水泥硬化。</w:t>
      </w:r>
    </w:p>
    <w:p w14:paraId="299E3378">
      <w:r>
        <w:rPr>
          <w:rFonts w:hint="eastAsia"/>
          <w:b/>
          <w:bCs/>
        </w:rPr>
        <w:t>梨树村委会</w:t>
      </w:r>
      <w:r>
        <w:rPr>
          <w:rFonts w:hint="eastAsia"/>
          <w:b/>
          <w:bCs/>
          <w:lang w:val="en-US" w:eastAsia="zh-CN"/>
        </w:rPr>
        <w:t xml:space="preserve">  </w:t>
      </w:r>
      <w:r>
        <w:rPr>
          <w:rFonts w:hint="eastAsia"/>
        </w:rPr>
        <w:t>位于帽子峰镇东北边陲，北与江西省交接，距离帽子峰镇政府所在地</w:t>
      </w:r>
      <w:r>
        <w:t>8公里，下辖11个村小组365户，共1538人。2013年集体经济</w:t>
      </w:r>
      <w:r>
        <w:rPr>
          <w:rFonts w:hint="eastAsia"/>
        </w:rPr>
        <w:t>收入</w:t>
      </w:r>
      <w:r>
        <w:t>4万元，农村人均纯</w:t>
      </w:r>
      <w:r>
        <w:rPr>
          <w:rFonts w:hint="eastAsia"/>
          <w:lang w:eastAsia="zh-CN"/>
        </w:rPr>
        <w:t>收入</w:t>
      </w:r>
      <w:r>
        <w:t>7969元。2013年梨</w:t>
      </w:r>
      <w:r>
        <w:rPr>
          <w:rFonts w:hint="eastAsia"/>
        </w:rPr>
        <w:t>树村委会收购黄烟</w:t>
      </w:r>
      <w:r>
        <w:t>630担。</w:t>
      </w:r>
    </w:p>
    <w:p w14:paraId="53B95602">
      <w:pPr>
        <w:jc w:val="right"/>
        <w:rPr>
          <w:rFonts w:hint="eastAsia"/>
          <w:b/>
          <w:bCs/>
        </w:rPr>
      </w:pPr>
      <w:r>
        <w:rPr>
          <w:rFonts w:hint="eastAsia"/>
          <w:b/>
          <w:bCs/>
        </w:rPr>
        <w:t>（姚必月）</w:t>
      </w:r>
    </w:p>
    <w:p w14:paraId="626F3745">
      <w:pPr>
        <w:pStyle w:val="10"/>
        <w:bidi w:val="0"/>
        <w:rPr>
          <w:b/>
          <w:bCs/>
        </w:rPr>
      </w:pPr>
      <w:r>
        <w:rPr>
          <w:rFonts w:hint="eastAsia"/>
          <w:b/>
          <w:bCs/>
        </w:rPr>
        <w:t>附：</w:t>
      </w:r>
      <w:r>
        <w:rPr>
          <w:b/>
          <w:bCs/>
        </w:rPr>
        <w:t>2013年帽子峰镇领导班子成员名单</w:t>
      </w:r>
    </w:p>
    <w:p w14:paraId="1CB7B177">
      <w:pPr>
        <w:pStyle w:val="10"/>
        <w:bidi w:val="0"/>
      </w:pPr>
      <w:r>
        <w:rPr>
          <w:rFonts w:hint="eastAsia"/>
          <w:b/>
          <w:bCs/>
        </w:rPr>
        <w:t>党委书记、人大主席：</w:t>
      </w:r>
      <w:r>
        <w:rPr>
          <w:rFonts w:hint="eastAsia"/>
        </w:rPr>
        <w:t>朱运通（任至</w:t>
      </w:r>
      <w:r>
        <w:t>9月）</w:t>
      </w:r>
    </w:p>
    <w:p w14:paraId="28CFEB15">
      <w:pPr>
        <w:pStyle w:val="10"/>
        <w:bidi w:val="0"/>
        <w:ind w:firstLine="2100" w:firstLineChars="1000"/>
      </w:pPr>
      <w:r>
        <w:rPr>
          <w:rFonts w:hint="eastAsia"/>
        </w:rPr>
        <w:t>曾</w:t>
      </w:r>
      <w:r>
        <w:rPr>
          <w:rFonts w:hint="eastAsia"/>
          <w:lang w:val="en-US" w:eastAsia="zh-CN"/>
        </w:rPr>
        <w:t xml:space="preserve">  </w:t>
      </w:r>
      <w:r>
        <w:rPr>
          <w:rFonts w:hint="eastAsia"/>
        </w:rPr>
        <w:t>智（</w:t>
      </w:r>
      <w:r>
        <w:t>9月任）</w:t>
      </w:r>
    </w:p>
    <w:p w14:paraId="55AFC63D">
      <w:pPr>
        <w:pStyle w:val="10"/>
        <w:bidi w:val="0"/>
        <w:rPr>
          <w:rFonts w:hint="eastAsia"/>
        </w:rPr>
      </w:pPr>
      <w:r>
        <w:rPr>
          <w:rFonts w:hint="eastAsia"/>
          <w:b/>
          <w:bCs/>
        </w:rPr>
        <w:t>党委副书记、镇长：</w:t>
      </w:r>
      <w:r>
        <w:rPr>
          <w:rFonts w:hint="eastAsia"/>
        </w:rPr>
        <w:t>沈学安</w:t>
      </w:r>
    </w:p>
    <w:p w14:paraId="4CA8588F">
      <w:pPr>
        <w:pStyle w:val="10"/>
        <w:bidi w:val="0"/>
        <w:rPr>
          <w:rFonts w:hint="eastAsia"/>
        </w:rPr>
      </w:pPr>
      <w:r>
        <w:rPr>
          <w:rFonts w:hint="eastAsia"/>
          <w:b/>
          <w:bCs/>
        </w:rPr>
        <w:t>党委副书记：</w:t>
      </w:r>
      <w:r>
        <w:rPr>
          <w:rFonts w:hint="eastAsia"/>
        </w:rPr>
        <w:t>罗青山</w:t>
      </w:r>
    </w:p>
    <w:p w14:paraId="478FD280">
      <w:pPr>
        <w:pStyle w:val="10"/>
        <w:bidi w:val="0"/>
        <w:rPr>
          <w:rFonts w:hint="eastAsia"/>
        </w:rPr>
      </w:pPr>
      <w:r>
        <w:rPr>
          <w:rFonts w:hint="eastAsia"/>
          <w:b/>
          <w:bCs/>
        </w:rPr>
        <w:t>纪委书记：</w:t>
      </w:r>
      <w:r>
        <w:rPr>
          <w:rFonts w:hint="eastAsia"/>
        </w:rPr>
        <w:t>林金山</w:t>
      </w:r>
    </w:p>
    <w:p w14:paraId="42F17D5A">
      <w:pPr>
        <w:pStyle w:val="10"/>
        <w:bidi w:val="0"/>
        <w:rPr>
          <w:rFonts w:hint="eastAsia"/>
        </w:rPr>
      </w:pPr>
      <w:r>
        <w:rPr>
          <w:rFonts w:hint="eastAsia"/>
          <w:b/>
          <w:bCs/>
        </w:rPr>
        <w:t>组织委员：</w:t>
      </w:r>
      <w:r>
        <w:rPr>
          <w:rFonts w:hint="eastAsia"/>
        </w:rPr>
        <w:t>冯志霞</w:t>
      </w:r>
    </w:p>
    <w:p w14:paraId="51595A93">
      <w:pPr>
        <w:pStyle w:val="10"/>
        <w:bidi w:val="0"/>
        <w:rPr>
          <w:rFonts w:hint="eastAsia"/>
        </w:rPr>
      </w:pPr>
      <w:r>
        <w:rPr>
          <w:rFonts w:hint="eastAsia"/>
          <w:b/>
          <w:bCs/>
        </w:rPr>
        <w:t>宣传委员：</w:t>
      </w:r>
      <w:r>
        <w:rPr>
          <w:rFonts w:hint="eastAsia"/>
        </w:rPr>
        <w:t>戴君文</w:t>
      </w:r>
    </w:p>
    <w:p w14:paraId="4E47EEB0">
      <w:pPr>
        <w:pStyle w:val="10"/>
        <w:bidi w:val="0"/>
        <w:rPr>
          <w:rFonts w:hint="eastAsia"/>
        </w:rPr>
      </w:pPr>
      <w:r>
        <w:rPr>
          <w:rFonts w:hint="eastAsia"/>
          <w:b/>
          <w:bCs/>
        </w:rPr>
        <w:t>人大副主席：</w:t>
      </w:r>
      <w:r>
        <w:rPr>
          <w:rFonts w:hint="eastAsia"/>
        </w:rPr>
        <w:t>沈琼连</w:t>
      </w:r>
    </w:p>
    <w:p w14:paraId="3686F249">
      <w:pPr>
        <w:pStyle w:val="10"/>
        <w:bidi w:val="0"/>
        <w:rPr>
          <w:rFonts w:hint="eastAsia"/>
          <w:b w:val="0"/>
          <w:bCs w:val="0"/>
        </w:rPr>
      </w:pPr>
      <w:r>
        <w:rPr>
          <w:rFonts w:hint="eastAsia"/>
          <w:b/>
          <w:bCs/>
        </w:rPr>
        <w:t>武装部长：</w:t>
      </w:r>
      <w:r>
        <w:rPr>
          <w:rFonts w:hint="eastAsia"/>
          <w:b w:val="0"/>
          <w:bCs w:val="0"/>
        </w:rPr>
        <w:t>钟全华</w:t>
      </w:r>
    </w:p>
    <w:p w14:paraId="2D6B4667">
      <w:pPr>
        <w:pStyle w:val="10"/>
        <w:bidi w:val="0"/>
        <w:rPr>
          <w:rFonts w:hint="eastAsia"/>
        </w:rPr>
      </w:pPr>
      <w:r>
        <w:rPr>
          <w:rFonts w:hint="eastAsia"/>
          <w:b/>
          <w:bCs/>
        </w:rPr>
        <w:t>综治办专职副主任：</w:t>
      </w:r>
      <w:r>
        <w:rPr>
          <w:rFonts w:hint="eastAsia"/>
        </w:rPr>
        <w:t>黄祖胜</w:t>
      </w:r>
    </w:p>
    <w:p w14:paraId="66B7263F">
      <w:pPr>
        <w:pStyle w:val="10"/>
        <w:bidi w:val="0"/>
        <w:rPr>
          <w:rFonts w:hint="eastAsia"/>
        </w:rPr>
      </w:pPr>
      <w:r>
        <w:rPr>
          <w:rFonts w:hint="eastAsia"/>
          <w:b/>
          <w:bCs/>
        </w:rPr>
        <w:t>副镇长：</w:t>
      </w:r>
      <w:r>
        <w:rPr>
          <w:rFonts w:hint="eastAsia"/>
        </w:rPr>
        <w:t>李海辉</w:t>
      </w:r>
      <w:r>
        <w:rPr>
          <w:rFonts w:hint="eastAsia"/>
          <w:lang w:val="en-US" w:eastAsia="zh-CN"/>
        </w:rPr>
        <w:t xml:space="preserve">   </w:t>
      </w:r>
      <w:r>
        <w:rPr>
          <w:rFonts w:hint="eastAsia"/>
        </w:rPr>
        <w:t>邱</w:t>
      </w:r>
      <w:r>
        <w:rPr>
          <w:rFonts w:hint="eastAsia"/>
          <w:lang w:val="en-US" w:eastAsia="zh-CN"/>
        </w:rPr>
        <w:t xml:space="preserve">  </w:t>
      </w:r>
      <w:r>
        <w:rPr>
          <w:rFonts w:hint="eastAsia"/>
        </w:rPr>
        <w:t>洪</w:t>
      </w:r>
      <w:r>
        <w:rPr>
          <w:rFonts w:hint="eastAsia"/>
          <w:lang w:val="en-US" w:eastAsia="zh-CN"/>
        </w:rPr>
        <w:t xml:space="preserve">   </w:t>
      </w:r>
      <w:r>
        <w:rPr>
          <w:rFonts w:hint="eastAsia"/>
        </w:rPr>
        <w:t>沈学勇</w:t>
      </w:r>
    </w:p>
    <w:p w14:paraId="483F1460">
      <w:pPr>
        <w:pStyle w:val="3"/>
        <w:bidi w:val="0"/>
        <w:rPr>
          <w:rFonts w:hint="eastAsia"/>
        </w:rPr>
      </w:pPr>
      <w:r>
        <w:rPr>
          <w:rFonts w:hint="eastAsia"/>
        </w:rPr>
        <w:t>百顺镇</w:t>
      </w:r>
    </w:p>
    <w:p w14:paraId="3A2E9025">
      <w:pPr>
        <w:pStyle w:val="4"/>
        <w:bidi w:val="0"/>
        <w:rPr>
          <w:rFonts w:hint="eastAsia"/>
        </w:rPr>
      </w:pPr>
      <w:r>
        <w:rPr>
          <w:rFonts w:hint="eastAsia"/>
          <w:lang w:eastAsia="zh-CN"/>
        </w:rPr>
        <w:t>【</w:t>
      </w:r>
      <w:r>
        <w:rPr>
          <w:rFonts w:hint="eastAsia"/>
        </w:rPr>
        <w:t>概况】</w:t>
      </w:r>
    </w:p>
    <w:p w14:paraId="2EBC4AC5">
      <w:pPr>
        <w:rPr>
          <w:rFonts w:hint="eastAsia" w:ascii="宋体" w:hAnsi="宋体" w:cs="宋体"/>
        </w:rPr>
      </w:pPr>
      <w:r>
        <w:rPr>
          <w:rFonts w:hint="eastAsia"/>
        </w:rPr>
        <w:t>百顺镇地处南雄西北面，距市区</w:t>
      </w:r>
      <w:r>
        <w:t>58公</w:t>
      </w:r>
      <w:r>
        <w:rPr>
          <w:rFonts w:hint="eastAsia"/>
        </w:rPr>
        <w:t>里，与江西省为邻，境内交通便利，主要交通有省道</w:t>
      </w:r>
      <w:r>
        <w:t>S342线、S244线和县道X340线，各村已实现水</w:t>
      </w:r>
      <w:r>
        <w:rPr>
          <w:rFonts w:hint="eastAsia"/>
        </w:rPr>
        <w:t>泥路。辖</w:t>
      </w:r>
      <w:r>
        <w:t>9个村委会，1个居委会，106个村小组，</w:t>
      </w:r>
      <w:r>
        <w:rPr>
          <w:rFonts w:hint="eastAsia"/>
        </w:rPr>
        <w:t>总户数</w:t>
      </w:r>
      <w:r>
        <w:t>3749户，总人口12904人，总劳动力8645</w:t>
      </w:r>
      <w:r>
        <w:rPr>
          <w:rFonts w:hint="eastAsia"/>
        </w:rPr>
        <w:t>个。总面积</w:t>
      </w:r>
      <w:r>
        <w:t>187.1平方公里，是个九山半水半分田</w:t>
      </w:r>
      <w:r>
        <w:rPr>
          <w:rFonts w:hint="eastAsia"/>
        </w:rPr>
        <w:t>的山区镇。耕地面积</w:t>
      </w:r>
      <w:r>
        <w:t>759公顷，山地面积15582.9</w:t>
      </w:r>
      <w:r>
        <w:rPr>
          <w:rFonts w:hint="eastAsia"/>
        </w:rPr>
        <w:t>公顷，山林面积</w:t>
      </w:r>
      <w:r>
        <w:t>15401.8公顷，森林覆盖率80.4%。境内水资源十分丰富，已兴建小水电站29</w:t>
      </w:r>
      <w:r>
        <w:rPr>
          <w:rFonts w:hint="eastAsia"/>
        </w:rPr>
        <w:t>个，装机容量</w:t>
      </w:r>
      <w:r>
        <w:t>10695千瓦，年发电量3200万度。地</w:t>
      </w:r>
      <w:r>
        <w:rPr>
          <w:rFonts w:hint="eastAsia"/>
        </w:rPr>
        <w:t>下蕴藏有丰富的铀矿、</w:t>
      </w:r>
      <w:r>
        <w:rPr>
          <w:rFonts w:hint="eastAsia"/>
          <w:lang w:eastAsia="zh-CN"/>
        </w:rPr>
        <w:t>花岗岩</w:t>
      </w:r>
      <w:r>
        <w:rPr>
          <w:rFonts w:hint="eastAsia"/>
        </w:rPr>
        <w:t>石、稀土等资源。现有私营企业</w:t>
      </w:r>
      <w:r>
        <w:t>36家，竹制品厂3家，年加工毛竹120</w:t>
      </w:r>
      <w:r>
        <w:rPr>
          <w:rFonts w:hint="eastAsia"/>
        </w:rPr>
        <w:t>万条；以发电和以毛竹为原料加工筷子、竹丝为主，特产有冬笋、笋干、花豆、香菇以及杨梅等。农业主产以水稻、花生、罗汉果为主。罗汉果农民专业合作社</w:t>
      </w:r>
      <w:r>
        <w:t>2家，分别是</w:t>
      </w:r>
      <w:r>
        <w:rPr>
          <w:rFonts w:hint="eastAsia" w:ascii="宋体" w:hAnsi="宋体" w:cs="宋体"/>
        </w:rPr>
        <w:t>“雄百”和“顺雄”。</w:t>
      </w:r>
    </w:p>
    <w:p w14:paraId="4D0A1C8D">
      <w:pPr>
        <w:pStyle w:val="4"/>
        <w:bidi w:val="0"/>
        <w:rPr>
          <w:rFonts w:hint="eastAsia"/>
        </w:rPr>
      </w:pPr>
      <w:r>
        <w:rPr>
          <w:rFonts w:hint="eastAsia"/>
        </w:rPr>
        <w:t>【经济社会发展】</w:t>
      </w:r>
    </w:p>
    <w:p w14:paraId="4C213BE9">
      <w:r>
        <w:t>2013年，全镇工农业总产值实</w:t>
      </w:r>
      <w:r>
        <w:rPr>
          <w:rFonts w:hint="eastAsia"/>
        </w:rPr>
        <w:t>现</w:t>
      </w:r>
      <w:r>
        <w:t>1.9423亿元，比上年增加2088万元，增长12.05%，农村人均纯收入6943元，比上年增加771元，增长12.5%，地方财政一般预算收入299.8万元，比上年增长4.09%。</w:t>
      </w:r>
    </w:p>
    <w:p w14:paraId="2EA1E1D4">
      <w:pPr>
        <w:pStyle w:val="4"/>
        <w:bidi w:val="0"/>
        <w:rPr>
          <w:rFonts w:hint="eastAsia"/>
        </w:rPr>
      </w:pPr>
      <w:r>
        <w:rPr>
          <w:rFonts w:hint="eastAsia"/>
        </w:rPr>
        <w:t>【特色农业】</w:t>
      </w:r>
    </w:p>
    <w:p w14:paraId="7E638D17">
      <w:pPr>
        <w:rPr>
          <w:rFonts w:hint="eastAsia"/>
        </w:rPr>
      </w:pPr>
      <w:r>
        <w:t>2013年，坚持继续走特色农业发展</w:t>
      </w:r>
      <w:r>
        <w:rPr>
          <w:rFonts w:hint="eastAsia"/>
        </w:rPr>
        <w:t>道路。一是继续坚持罗汉果的种植。全年种植中药材罗汉果</w:t>
      </w:r>
      <w:r>
        <w:t>120余亩，总收入预计90余万元，亩产</w:t>
      </w:r>
      <w:r>
        <w:rPr>
          <w:rFonts w:hint="eastAsia"/>
        </w:rPr>
        <w:t>值</w:t>
      </w:r>
      <w:r>
        <w:t>7500元以上，亩平纯收入达4500元以上；二是</w:t>
      </w:r>
      <w:r>
        <w:rPr>
          <w:rFonts w:hint="eastAsia"/>
        </w:rPr>
        <w:t>大力发展养牛、羊、黑山羊等特色农业。</w:t>
      </w:r>
      <w:r>
        <w:t>2013年全</w:t>
      </w:r>
      <w:r>
        <w:rPr>
          <w:rFonts w:hint="eastAsia"/>
        </w:rPr>
        <w:t>镇积极发展特色农业养殖业，分别在邓洞、湖地等村委会发展肉牛、黑山羊等经济项目。位于邓洞村委会新地村小组芒东坑的养牛场占地约</w:t>
      </w:r>
      <w:r>
        <w:t>2000余亩，</w:t>
      </w:r>
      <w:r>
        <w:rPr>
          <w:rFonts w:hint="eastAsia"/>
        </w:rPr>
        <w:t>养殖肉牛</w:t>
      </w:r>
      <w:r>
        <w:t>100余头，年收入10万元；三是与扶贫</w:t>
      </w:r>
      <w:r>
        <w:rPr>
          <w:rFonts w:hint="eastAsia"/>
        </w:rPr>
        <w:t>开发相结合，发展茶叶产业。在溪头、邓洞、杨梅、百顺等村搞山茶种植项目，发展茶叶基地</w:t>
      </w:r>
      <w:r>
        <w:t>300</w:t>
      </w:r>
      <w:r>
        <w:rPr>
          <w:rFonts w:hint="eastAsia"/>
        </w:rPr>
        <w:t>亩，帮助广大群众脱贫致富。</w:t>
      </w:r>
    </w:p>
    <w:p w14:paraId="160E907B">
      <w:pPr>
        <w:pStyle w:val="4"/>
        <w:bidi w:val="0"/>
        <w:rPr>
          <w:rFonts w:hint="eastAsia"/>
        </w:rPr>
      </w:pPr>
      <w:r>
        <w:rPr>
          <w:rFonts w:hint="eastAsia"/>
        </w:rPr>
        <w:t>【林业经济发展】</w:t>
      </w:r>
    </w:p>
    <w:p w14:paraId="04EED321">
      <w:pPr>
        <w:rPr>
          <w:rFonts w:hint="eastAsia"/>
        </w:rPr>
      </w:pPr>
      <w:r>
        <w:rPr>
          <w:rFonts w:hint="eastAsia"/>
        </w:rPr>
        <w:t>百顺镇具有丰富的竹类资源，是南雄市著名的林业重镇。有毛竹林</w:t>
      </w:r>
      <w:r>
        <w:t>16万余亩，</w:t>
      </w:r>
      <w:r>
        <w:rPr>
          <w:rFonts w:hint="eastAsia"/>
        </w:rPr>
        <w:t>毛竹种植户有</w:t>
      </w:r>
      <w:r>
        <w:t>2000余户，年产冬笋、春笋近200</w:t>
      </w:r>
      <w:r>
        <w:rPr>
          <w:rFonts w:hint="eastAsia"/>
        </w:rPr>
        <w:t>万公斤，商品竹</w:t>
      </w:r>
      <w:r>
        <w:t>100多万根，冬笋价格每公斤4</w:t>
      </w:r>
      <w:r>
        <w:rPr>
          <w:rFonts w:hint="eastAsia"/>
        </w:rPr>
        <w:t>元，远销湖南、广西、江西等地，仅毛竹产业</w:t>
      </w:r>
      <w:r>
        <w:rPr>
          <w:rFonts w:hint="eastAsia"/>
          <w:lang w:eastAsia="zh-CN"/>
        </w:rPr>
        <w:t>收入</w:t>
      </w:r>
      <w:r>
        <w:t>1000余万元。2013年，镇党委政府结合本地实际，</w:t>
      </w:r>
      <w:r>
        <w:rPr>
          <w:rFonts w:hint="eastAsia"/>
        </w:rPr>
        <w:t>充分发挥毛竹资源优势，把发展竹产业作为新农村建设和农民增收致富的主要项目来抓，大大提高了冬笋和商品竹的产出量。</w:t>
      </w:r>
    </w:p>
    <w:p w14:paraId="3DA815D1">
      <w:pPr>
        <w:pStyle w:val="4"/>
        <w:bidi w:val="0"/>
        <w:rPr>
          <w:rFonts w:hint="eastAsia"/>
        </w:rPr>
      </w:pPr>
      <w:r>
        <w:rPr>
          <w:rFonts w:hint="eastAsia"/>
        </w:rPr>
        <w:t>【基础设施建设】</w:t>
      </w:r>
    </w:p>
    <w:p w14:paraId="37329C25">
      <w:r>
        <w:rPr>
          <w:rFonts w:hint="eastAsia"/>
        </w:rPr>
        <w:t>该镇着力推进基础设施建设，积极改善镇、村生产生活条件。一是继续加大农村道路硬化建设。</w:t>
      </w:r>
      <w:r>
        <w:t>2013年完成尚睦村委会至上张路段1.5公里、太阳坝至金狮水3.5公里、黄洞迳至马</w:t>
      </w:r>
      <w:r>
        <w:rPr>
          <w:rFonts w:hint="eastAsia"/>
        </w:rPr>
        <w:t>洞</w:t>
      </w:r>
      <w:r>
        <w:t>1.5公里、朱安至太平6公里、邓洞4.5公里</w:t>
      </w:r>
      <w:r>
        <w:rPr>
          <w:rFonts w:hint="eastAsia"/>
        </w:rPr>
        <w:t>（在建）计</w:t>
      </w:r>
      <w:r>
        <w:t>17公里的乡村道路硬化工程。二是切实</w:t>
      </w:r>
      <w:r>
        <w:rPr>
          <w:rFonts w:hint="eastAsia"/>
        </w:rPr>
        <w:t>抓好基本农田治理工作。</w:t>
      </w:r>
      <w:r>
        <w:t>2013年除杨梅村以外，其</w:t>
      </w:r>
      <w:r>
        <w:rPr>
          <w:rFonts w:hint="eastAsia"/>
        </w:rPr>
        <w:t>余</w:t>
      </w:r>
      <w:r>
        <w:t>8个村都已实施高标准基本农田建设项目。</w:t>
      </w:r>
    </w:p>
    <w:p w14:paraId="75CA7B8D">
      <w:pPr>
        <w:pStyle w:val="4"/>
        <w:bidi w:val="0"/>
        <w:rPr>
          <w:rFonts w:hint="eastAsia"/>
        </w:rPr>
      </w:pPr>
      <w:r>
        <w:rPr>
          <w:rFonts w:hint="eastAsia"/>
        </w:rPr>
        <w:t>【文化健身广场建设】</w:t>
      </w:r>
    </w:p>
    <w:p w14:paraId="301F53E8">
      <w:pPr>
        <w:rPr>
          <w:rFonts w:hint="eastAsia"/>
        </w:rPr>
      </w:pPr>
      <w:r>
        <w:rPr>
          <w:rFonts w:hint="eastAsia"/>
        </w:rPr>
        <w:t>全民健身广场拟建于百顺墟镇东南面，南北长</w:t>
      </w:r>
      <w:r>
        <w:t>65米，东西宽72米，总面积4680平方米，一期投资130万元，总投资156万余</w:t>
      </w:r>
      <w:r>
        <w:rPr>
          <w:rFonts w:hint="eastAsia"/>
        </w:rPr>
        <w:t>元。是一个以文化为主题，集休闲、健身、娱乐</w:t>
      </w:r>
      <w:r>
        <w:rPr>
          <w:rFonts w:hint="eastAsia"/>
          <w:lang w:eastAsia="zh-CN"/>
        </w:rPr>
        <w:t>、</w:t>
      </w:r>
      <w:r>
        <w:rPr>
          <w:rFonts w:hint="eastAsia"/>
        </w:rPr>
        <w:t>生态、计生于一体的文化广场。健身休闲广场的建设方案由中山大学地景园林规划设计院负责设计预征地</w:t>
      </w:r>
      <w:r>
        <w:t>30亩用于组织引导群众开展喜闻乐见的文</w:t>
      </w:r>
      <w:r>
        <w:rPr>
          <w:rFonts w:hint="eastAsia"/>
        </w:rPr>
        <w:t>体活动，早日实现百顺居民的“广场梦”。</w:t>
      </w:r>
    </w:p>
    <w:p w14:paraId="5BCF38FB">
      <w:pPr>
        <w:pStyle w:val="4"/>
        <w:bidi w:val="0"/>
        <w:rPr>
          <w:rFonts w:hint="eastAsia"/>
        </w:rPr>
      </w:pPr>
      <w:r>
        <w:rPr>
          <w:rFonts w:hint="eastAsia"/>
        </w:rPr>
        <w:t>【人口计生】</w:t>
      </w:r>
    </w:p>
    <w:p w14:paraId="1DD3EAED">
      <w:pPr>
        <w:rPr>
          <w:rFonts w:hint="eastAsia"/>
          <w:lang w:eastAsia="zh-CN"/>
        </w:rPr>
      </w:pPr>
      <w:r>
        <w:t>2013年百顺镇党委政府稳步推进人</w:t>
      </w:r>
      <w:r>
        <w:rPr>
          <w:rFonts w:hint="eastAsia"/>
        </w:rPr>
        <w:t>口与计划生育工作，完善农村计划生育奖</w:t>
      </w:r>
      <w:r>
        <w:rPr>
          <w:rFonts w:hint="eastAsia"/>
          <w:lang w:val="en-US" w:eastAsia="zh-CN"/>
        </w:rPr>
        <w:t>励</w:t>
      </w:r>
      <w:r>
        <w:rPr>
          <w:rFonts w:hint="eastAsia"/>
        </w:rPr>
        <w:t>制度。进一步落实“三为主”，深化“三结合”。严格落实计生例会制度和层级动态管理。截止</w:t>
      </w:r>
      <w:r>
        <w:t>10月份，</w:t>
      </w:r>
      <w:r>
        <w:rPr>
          <w:rFonts w:hint="eastAsia"/>
        </w:rPr>
        <w:t>全镇出生婴儿</w:t>
      </w:r>
      <w:r>
        <w:t>126人，出生率为9.85</w:t>
      </w:r>
      <w:r>
        <w:rPr>
          <w:rFonts w:hint="eastAsia" w:ascii="宋体" w:hAnsi="宋体" w:cs="宋体"/>
        </w:rPr>
        <w:t>‰</w:t>
      </w:r>
      <w:r>
        <w:t>，人口出生</w:t>
      </w:r>
      <w:r>
        <w:rPr>
          <w:rFonts w:hint="eastAsia"/>
        </w:rPr>
        <w:t>性别比为</w:t>
      </w:r>
      <w:r>
        <w:t>125%。全镇落实四项手术187例，其中</w:t>
      </w:r>
      <w:r>
        <w:rPr>
          <w:rFonts w:hint="eastAsia"/>
        </w:rPr>
        <w:t>结扎</w:t>
      </w:r>
      <w:r>
        <w:t>72例，上环96例，采取补救措施19例，双</w:t>
      </w:r>
      <w:r>
        <w:rPr>
          <w:rFonts w:hint="eastAsia"/>
          <w:lang w:eastAsia="zh-CN"/>
        </w:rPr>
        <w:t>查</w:t>
      </w:r>
      <w:r>
        <w:rPr>
          <w:rFonts w:hint="eastAsia"/>
        </w:rPr>
        <w:t>率</w:t>
      </w:r>
      <w:r>
        <w:t>55.03%，顺利通过韶关市计生检</w:t>
      </w:r>
      <w:r>
        <w:rPr>
          <w:rFonts w:hint="eastAsia"/>
          <w:lang w:eastAsia="zh-CN"/>
        </w:rPr>
        <w:t>查</w:t>
      </w:r>
      <w:r>
        <w:t>考核，全面</w:t>
      </w:r>
      <w:r>
        <w:rPr>
          <w:rFonts w:hint="eastAsia"/>
        </w:rPr>
        <w:t>完成</w:t>
      </w:r>
      <w:r>
        <w:t>2013年度人口包</w:t>
      </w:r>
      <w:r>
        <w:rPr>
          <w:rFonts w:hint="eastAsia"/>
          <w:lang w:eastAsia="zh-CN"/>
        </w:rPr>
        <w:t>干</w:t>
      </w:r>
      <w:r>
        <w:t>计划和</w:t>
      </w:r>
      <w:r>
        <w:rPr>
          <w:rFonts w:hint="eastAsia" w:ascii="宋体" w:hAnsi="宋体" w:cs="宋体"/>
        </w:rPr>
        <w:t>“</w:t>
      </w:r>
      <w:r>
        <w:t>四术</w:t>
      </w:r>
      <w:r>
        <w:rPr>
          <w:rFonts w:hint="eastAsia" w:ascii="宋体" w:hAnsi="宋体" w:cs="宋体"/>
        </w:rPr>
        <w:t>”</w:t>
      </w:r>
      <w:r>
        <w:t>任务</w:t>
      </w:r>
      <w:r>
        <w:rPr>
          <w:rFonts w:hint="eastAsia"/>
          <w:lang w:eastAsia="zh-CN"/>
        </w:rPr>
        <w:t>。</w:t>
      </w:r>
    </w:p>
    <w:p w14:paraId="5FD11CCC">
      <w:pPr>
        <w:pStyle w:val="4"/>
        <w:bidi w:val="0"/>
        <w:rPr>
          <w:rFonts w:hint="eastAsia"/>
        </w:rPr>
      </w:pPr>
      <w:r>
        <w:rPr>
          <w:rFonts w:hint="eastAsia"/>
        </w:rPr>
        <w:t>【科教文卫】</w:t>
      </w:r>
    </w:p>
    <w:p w14:paraId="6EF0DDC4">
      <w:pPr>
        <w:rPr>
          <w:rFonts w:hint="eastAsia"/>
        </w:rPr>
      </w:pPr>
      <w:r>
        <w:rPr>
          <w:rFonts w:hint="eastAsia"/>
        </w:rPr>
        <w:t>①</w:t>
      </w:r>
      <w:r>
        <w:t>2013年举办农村公益电影进村下</w:t>
      </w:r>
      <w:r>
        <w:rPr>
          <w:rFonts w:hint="eastAsia"/>
        </w:rPr>
        <w:t>乡活动。全镇超额完成</w:t>
      </w:r>
      <w:r>
        <w:rPr>
          <w:rFonts w:hint="eastAsia"/>
          <w:lang w:eastAsia="zh-CN"/>
        </w:rPr>
        <w:t>市委市政府</w:t>
      </w:r>
      <w:r>
        <w:rPr>
          <w:rFonts w:hint="eastAsia"/>
        </w:rPr>
        <w:t>下达的播放任务数，同时镇文化站被成功评为省二级站，进一步增强文化站硬件水平，文化阵地得到进一步巩固；②自</w:t>
      </w:r>
      <w:r>
        <w:t>2012年成功创建广东省教育强镇，中小学办学</w:t>
      </w:r>
      <w:r>
        <w:rPr>
          <w:rFonts w:hint="eastAsia"/>
        </w:rPr>
        <w:t>条件得到较大改善，教育水平和质量实现较大幅度的提升；③乡镇医疗服务水平进一步提高，卫生资源配置进一步优化，实现农村医保全覆盖，为农民群众提供更加优质、便捷的医疗卫生服务，缓解</w:t>
      </w:r>
      <w:r>
        <w:rPr>
          <w:rFonts w:hint="eastAsia"/>
          <w:lang w:val="en-US" w:eastAsia="zh-CN"/>
        </w:rPr>
        <w:t>广</w:t>
      </w:r>
      <w:r>
        <w:rPr>
          <w:rFonts w:hint="eastAsia"/>
        </w:rPr>
        <w:t>大群众“看病难、看病贵”的问题。</w:t>
      </w:r>
    </w:p>
    <w:p w14:paraId="67E1DB35">
      <w:pPr>
        <w:pStyle w:val="4"/>
        <w:bidi w:val="0"/>
        <w:rPr>
          <w:rFonts w:hint="eastAsia"/>
        </w:rPr>
      </w:pPr>
      <w:r>
        <w:rPr>
          <w:rFonts w:hint="eastAsia"/>
        </w:rPr>
        <w:t>【扶贫双到】</w:t>
      </w:r>
    </w:p>
    <w:p w14:paraId="10186C3B">
      <w:pPr>
        <w:rPr>
          <w:rFonts w:hint="eastAsia"/>
          <w:lang w:eastAsia="zh-CN"/>
        </w:rPr>
      </w:pPr>
      <w:r>
        <w:t>2013年是广东省新一轮</w:t>
      </w:r>
      <w:r>
        <w:rPr>
          <w:rFonts w:hint="eastAsia" w:ascii="宋体" w:hAnsi="宋体" w:cs="宋体"/>
        </w:rPr>
        <w:t>“</w:t>
      </w:r>
      <w:r>
        <w:t>扶贫双</w:t>
      </w:r>
      <w:r>
        <w:rPr>
          <w:rFonts w:hint="eastAsia"/>
        </w:rPr>
        <w:t>到”的开局之年。百顺镇溪头村是省新一轮扶贫开发“双到”工作的重点帮扶村，由东莞市沙田镇挂点帮扶。全村辖村小组</w:t>
      </w:r>
      <w:r>
        <w:t>12个，全村总户数274户，</w:t>
      </w:r>
      <w:r>
        <w:rPr>
          <w:rFonts w:hint="eastAsia"/>
        </w:rPr>
        <w:t>总人口</w:t>
      </w:r>
      <w:r>
        <w:t>1097人，劳动力722人，贫困户30户89</w:t>
      </w:r>
      <w:r>
        <w:rPr>
          <w:rFonts w:hint="eastAsia"/>
        </w:rPr>
        <w:t>人，村民经济</w:t>
      </w:r>
      <w:r>
        <w:rPr>
          <w:rFonts w:hint="eastAsia"/>
          <w:lang w:eastAsia="zh-CN"/>
        </w:rPr>
        <w:t>收入</w:t>
      </w:r>
      <w:r>
        <w:rPr>
          <w:rFonts w:hint="eastAsia"/>
        </w:rPr>
        <w:t>主要以种植水稻、养殖生猪、家鸡为主。此次搬迁涉及官社村</w:t>
      </w:r>
      <w:r>
        <w:t>63户，共计253人，</w:t>
      </w:r>
      <w:r>
        <w:rPr>
          <w:rFonts w:hint="eastAsia"/>
        </w:rPr>
        <w:t>此次整村搬迁将极大改善社村小组村民的生产生活条件</w:t>
      </w:r>
      <w:r>
        <w:rPr>
          <w:rFonts w:hint="eastAsia"/>
          <w:lang w:eastAsia="zh-CN"/>
        </w:rPr>
        <w:t>。</w:t>
      </w:r>
    </w:p>
    <w:p w14:paraId="322D31C9">
      <w:pPr>
        <w:pStyle w:val="4"/>
        <w:bidi w:val="0"/>
        <w:rPr>
          <w:rFonts w:hint="eastAsia"/>
        </w:rPr>
      </w:pPr>
      <w:r>
        <w:rPr>
          <w:rFonts w:hint="eastAsia"/>
        </w:rPr>
        <w:t>【医保、社保】</w:t>
      </w:r>
    </w:p>
    <w:p w14:paraId="44943DA4">
      <w:r>
        <w:t>2013年全镇超额完成新农保保费</w:t>
      </w:r>
      <w:r>
        <w:rPr>
          <w:rFonts w:hint="eastAsia"/>
        </w:rPr>
        <w:t>征缴工作任务，收缴保费</w:t>
      </w:r>
      <w:r>
        <w:t>61.02万元，续费和新参</w:t>
      </w:r>
      <w:r>
        <w:rPr>
          <w:rFonts w:hint="eastAsia"/>
        </w:rPr>
        <w:t>保人员</w:t>
      </w:r>
      <w:r>
        <w:t>3600人，领取养老金人数达1721人，户参</w:t>
      </w:r>
      <w:r>
        <w:rPr>
          <w:rFonts w:hint="eastAsia"/>
        </w:rPr>
        <w:t>保率达</w:t>
      </w:r>
      <w:r>
        <w:t>98.2%。</w:t>
      </w:r>
    </w:p>
    <w:p w14:paraId="61596D01">
      <w:pPr>
        <w:pStyle w:val="4"/>
        <w:bidi w:val="0"/>
        <w:rPr>
          <w:rFonts w:hint="eastAsia"/>
        </w:rPr>
      </w:pPr>
      <w:r>
        <w:rPr>
          <w:rFonts w:hint="eastAsia"/>
        </w:rPr>
        <w:t>【党风</w:t>
      </w:r>
      <w:r>
        <w:rPr>
          <w:rFonts w:hint="eastAsia"/>
          <w:lang w:eastAsia="zh-CN"/>
        </w:rPr>
        <w:t>廉政</w:t>
      </w:r>
      <w:r>
        <w:rPr>
          <w:rFonts w:hint="eastAsia"/>
        </w:rPr>
        <w:t>建设】</w:t>
      </w:r>
    </w:p>
    <w:p w14:paraId="3BBA5D5D">
      <w:pPr>
        <w:rPr>
          <w:rFonts w:hint="eastAsia"/>
        </w:rPr>
      </w:pPr>
      <w:r>
        <w:t>2013年，进一步落实党风廉政</w:t>
      </w:r>
      <w:r>
        <w:rPr>
          <w:rFonts w:hint="eastAsia"/>
        </w:rPr>
        <w:t>建设责任制，全面加强党风廉政建设和反腐败斗争。组织学习习近平总书记倡导的</w:t>
      </w:r>
      <w:r>
        <w:t>8个方面良好风</w:t>
      </w:r>
      <w:r>
        <w:rPr>
          <w:rFonts w:hint="eastAsia"/>
        </w:rPr>
        <w:t>气，推进领导干部作风建设，按照“照镜子正衣冠洗洗澡</w:t>
      </w:r>
      <w:r>
        <w:rPr>
          <w:rFonts w:hint="eastAsia"/>
          <w:lang w:val="en-US" w:eastAsia="zh-CN"/>
        </w:rPr>
        <w:t>治治</w:t>
      </w:r>
      <w:r>
        <w:rPr>
          <w:rFonts w:hint="eastAsia"/>
        </w:rPr>
        <w:t>病”的新要求，认真贯彻落实中央八项规定，加大从源头上预防腐败力度，建立健全惩治和预防腐败体系，积极开展村组帐的审计工作及农村“三资”清理工作，建立健全了镇、村、组三级纪检监察信访网络建设，进一步推进基层党风廉政建设。</w:t>
      </w:r>
    </w:p>
    <w:p w14:paraId="75FF68E8">
      <w:pPr>
        <w:pStyle w:val="4"/>
        <w:bidi w:val="0"/>
        <w:rPr>
          <w:rFonts w:hint="eastAsia"/>
        </w:rPr>
      </w:pPr>
      <w:r>
        <w:rPr>
          <w:rFonts w:hint="eastAsia"/>
          <w:lang w:eastAsia="zh-CN"/>
        </w:rPr>
        <w:t>【</w:t>
      </w:r>
      <w:r>
        <w:rPr>
          <w:rFonts w:hint="eastAsia"/>
        </w:rPr>
        <w:t>村“两委”换届】</w:t>
      </w:r>
    </w:p>
    <w:p w14:paraId="6D18DD91">
      <w:r>
        <w:t>2013年12月，顺利完成村</w:t>
      </w:r>
      <w:r>
        <w:rPr>
          <w:rFonts w:hint="eastAsia"/>
        </w:rPr>
        <w:t>“两委”换届工作，支书、主任一肩挑比例达到</w:t>
      </w:r>
      <w:r>
        <w:t>100%，村委与支委交叉任职比例达到100%。新</w:t>
      </w:r>
      <w:r>
        <w:rPr>
          <w:rFonts w:hint="eastAsia"/>
          <w:lang w:val="en-US" w:eastAsia="zh-CN"/>
        </w:rPr>
        <w:t>一</w:t>
      </w:r>
      <w:r>
        <w:rPr>
          <w:rFonts w:hint="eastAsia"/>
        </w:rPr>
        <w:t>届村“两委”换届共选举产生村（居）委委员</w:t>
      </w:r>
      <w:r>
        <w:t>38</w:t>
      </w:r>
      <w:r>
        <w:rPr>
          <w:rFonts w:hint="eastAsia"/>
        </w:rPr>
        <w:t>人，其中村（居）委会支部书记（主任）</w:t>
      </w:r>
      <w:r>
        <w:t>9名，村</w:t>
      </w:r>
      <w:r>
        <w:rPr>
          <w:rFonts w:hint="eastAsia"/>
        </w:rPr>
        <w:t>（居）支委委员</w:t>
      </w:r>
      <w:r>
        <w:t>30人，其中女委员10人，</w:t>
      </w:r>
      <w:r>
        <w:rPr>
          <w:rFonts w:hint="eastAsia"/>
        </w:rPr>
        <w:t>占</w:t>
      </w:r>
      <w:r>
        <w:t>33.3%。</w:t>
      </w:r>
    </w:p>
    <w:p w14:paraId="44EAB8F8">
      <w:pPr>
        <w:pStyle w:val="4"/>
        <w:bidi w:val="0"/>
        <w:rPr>
          <w:rFonts w:hint="eastAsia"/>
        </w:rPr>
      </w:pPr>
      <w:r>
        <w:rPr>
          <w:rFonts w:hint="eastAsia"/>
        </w:rPr>
        <w:t>【各村（居）委会基本情况】</w:t>
      </w:r>
    </w:p>
    <w:p w14:paraId="6ADCCBC4">
      <w:pPr>
        <w:rPr>
          <w:rFonts w:hint="eastAsia"/>
          <w:lang w:eastAsia="zh-CN"/>
        </w:rPr>
      </w:pPr>
      <w:r>
        <w:rPr>
          <w:rFonts w:hint="eastAsia"/>
          <w:b/>
          <w:bCs/>
        </w:rPr>
        <w:t>百顺村</w:t>
      </w:r>
      <w:r>
        <w:rPr>
          <w:rFonts w:hint="eastAsia"/>
          <w:lang w:val="en-US" w:eastAsia="zh-CN"/>
        </w:rPr>
        <w:t xml:space="preserve">  </w:t>
      </w:r>
      <w:r>
        <w:rPr>
          <w:rFonts w:hint="eastAsia"/>
        </w:rPr>
        <w:t>百顺村位于百顺墟，有村小组</w:t>
      </w:r>
      <w:r>
        <w:t>27个，</w:t>
      </w:r>
      <w:r>
        <w:rPr>
          <w:rFonts w:hint="eastAsia"/>
        </w:rPr>
        <w:t>总人口</w:t>
      </w:r>
      <w:r>
        <w:t>3301人，村干部6人，党员121人。林地面</w:t>
      </w:r>
      <w:r>
        <w:rPr>
          <w:rFonts w:hint="eastAsia"/>
        </w:rPr>
        <w:t>积</w:t>
      </w:r>
      <w:r>
        <w:t>78213亩，其中生态公益林12814亩，商品林42586亩，主要经济作物：水稻、花生、竹木、黄</w:t>
      </w:r>
      <w:r>
        <w:rPr>
          <w:rFonts w:hint="eastAsia"/>
        </w:rPr>
        <w:t>豆等</w:t>
      </w:r>
      <w:r>
        <w:rPr>
          <w:rFonts w:hint="eastAsia"/>
          <w:lang w:eastAsia="zh-CN"/>
        </w:rPr>
        <w:t>。</w:t>
      </w:r>
    </w:p>
    <w:p w14:paraId="25044C03">
      <w:pPr>
        <w:rPr>
          <w:rFonts w:hint="eastAsia"/>
        </w:rPr>
      </w:pPr>
      <w:r>
        <w:rPr>
          <w:rFonts w:hint="eastAsia"/>
          <w:b/>
          <w:bCs/>
        </w:rPr>
        <w:t>大沙洲村</w:t>
      </w:r>
      <w:r>
        <w:rPr>
          <w:rFonts w:hint="eastAsia"/>
          <w:lang w:val="en-US" w:eastAsia="zh-CN"/>
        </w:rPr>
        <w:t xml:space="preserve">  </w:t>
      </w:r>
      <w:r>
        <w:rPr>
          <w:rFonts w:hint="eastAsia"/>
        </w:rPr>
        <w:t>大沙洲村位于省道</w:t>
      </w:r>
      <w:r>
        <w:t>342线公路边，</w:t>
      </w:r>
      <w:r>
        <w:rPr>
          <w:rFonts w:hint="eastAsia"/>
        </w:rPr>
        <w:t>全村共有</w:t>
      </w:r>
      <w:r>
        <w:t>10个村小组352户1384人。村干部5人，</w:t>
      </w:r>
      <w:r>
        <w:rPr>
          <w:rFonts w:hint="eastAsia"/>
        </w:rPr>
        <w:t>党员</w:t>
      </w:r>
      <w:r>
        <w:t>36人，村年集体收入9.6万元。耕地面积2492亩，林地面积30518亩。竹木资源丰富，地域</w:t>
      </w:r>
      <w:r>
        <w:rPr>
          <w:rFonts w:hint="eastAsia"/>
          <w:lang w:val="en-US" w:eastAsia="zh-CN"/>
        </w:rPr>
        <w:t>广</w:t>
      </w:r>
      <w:r>
        <w:rPr>
          <w:rFonts w:hint="eastAsia"/>
        </w:rPr>
        <w:t>阔，电力资源充足。主要产业水稻、花生、竹林、水电等。</w:t>
      </w:r>
    </w:p>
    <w:p w14:paraId="66644B49">
      <w:pPr>
        <w:rPr>
          <w:rFonts w:hint="eastAsia" w:eastAsia="宋体"/>
          <w:lang w:eastAsia="zh-CN"/>
        </w:rPr>
      </w:pPr>
      <w:r>
        <w:rPr>
          <w:rFonts w:hint="eastAsia"/>
          <w:b/>
          <w:bCs/>
        </w:rPr>
        <w:t>邓洞村</w:t>
      </w:r>
      <w:r>
        <w:rPr>
          <w:rFonts w:hint="eastAsia"/>
          <w:b/>
          <w:bCs/>
          <w:lang w:val="en-US" w:eastAsia="zh-CN"/>
        </w:rPr>
        <w:t xml:space="preserve"> </w:t>
      </w:r>
      <w:r>
        <w:rPr>
          <w:rFonts w:hint="eastAsia"/>
          <w:lang w:val="en-US" w:eastAsia="zh-CN"/>
        </w:rPr>
        <w:t xml:space="preserve"> </w:t>
      </w:r>
      <w:r>
        <w:rPr>
          <w:rFonts w:hint="eastAsia"/>
        </w:rPr>
        <w:t>邓洞村委会位于百顺的西面，离镇政府</w:t>
      </w:r>
      <w:r>
        <w:t>17公里。全村共有5个自然村7个村小组，207</w:t>
      </w:r>
      <w:r>
        <w:rPr>
          <w:rFonts w:hint="eastAsia"/>
        </w:rPr>
        <w:t>户</w:t>
      </w:r>
      <w:r>
        <w:t>775人，村干部4人，党员32人，村年集体收入9240元。耕地面积2474亩，林地面积31462亩。</w:t>
      </w:r>
      <w:r>
        <w:rPr>
          <w:rFonts w:hint="eastAsia"/>
        </w:rPr>
        <w:t>主要经济作物：水稻、花生、竹木、黄豆等</w:t>
      </w:r>
      <w:r>
        <w:rPr>
          <w:rFonts w:hint="eastAsia"/>
          <w:lang w:eastAsia="zh-CN"/>
        </w:rPr>
        <w:t>。</w:t>
      </w:r>
    </w:p>
    <w:p w14:paraId="5CFFA7A8">
      <w:pPr>
        <w:rPr>
          <w:rFonts w:hint="eastAsia"/>
        </w:rPr>
      </w:pPr>
      <w:r>
        <w:rPr>
          <w:rFonts w:hint="eastAsia"/>
          <w:b/>
          <w:bCs/>
        </w:rPr>
        <w:t>东坑村</w:t>
      </w:r>
      <w:r>
        <w:rPr>
          <w:rFonts w:hint="eastAsia"/>
          <w:b/>
          <w:bCs/>
          <w:lang w:val="en-US" w:eastAsia="zh-CN"/>
        </w:rPr>
        <w:t xml:space="preserve"> </w:t>
      </w:r>
      <w:r>
        <w:rPr>
          <w:rFonts w:hint="eastAsia"/>
          <w:lang w:val="en-US" w:eastAsia="zh-CN"/>
        </w:rPr>
        <w:t xml:space="preserve"> </w:t>
      </w:r>
      <w:r>
        <w:rPr>
          <w:rFonts w:hint="eastAsia"/>
        </w:rPr>
        <w:t>东坑村共有</w:t>
      </w:r>
      <w:r>
        <w:t>10个自然村小组，农户274户1057人，村委干部5人。耕地面积1719亩，</w:t>
      </w:r>
      <w:r>
        <w:rPr>
          <w:rFonts w:hint="eastAsia"/>
        </w:rPr>
        <w:t>其中水田</w:t>
      </w:r>
      <w:r>
        <w:t>1011亩，山林总面积自营山16526亩，自</w:t>
      </w:r>
      <w:r>
        <w:rPr>
          <w:rFonts w:hint="eastAsia"/>
        </w:rPr>
        <w:t>留山</w:t>
      </w:r>
      <w:r>
        <w:t>1565亩，生态林4377亩。主要产业有水稻</w:t>
      </w:r>
      <w:r>
        <w:rPr>
          <w:rFonts w:hint="eastAsia"/>
          <w:lang w:eastAsia="zh-CN"/>
        </w:rPr>
        <w:t>、</w:t>
      </w:r>
      <w:r>
        <w:rPr>
          <w:rFonts w:hint="eastAsia"/>
        </w:rPr>
        <w:t>花生、竹林、黄烟等。</w:t>
      </w:r>
    </w:p>
    <w:p w14:paraId="156B42EF">
      <w:pPr>
        <w:rPr>
          <w:rFonts w:hint="eastAsia"/>
        </w:rPr>
      </w:pPr>
      <w:r>
        <w:rPr>
          <w:rFonts w:hint="eastAsia"/>
          <w:b/>
          <w:bCs/>
        </w:rPr>
        <w:t>湖地村</w:t>
      </w:r>
      <w:r>
        <w:rPr>
          <w:rFonts w:hint="eastAsia"/>
          <w:lang w:val="en-US" w:eastAsia="zh-CN"/>
        </w:rPr>
        <w:t xml:space="preserve">  </w:t>
      </w:r>
      <w:r>
        <w:rPr>
          <w:rFonts w:hint="eastAsia"/>
        </w:rPr>
        <w:t>湖地村位于百顺镇南部，辖</w:t>
      </w:r>
      <w:r>
        <w:t>11个村</w:t>
      </w:r>
      <w:r>
        <w:rPr>
          <w:rFonts w:hint="eastAsia"/>
        </w:rPr>
        <w:t>民小组，全村</w:t>
      </w:r>
      <w:r>
        <w:t>359户1295人。现有村干部4人，党</w:t>
      </w:r>
      <w:r>
        <w:rPr>
          <w:rFonts w:hint="eastAsia"/>
        </w:rPr>
        <w:t>员</w:t>
      </w:r>
      <w:r>
        <w:t>42人。村集体收入10000元，年人均入8234元。</w:t>
      </w:r>
      <w:r>
        <w:rPr>
          <w:rFonts w:hint="eastAsia"/>
        </w:rPr>
        <w:t>主要产业：水稻、花生、竹木、黄豆等。</w:t>
      </w:r>
    </w:p>
    <w:p w14:paraId="48FF0A1A">
      <w:pPr>
        <w:rPr>
          <w:rFonts w:hint="eastAsia"/>
        </w:rPr>
      </w:pPr>
      <w:r>
        <w:rPr>
          <w:rFonts w:hint="eastAsia"/>
          <w:b/>
          <w:bCs/>
        </w:rPr>
        <w:t>尚睦村</w:t>
      </w:r>
      <w:r>
        <w:rPr>
          <w:rFonts w:hint="eastAsia"/>
          <w:lang w:val="en-US" w:eastAsia="zh-CN"/>
        </w:rPr>
        <w:t xml:space="preserve">  </w:t>
      </w:r>
      <w:r>
        <w:rPr>
          <w:rFonts w:hint="eastAsia"/>
        </w:rPr>
        <w:t>尚睦村位于省道</w:t>
      </w:r>
      <w:r>
        <w:t>342线公路边，全村</w:t>
      </w:r>
      <w:r>
        <w:rPr>
          <w:rFonts w:hint="eastAsia"/>
        </w:rPr>
        <w:t>共有</w:t>
      </w:r>
      <w:r>
        <w:t>7个村小组227户876人。村干部4人，党员32人。耕地面积1896亩，毛竹林7000亩；村委会</w:t>
      </w:r>
      <w:r>
        <w:rPr>
          <w:rFonts w:hint="eastAsia"/>
        </w:rPr>
        <w:t>建有小水电一座，装机容量</w:t>
      </w:r>
      <w:r>
        <w:t>300瓦时，各项经济收</w:t>
      </w:r>
      <w:r>
        <w:rPr>
          <w:rFonts w:hint="eastAsia"/>
        </w:rPr>
        <w:t>入</w:t>
      </w:r>
      <w:r>
        <w:t>30000多元。主要产业是水稻、花生、竹林、</w:t>
      </w:r>
      <w:r>
        <w:rPr>
          <w:rFonts w:hint="eastAsia"/>
        </w:rPr>
        <w:t>等。每年有固定收入的村小组有</w:t>
      </w:r>
      <w:r>
        <w:t>5个，达到了公</w:t>
      </w:r>
      <w:r>
        <w:rPr>
          <w:rFonts w:hint="eastAsia"/>
        </w:rPr>
        <w:t>路、照明、用电、电话、自来水村村通。</w:t>
      </w:r>
    </w:p>
    <w:p w14:paraId="5DF2F705">
      <w:pPr>
        <w:rPr>
          <w:rFonts w:hint="eastAsia"/>
        </w:rPr>
      </w:pPr>
      <w:r>
        <w:rPr>
          <w:rFonts w:hint="eastAsia"/>
          <w:b/>
          <w:bCs/>
        </w:rPr>
        <w:t>溪头村</w:t>
      </w:r>
      <w:r>
        <w:rPr>
          <w:rFonts w:hint="eastAsia"/>
          <w:b/>
          <w:bCs/>
          <w:lang w:val="en-US" w:eastAsia="zh-CN"/>
        </w:rPr>
        <w:t xml:space="preserve"> </w:t>
      </w:r>
      <w:r>
        <w:rPr>
          <w:rFonts w:hint="eastAsia"/>
          <w:lang w:val="en-US" w:eastAsia="zh-CN"/>
        </w:rPr>
        <w:t xml:space="preserve"> </w:t>
      </w:r>
      <w:r>
        <w:rPr>
          <w:rFonts w:hint="eastAsia"/>
        </w:rPr>
        <w:t>溪头村共有</w:t>
      </w:r>
      <w:r>
        <w:t>12个自然村，315户1222</w:t>
      </w:r>
      <w:r>
        <w:rPr>
          <w:rFonts w:hint="eastAsia"/>
        </w:rPr>
        <w:t>人。村干部</w:t>
      </w:r>
      <w:r>
        <w:t>5人，党员35人。耕地面积1638亩</w:t>
      </w:r>
      <w:r>
        <w:rPr>
          <w:rFonts w:hint="eastAsia"/>
          <w:lang w:eastAsia="zh-CN"/>
        </w:rPr>
        <w:t>，</w:t>
      </w:r>
      <w:r>
        <w:rPr>
          <w:rFonts w:hint="eastAsia"/>
        </w:rPr>
        <w:t>其中水田</w:t>
      </w:r>
      <w:r>
        <w:t>1066亩，旱田366亩。山林面积39204</w:t>
      </w:r>
      <w:r>
        <w:rPr>
          <w:rFonts w:hint="eastAsia"/>
        </w:rPr>
        <w:t>亩，责任山</w:t>
      </w:r>
      <w:r>
        <w:t>23490亩，生态公益林14110亩。主要</w:t>
      </w:r>
      <w:r>
        <w:rPr>
          <w:rFonts w:hint="eastAsia"/>
        </w:rPr>
        <w:t>产业是水稻、花生、竹林、黄豆等。</w:t>
      </w:r>
    </w:p>
    <w:p w14:paraId="5097B310">
      <w:pPr>
        <w:rPr>
          <w:rFonts w:hint="eastAsia"/>
          <w:lang w:eastAsia="zh-CN"/>
        </w:rPr>
      </w:pPr>
      <w:r>
        <w:rPr>
          <w:rFonts w:hint="eastAsia"/>
          <w:b/>
          <w:bCs/>
        </w:rPr>
        <w:t>杨梅村</w:t>
      </w:r>
      <w:r>
        <w:rPr>
          <w:rFonts w:hint="eastAsia"/>
          <w:b/>
          <w:bCs/>
          <w:lang w:val="en-US" w:eastAsia="zh-CN"/>
        </w:rPr>
        <w:t xml:space="preserve"> </w:t>
      </w:r>
      <w:r>
        <w:rPr>
          <w:rFonts w:hint="eastAsia"/>
          <w:lang w:val="en-US" w:eastAsia="zh-CN"/>
        </w:rPr>
        <w:t xml:space="preserve"> </w:t>
      </w:r>
      <w:r>
        <w:rPr>
          <w:rFonts w:hint="eastAsia"/>
        </w:rPr>
        <w:t>杨梅村位于百顺镇西北部，共有</w:t>
      </w:r>
      <w:r>
        <w:t>12</w:t>
      </w:r>
      <w:r>
        <w:rPr>
          <w:rFonts w:hint="eastAsia"/>
        </w:rPr>
        <w:t>个小组，</w:t>
      </w:r>
      <w:r>
        <w:t>339户1227人，村干部5人。耕地面积2474亩，林地面积31462亩。主要经济作物：水</w:t>
      </w:r>
      <w:r>
        <w:rPr>
          <w:rFonts w:hint="eastAsia"/>
        </w:rPr>
        <w:t>稻、花生、竹木、黄豆等</w:t>
      </w:r>
      <w:r>
        <w:rPr>
          <w:rFonts w:hint="eastAsia"/>
          <w:lang w:eastAsia="zh-CN"/>
        </w:rPr>
        <w:t>。</w:t>
      </w:r>
    </w:p>
    <w:p w14:paraId="05C0AEDB">
      <w:pPr>
        <w:rPr>
          <w:rFonts w:hint="eastAsia"/>
        </w:rPr>
      </w:pPr>
      <w:r>
        <w:rPr>
          <w:rFonts w:hint="eastAsia"/>
          <w:b/>
          <w:bCs/>
        </w:rPr>
        <w:t>朱安村</w:t>
      </w:r>
      <w:r>
        <w:rPr>
          <w:rFonts w:hint="eastAsia"/>
          <w:b/>
          <w:bCs/>
          <w:lang w:val="en-US" w:eastAsia="zh-CN"/>
        </w:rPr>
        <w:t xml:space="preserve"> </w:t>
      </w:r>
      <w:r>
        <w:rPr>
          <w:rFonts w:hint="eastAsia"/>
          <w:lang w:val="en-US" w:eastAsia="zh-CN"/>
        </w:rPr>
        <w:t xml:space="preserve"> </w:t>
      </w:r>
      <w:r>
        <w:rPr>
          <w:rFonts w:hint="eastAsia"/>
        </w:rPr>
        <w:t>朱安村委会是一个边远山区村，距百顺墟镇有</w:t>
      </w:r>
      <w:r>
        <w:t>18公里，乡村公路在1999年开通，并在2009年水泥硬化峻工，路宽3.5米。全村有282</w:t>
      </w:r>
      <w:r>
        <w:rPr>
          <w:rFonts w:hint="eastAsia"/>
        </w:rPr>
        <w:t>户、</w:t>
      </w:r>
      <w:r>
        <w:t>1022人，9个自然村，12个村小组。村“两</w:t>
      </w:r>
      <w:r>
        <w:rPr>
          <w:rFonts w:hint="eastAsia"/>
        </w:rPr>
        <w:t>委”干部</w:t>
      </w:r>
      <w:r>
        <w:t>4人。耕地2315亩，山林4.7万亩，其</w:t>
      </w:r>
      <w:r>
        <w:rPr>
          <w:rFonts w:hint="eastAsia"/>
        </w:rPr>
        <w:t>中生态公益林</w:t>
      </w:r>
      <w:r>
        <w:t>0.5万亩。主要经济作物：水稻、花</w:t>
      </w:r>
      <w:r>
        <w:rPr>
          <w:rFonts w:hint="eastAsia"/>
        </w:rPr>
        <w:t>生、竹林、黄豆等。</w:t>
      </w:r>
    </w:p>
    <w:p w14:paraId="3C41421B">
      <w:pPr>
        <w:rPr>
          <w:rFonts w:hint="eastAsia"/>
        </w:rPr>
      </w:pPr>
      <w:r>
        <w:rPr>
          <w:rFonts w:hint="eastAsia"/>
          <w:b/>
          <w:bCs/>
        </w:rPr>
        <w:t>百顺居委会</w:t>
      </w:r>
      <w:r>
        <w:rPr>
          <w:rFonts w:hint="eastAsia"/>
          <w:b/>
          <w:bCs/>
          <w:lang w:val="en-US" w:eastAsia="zh-CN"/>
        </w:rPr>
        <w:t xml:space="preserve"> </w:t>
      </w:r>
      <w:r>
        <w:rPr>
          <w:rFonts w:hint="eastAsia"/>
          <w:lang w:val="en-US" w:eastAsia="zh-CN"/>
        </w:rPr>
        <w:t xml:space="preserve"> </w:t>
      </w:r>
      <w:r>
        <w:rPr>
          <w:rFonts w:hint="eastAsia"/>
        </w:rPr>
        <w:t>百顺居委会位于百顺墟，总人口</w:t>
      </w:r>
      <w:r>
        <w:t>745人，村干部3人。居委会环境舒适，居民安居</w:t>
      </w:r>
      <w:r>
        <w:rPr>
          <w:rFonts w:hint="eastAsia"/>
        </w:rPr>
        <w:t>乐业。</w:t>
      </w:r>
    </w:p>
    <w:p w14:paraId="5F7870CD">
      <w:pPr>
        <w:jc w:val="right"/>
        <w:rPr>
          <w:rFonts w:hint="eastAsia"/>
          <w:b/>
          <w:bCs/>
        </w:rPr>
      </w:pPr>
      <w:r>
        <w:rPr>
          <w:rFonts w:hint="eastAsia"/>
          <w:b/>
          <w:bCs/>
        </w:rPr>
        <w:t>（曾</w:t>
      </w:r>
      <w:r>
        <w:rPr>
          <w:rFonts w:hint="eastAsia"/>
          <w:b/>
          <w:bCs/>
          <w:lang w:val="en-US" w:eastAsia="zh-CN"/>
        </w:rPr>
        <w:t xml:space="preserve">  </w:t>
      </w:r>
      <w:r>
        <w:rPr>
          <w:rFonts w:hint="eastAsia"/>
          <w:b/>
          <w:bCs/>
        </w:rPr>
        <w:t>超）</w:t>
      </w:r>
    </w:p>
    <w:p w14:paraId="6222EF31">
      <w:pPr>
        <w:pStyle w:val="10"/>
        <w:bidi w:val="0"/>
        <w:rPr>
          <w:b/>
          <w:bCs/>
        </w:rPr>
      </w:pPr>
      <w:r>
        <w:rPr>
          <w:rFonts w:hint="eastAsia"/>
          <w:b/>
          <w:bCs/>
        </w:rPr>
        <w:t>附：</w:t>
      </w:r>
      <w:r>
        <w:rPr>
          <w:b/>
          <w:bCs/>
        </w:rPr>
        <w:t>2013年百顺镇领导班子成员名单</w:t>
      </w:r>
    </w:p>
    <w:p w14:paraId="5D7A8BDF">
      <w:pPr>
        <w:pStyle w:val="10"/>
        <w:bidi w:val="0"/>
        <w:rPr>
          <w:rFonts w:hint="eastAsia"/>
        </w:rPr>
      </w:pPr>
      <w:r>
        <w:rPr>
          <w:rFonts w:hint="eastAsia"/>
          <w:b/>
          <w:bCs/>
        </w:rPr>
        <w:t>党委书记、人大主席：</w:t>
      </w:r>
      <w:r>
        <w:rPr>
          <w:rFonts w:hint="eastAsia"/>
        </w:rPr>
        <w:t>叶</w:t>
      </w:r>
      <w:r>
        <w:rPr>
          <w:rFonts w:hint="eastAsia"/>
          <w:lang w:val="en-US" w:eastAsia="zh-CN"/>
        </w:rPr>
        <w:t xml:space="preserve">  </w:t>
      </w:r>
      <w:r>
        <w:rPr>
          <w:rFonts w:hint="eastAsia"/>
        </w:rPr>
        <w:t>忠</w:t>
      </w:r>
    </w:p>
    <w:p w14:paraId="367456E6">
      <w:pPr>
        <w:pStyle w:val="10"/>
        <w:bidi w:val="0"/>
        <w:rPr>
          <w:rFonts w:hint="eastAsia"/>
        </w:rPr>
      </w:pPr>
      <w:r>
        <w:rPr>
          <w:rFonts w:hint="eastAsia"/>
          <w:b/>
          <w:bCs/>
        </w:rPr>
        <w:t>党委副书记、镇长：</w:t>
      </w:r>
      <w:r>
        <w:rPr>
          <w:rFonts w:hint="eastAsia"/>
        </w:rPr>
        <w:t>谭福志</w:t>
      </w:r>
    </w:p>
    <w:p w14:paraId="14731E55">
      <w:pPr>
        <w:pStyle w:val="10"/>
        <w:bidi w:val="0"/>
        <w:rPr>
          <w:rFonts w:hint="eastAsia"/>
        </w:rPr>
      </w:pPr>
      <w:r>
        <w:rPr>
          <w:rFonts w:hint="eastAsia"/>
          <w:b/>
          <w:bCs/>
        </w:rPr>
        <w:t>党委副书记：</w:t>
      </w:r>
      <w:r>
        <w:rPr>
          <w:rFonts w:hint="eastAsia"/>
        </w:rPr>
        <w:t>林</w:t>
      </w:r>
      <w:r>
        <w:rPr>
          <w:rFonts w:hint="eastAsia"/>
          <w:lang w:val="en-US" w:eastAsia="zh-CN"/>
        </w:rPr>
        <w:t xml:space="preserve">  </w:t>
      </w:r>
      <w:r>
        <w:rPr>
          <w:rFonts w:hint="eastAsia"/>
        </w:rPr>
        <w:t>斌</w:t>
      </w:r>
    </w:p>
    <w:p w14:paraId="33C59633">
      <w:pPr>
        <w:pStyle w:val="10"/>
        <w:bidi w:val="0"/>
        <w:rPr>
          <w:rFonts w:hint="eastAsia"/>
        </w:rPr>
      </w:pPr>
      <w:r>
        <w:rPr>
          <w:rFonts w:hint="eastAsia"/>
          <w:b/>
          <w:bCs/>
        </w:rPr>
        <w:t>纪委书记：</w:t>
      </w:r>
      <w:r>
        <w:rPr>
          <w:rFonts w:hint="eastAsia"/>
        </w:rPr>
        <w:t>饶槐英</w:t>
      </w:r>
    </w:p>
    <w:p w14:paraId="7959B795">
      <w:pPr>
        <w:pStyle w:val="10"/>
        <w:bidi w:val="0"/>
        <w:rPr>
          <w:rFonts w:hint="eastAsia"/>
        </w:rPr>
      </w:pPr>
      <w:r>
        <w:rPr>
          <w:rFonts w:hint="eastAsia"/>
          <w:b/>
          <w:bCs/>
        </w:rPr>
        <w:t>组织委员：</w:t>
      </w:r>
      <w:r>
        <w:rPr>
          <w:rFonts w:hint="eastAsia"/>
        </w:rPr>
        <w:t>黄树材</w:t>
      </w:r>
    </w:p>
    <w:p w14:paraId="2F9BB466">
      <w:pPr>
        <w:pStyle w:val="10"/>
        <w:bidi w:val="0"/>
        <w:rPr>
          <w:rFonts w:hint="eastAsia"/>
        </w:rPr>
      </w:pPr>
      <w:r>
        <w:rPr>
          <w:rFonts w:hint="eastAsia"/>
          <w:b/>
          <w:bCs/>
        </w:rPr>
        <w:t>宣传委员：</w:t>
      </w:r>
      <w:r>
        <w:rPr>
          <w:rFonts w:hint="eastAsia"/>
        </w:rPr>
        <w:t>刘运洲</w:t>
      </w:r>
    </w:p>
    <w:p w14:paraId="66483623">
      <w:pPr>
        <w:pStyle w:val="10"/>
        <w:bidi w:val="0"/>
        <w:rPr>
          <w:rFonts w:hint="eastAsia"/>
        </w:rPr>
      </w:pPr>
      <w:r>
        <w:rPr>
          <w:rFonts w:hint="eastAsia"/>
          <w:b/>
          <w:bCs/>
        </w:rPr>
        <w:t>武装部长：</w:t>
      </w:r>
      <w:r>
        <w:rPr>
          <w:rFonts w:hint="eastAsia"/>
        </w:rPr>
        <w:t>张</w:t>
      </w:r>
      <w:r>
        <w:rPr>
          <w:rFonts w:hint="eastAsia"/>
          <w:lang w:val="en-US" w:eastAsia="zh-CN"/>
        </w:rPr>
        <w:t xml:space="preserve">  </w:t>
      </w:r>
      <w:r>
        <w:rPr>
          <w:rFonts w:hint="eastAsia"/>
        </w:rPr>
        <w:t>春</w:t>
      </w:r>
    </w:p>
    <w:p w14:paraId="1594EDA7">
      <w:pPr>
        <w:pStyle w:val="10"/>
        <w:bidi w:val="0"/>
        <w:rPr>
          <w:rFonts w:hint="eastAsia"/>
        </w:rPr>
      </w:pPr>
      <w:r>
        <w:rPr>
          <w:rFonts w:hint="eastAsia"/>
          <w:b/>
          <w:bCs/>
        </w:rPr>
        <w:t>人大副主席：</w:t>
      </w:r>
      <w:r>
        <w:rPr>
          <w:rFonts w:hint="eastAsia"/>
        </w:rPr>
        <w:t>朱定福</w:t>
      </w:r>
    </w:p>
    <w:p w14:paraId="4EC6E7DD">
      <w:pPr>
        <w:pStyle w:val="10"/>
        <w:bidi w:val="0"/>
        <w:rPr>
          <w:rFonts w:hint="eastAsia"/>
        </w:rPr>
      </w:pPr>
      <w:r>
        <w:rPr>
          <w:rFonts w:hint="eastAsia"/>
          <w:b/>
          <w:bCs/>
        </w:rPr>
        <w:t>综治办专职副主任：</w:t>
      </w:r>
      <w:r>
        <w:rPr>
          <w:rFonts w:hint="eastAsia"/>
        </w:rPr>
        <w:t>黄志东</w:t>
      </w:r>
    </w:p>
    <w:p w14:paraId="13746CA7">
      <w:pPr>
        <w:pStyle w:val="10"/>
        <w:bidi w:val="0"/>
        <w:rPr>
          <w:rFonts w:hint="eastAsia"/>
        </w:rPr>
      </w:pPr>
      <w:r>
        <w:rPr>
          <w:rFonts w:hint="eastAsia"/>
          <w:b/>
          <w:bCs/>
        </w:rPr>
        <w:t>副镇长：</w:t>
      </w:r>
      <w:r>
        <w:rPr>
          <w:rFonts w:hint="eastAsia"/>
        </w:rPr>
        <w:t>吴在海</w:t>
      </w:r>
      <w:r>
        <w:rPr>
          <w:rFonts w:hint="eastAsia"/>
          <w:lang w:val="en-US" w:eastAsia="zh-CN"/>
        </w:rPr>
        <w:t xml:space="preserve">   </w:t>
      </w:r>
      <w:r>
        <w:rPr>
          <w:rFonts w:hint="eastAsia"/>
        </w:rPr>
        <w:t>吴细阳</w:t>
      </w:r>
      <w:r>
        <w:rPr>
          <w:rFonts w:hint="eastAsia"/>
          <w:lang w:val="en-US" w:eastAsia="zh-CN"/>
        </w:rPr>
        <w:t xml:space="preserve">   </w:t>
      </w:r>
      <w:r>
        <w:rPr>
          <w:rFonts w:hint="eastAsia"/>
        </w:rPr>
        <w:t>叶玉鹏</w:t>
      </w:r>
    </w:p>
    <w:p w14:paraId="7CD67E24">
      <w:pPr>
        <w:pStyle w:val="3"/>
        <w:bidi w:val="0"/>
        <w:rPr>
          <w:rFonts w:hint="eastAsia"/>
        </w:rPr>
      </w:pPr>
      <w:r>
        <w:rPr>
          <w:rFonts w:hint="eastAsia"/>
        </w:rPr>
        <w:t>江头镇</w:t>
      </w:r>
    </w:p>
    <w:p w14:paraId="2A15B002">
      <w:pPr>
        <w:pStyle w:val="4"/>
        <w:bidi w:val="0"/>
        <w:rPr>
          <w:rFonts w:hint="eastAsia"/>
        </w:rPr>
      </w:pPr>
      <w:r>
        <w:rPr>
          <w:rFonts w:hint="eastAsia"/>
        </w:rPr>
        <w:t>【概况】</w:t>
      </w:r>
    </w:p>
    <w:p w14:paraId="4AEA79AC">
      <w:r>
        <w:rPr>
          <w:rFonts w:hint="eastAsia"/>
        </w:rPr>
        <w:t>江头镇位于南雄市区东南面，距市区</w:t>
      </w:r>
      <w:r>
        <w:t>13</w:t>
      </w:r>
      <w:r>
        <w:rPr>
          <w:rFonts w:hint="eastAsia"/>
        </w:rPr>
        <w:t>公里，毗邻江西省全南县陂头镇以及本市的水口镇、主田镇和雄州街道。其东南面是高山峻岭，西北面是丘陵地带，是南雄的山区镇之一。镇辖</w:t>
      </w:r>
      <w:r>
        <w:t>9个</w:t>
      </w:r>
      <w:r>
        <w:rPr>
          <w:rFonts w:hint="eastAsia"/>
        </w:rPr>
        <w:t>村委会，</w:t>
      </w:r>
      <w:r>
        <w:t>1个社区居委会，97个村民小组，总户数2965户，人口12270人。区域面积164平方公里。</w:t>
      </w:r>
      <w:r>
        <w:rPr>
          <w:rFonts w:hint="eastAsia"/>
        </w:rPr>
        <w:t>山林面积</w:t>
      </w:r>
      <w:r>
        <w:t>11481公顷，其中生态公益林4667公顷。</w:t>
      </w:r>
      <w:r>
        <w:rPr>
          <w:rFonts w:hint="eastAsia"/>
        </w:rPr>
        <w:t>耕地面积</w:t>
      </w:r>
      <w:r>
        <w:t>955.6公顷，其中水田818.4公顷，旱地137.2公顷。主要资源有：竹木资源、矿产资源</w:t>
      </w:r>
      <w:r>
        <w:rPr>
          <w:rFonts w:hint="eastAsia"/>
          <w:lang w:eastAsia="zh-CN"/>
        </w:rPr>
        <w:t>、</w:t>
      </w:r>
      <w:r>
        <w:rPr>
          <w:rFonts w:hint="eastAsia"/>
        </w:rPr>
        <w:t>水利资源、旅游资源。年产毛竹</w:t>
      </w:r>
      <w:r>
        <w:t>200多万条，年产</w:t>
      </w:r>
      <w:r>
        <w:rPr>
          <w:rFonts w:hint="eastAsia"/>
        </w:rPr>
        <w:t>冬笋</w:t>
      </w:r>
      <w:r>
        <w:t>2000多吨。活立木蓄积量50多万立方米，矿</w:t>
      </w:r>
      <w:r>
        <w:rPr>
          <w:rFonts w:hint="eastAsia"/>
        </w:rPr>
        <w:t>产主要有莹矿、钼矿、钨矿、稀土矿等。旅游资源主要有青嶂山省级自然保护区。保护区内有坐落在海拔</w:t>
      </w:r>
      <w:r>
        <w:t>917米高的“神秘天池”；有宋代的云峰寺遗</w:t>
      </w:r>
      <w:r>
        <w:rPr>
          <w:rFonts w:hint="eastAsia"/>
        </w:rPr>
        <w:t>址，有丹霞地貌的天然岩洞，有珍稀的高氡温泉；万亩“竹海”等旅游景点。区内还有许多珍稀的动植物。镇内有上千亩的金银花基地和</w:t>
      </w:r>
      <w:r>
        <w:t>200多亩的花</w:t>
      </w:r>
      <w:r>
        <w:rPr>
          <w:rFonts w:hint="eastAsia"/>
        </w:rPr>
        <w:t>卉基地可供游客观赏且金银花也具有较高的药用价值。全镇有小型水电站</w:t>
      </w:r>
      <w:r>
        <w:t>21座。装机容量达8000千</w:t>
      </w:r>
      <w:r>
        <w:rPr>
          <w:rFonts w:hint="eastAsia"/>
        </w:rPr>
        <w:t>瓦，年发电</w:t>
      </w:r>
      <w:r>
        <w:t>2500多万度。</w:t>
      </w:r>
    </w:p>
    <w:p w14:paraId="6B1C0911">
      <w:pPr>
        <w:pStyle w:val="4"/>
        <w:bidi w:val="0"/>
        <w:rPr>
          <w:rFonts w:hint="eastAsia"/>
        </w:rPr>
      </w:pPr>
      <w:r>
        <w:rPr>
          <w:rFonts w:hint="eastAsia"/>
        </w:rPr>
        <w:t>【经济社会发展】</w:t>
      </w:r>
    </w:p>
    <w:p w14:paraId="2B8F7AA0">
      <w:r>
        <w:t>2013年，全镇农村经济总收入1.42亿元，增长11%。镇财政收入330万元。农村</w:t>
      </w:r>
      <w:r>
        <w:rPr>
          <w:rFonts w:hint="eastAsia"/>
        </w:rPr>
        <w:t>人均年纯</w:t>
      </w:r>
      <w:r>
        <w:rPr>
          <w:rFonts w:hint="eastAsia"/>
          <w:lang w:eastAsia="zh-CN"/>
        </w:rPr>
        <w:t>收入</w:t>
      </w:r>
      <w:r>
        <w:t>7255元，比上年增长10.38%。全年</w:t>
      </w:r>
      <w:r>
        <w:rPr>
          <w:rFonts w:hint="eastAsia"/>
        </w:rPr>
        <w:t>种植水稻</w:t>
      </w:r>
      <w:r>
        <w:t>13000亩，水稻总产5850吨，花生种植面</w:t>
      </w:r>
      <w:r>
        <w:rPr>
          <w:rFonts w:hint="eastAsia"/>
        </w:rPr>
        <w:t>积</w:t>
      </w:r>
      <w:r>
        <w:t>190多公顷，总产550吨。</w:t>
      </w:r>
    </w:p>
    <w:p w14:paraId="12421049">
      <w:pPr>
        <w:pStyle w:val="4"/>
        <w:bidi w:val="0"/>
        <w:rPr>
          <w:rFonts w:hint="eastAsia"/>
        </w:rPr>
      </w:pPr>
      <w:r>
        <w:rPr>
          <w:rFonts w:hint="eastAsia"/>
        </w:rPr>
        <w:t>【社会事业发展】</w:t>
      </w:r>
    </w:p>
    <w:p w14:paraId="33477A10">
      <w:pPr>
        <w:rPr>
          <w:rFonts w:hint="eastAsia"/>
        </w:rPr>
      </w:pPr>
      <w:r>
        <w:rPr>
          <w:rFonts w:hint="eastAsia"/>
        </w:rPr>
        <w:t>新型农村社会养老保险工作不断发展，全镇已完成参保人数（含新增人数）</w:t>
      </w:r>
      <w:r>
        <w:t>5655</w:t>
      </w:r>
      <w:r>
        <w:rPr>
          <w:rFonts w:hint="eastAsia"/>
        </w:rPr>
        <w:t>人，占任务的</w:t>
      </w:r>
      <w:r>
        <w:t>103.8%，在全市各镇中名列前茅。2013年农民参加新型农村合作医疗人数为10582</w:t>
      </w:r>
      <w:r>
        <w:rPr>
          <w:rFonts w:hint="eastAsia"/>
        </w:rPr>
        <w:t>人，参覆盖率为</w:t>
      </w:r>
      <w:r>
        <w:t>95%，农民因疾病带来的经济负担</w:t>
      </w:r>
      <w:r>
        <w:rPr>
          <w:rFonts w:hint="eastAsia"/>
        </w:rPr>
        <w:t>得到减轻。全年为</w:t>
      </w:r>
      <w:r>
        <w:t>6422人次参合农民提供医疗费</w:t>
      </w:r>
      <w:r>
        <w:rPr>
          <w:rFonts w:hint="eastAsia"/>
        </w:rPr>
        <w:t>用补偿，补偿金额</w:t>
      </w:r>
      <w:r>
        <w:t>206万元。人口计生工作再上新</w:t>
      </w:r>
      <w:r>
        <w:rPr>
          <w:rFonts w:hint="eastAsia"/>
        </w:rPr>
        <w:t>台阶，</w:t>
      </w:r>
      <w:r>
        <w:t>2013年全镇共出生183人，其中一孩107</w:t>
      </w:r>
      <w:r>
        <w:rPr>
          <w:rFonts w:hint="eastAsia"/>
        </w:rPr>
        <w:t>人，二孩</w:t>
      </w:r>
      <w:r>
        <w:t>69人，三孩以上7人。落实计划生育手</w:t>
      </w:r>
      <w:r>
        <w:rPr>
          <w:rFonts w:hint="eastAsia"/>
        </w:rPr>
        <w:t>术</w:t>
      </w:r>
      <w:r>
        <w:t>245例，其中上环134例，结扎84例，其中二女</w:t>
      </w:r>
      <w:r>
        <w:rPr>
          <w:rFonts w:hint="eastAsia"/>
        </w:rPr>
        <w:t>扎</w:t>
      </w:r>
      <w:r>
        <w:t>11例，补救措施27例。出生婴儿性别比为112.7，长效措施落实率75.19%，长效措施及时率35.66%，计划生育率86.34%，多孩率3.83%。2013年完成非贫困村农房改建10户的任务。通过</w:t>
      </w:r>
      <w:r>
        <w:rPr>
          <w:rFonts w:hint="eastAsia"/>
        </w:rPr>
        <w:t>“一折通”，发放种粮补贴</w:t>
      </w:r>
      <w:r>
        <w:t>2600多户，已兑付补贴</w:t>
      </w:r>
      <w:r>
        <w:rPr>
          <w:rFonts w:hint="eastAsia"/>
        </w:rPr>
        <w:t>金额</w:t>
      </w:r>
      <w:r>
        <w:t>81万多元。支付家电下乡补贴、摩托车下乡</w:t>
      </w:r>
      <w:r>
        <w:rPr>
          <w:rFonts w:hint="eastAsia"/>
        </w:rPr>
        <w:t>补贴资金</w:t>
      </w:r>
      <w:r>
        <w:t>14万多元。全年完成征收耕地占用税5</w:t>
      </w:r>
      <w:r>
        <w:rPr>
          <w:rFonts w:hint="eastAsia"/>
        </w:rPr>
        <w:t>万多元，完成征收入库在全市前列。全镇享受低保的有</w:t>
      </w:r>
      <w:r>
        <w:t>178户410人，有效地解决弱势群众的困难生</w:t>
      </w:r>
      <w:r>
        <w:rPr>
          <w:rFonts w:hint="eastAsia"/>
        </w:rPr>
        <w:t>活。全镇已纳入五保供养对象</w:t>
      </w:r>
      <w:r>
        <w:t>66人，其中在敬老</w:t>
      </w:r>
      <w:r>
        <w:rPr>
          <w:rFonts w:hint="eastAsia"/>
        </w:rPr>
        <w:t>院集中供养的有</w:t>
      </w:r>
      <w:r>
        <w:t>16人，50人分散在各村供养，使</w:t>
      </w:r>
      <w:r>
        <w:rPr>
          <w:rFonts w:hint="eastAsia"/>
        </w:rPr>
        <w:t>这些老人能幸福安度晚年。教育创强得到巩固，教学条件有较大的改善，教学质量不断上升。卫生改革不断深入，卫生事业不断发展，农村初级卫生保健进一步巩固和发展，文化体育事业不断发展。</w:t>
      </w:r>
    </w:p>
    <w:p w14:paraId="236ADA0A">
      <w:pPr>
        <w:pStyle w:val="4"/>
        <w:bidi w:val="0"/>
        <w:rPr>
          <w:rFonts w:hint="eastAsia"/>
        </w:rPr>
      </w:pPr>
      <w:r>
        <w:rPr>
          <w:rFonts w:hint="eastAsia"/>
        </w:rPr>
        <w:t>【特色产业发展】</w:t>
      </w:r>
    </w:p>
    <w:p w14:paraId="5FA89788">
      <w:r>
        <w:rPr>
          <w:rFonts w:hint="eastAsia"/>
        </w:rPr>
        <w:t>该镇全年种植烟叶</w:t>
      </w:r>
      <w:r>
        <w:t>1370亩，收</w:t>
      </w:r>
      <w:r>
        <w:rPr>
          <w:rFonts w:hint="eastAsia"/>
        </w:rPr>
        <w:t>购烟叶</w:t>
      </w:r>
      <w:r>
        <w:t>4000担，收购资金460多万元；以养殖大</w:t>
      </w:r>
      <w:r>
        <w:rPr>
          <w:rFonts w:hint="eastAsia"/>
        </w:rPr>
        <w:t>户为依托，大力扶持以猪、鱼、羊、鸡为主的养殖业；全年生猪饲养量达</w:t>
      </w:r>
      <w:r>
        <w:t>20000多头，出栏量达15000多头。能繁母猪达1000多头，年产种猪20000多只。家禽出笼量25万只，初步实现了生</w:t>
      </w:r>
      <w:r>
        <w:rPr>
          <w:rFonts w:hint="eastAsia"/>
        </w:rPr>
        <w:t>猪、家禽养殖规模化、产业化。武岭兴建的</w:t>
      </w:r>
      <w:r>
        <w:t>1000</w:t>
      </w:r>
      <w:r>
        <w:rPr>
          <w:rFonts w:hint="eastAsia"/>
        </w:rPr>
        <w:t>亩金银花基地，经过几年的努力，现已初显成效，全年采摘鲜花</w:t>
      </w:r>
      <w:r>
        <w:t>20000多斤，产值达20多万元。武</w:t>
      </w:r>
      <w:r>
        <w:rPr>
          <w:rFonts w:hint="eastAsia"/>
        </w:rPr>
        <w:t>岭还有</w:t>
      </w:r>
      <w:r>
        <w:t>200多亩的花卉种植基地，每年出品花卉约20万盆，给当地带来较大的经济效益。</w:t>
      </w:r>
    </w:p>
    <w:p w14:paraId="39416BDF">
      <w:pPr>
        <w:pStyle w:val="4"/>
        <w:bidi w:val="0"/>
        <w:rPr>
          <w:rFonts w:hint="eastAsia"/>
        </w:rPr>
      </w:pPr>
      <w:r>
        <w:rPr>
          <w:rFonts w:hint="eastAsia"/>
        </w:rPr>
        <w:t>【基础设施建设】</w:t>
      </w:r>
    </w:p>
    <w:p w14:paraId="61FD50FE">
      <w:r>
        <w:rPr>
          <w:rFonts w:hint="eastAsia"/>
        </w:rPr>
        <w:t>山塘水库除险加固工程日臻完善，水圳“三面光”、电排等设施建设得到加强。完善了坪岗</w:t>
      </w:r>
      <w:r>
        <w:t>1200多亩农田的机耕道平整，开通。</w:t>
      </w:r>
      <w:r>
        <w:rPr>
          <w:rFonts w:hint="eastAsia"/>
        </w:rPr>
        <w:t>完成坪岗、涌溪、元甫等村</w:t>
      </w:r>
      <w:r>
        <w:t>3000多米的水圳</w:t>
      </w:r>
      <w:r>
        <w:rPr>
          <w:rFonts w:hint="eastAsia"/>
          <w:lang w:eastAsia="zh-CN"/>
        </w:rPr>
        <w:t>“</w:t>
      </w:r>
      <w:r>
        <w:rPr>
          <w:rFonts w:hint="eastAsia"/>
          <w:lang w:val="en-US" w:eastAsia="zh-CN"/>
        </w:rPr>
        <w:t>三</w:t>
      </w:r>
      <w:r>
        <w:rPr>
          <w:rFonts w:hint="eastAsia"/>
        </w:rPr>
        <w:t>面光”工程，为确保旱涝保修打下了更好的基础。墟镇基础设施不断完善，墟镇“脏、乱、差”的现象得到有效的整治，巩固和发展了省卫生先进镇的优秀成果。镇垃圾中转站和村垃圾收集点正在兴建之中。农村改水改厕工作得到加强。农村饮水安全工程经过</w:t>
      </w:r>
      <w:r>
        <w:t>2年多时间的建设，于2013年春节前竣</w:t>
      </w:r>
      <w:r>
        <w:rPr>
          <w:rFonts w:hint="eastAsia"/>
        </w:rPr>
        <w:t>工并投入使用，从而解决了圩镇、江头、涌溪、坪岗等行政村</w:t>
      </w:r>
      <w:r>
        <w:t>6000多人饮用水的问题。</w:t>
      </w:r>
    </w:p>
    <w:p w14:paraId="63C169BF">
      <w:pPr>
        <w:pStyle w:val="4"/>
        <w:bidi w:val="0"/>
        <w:rPr>
          <w:rFonts w:hint="eastAsia"/>
        </w:rPr>
      </w:pPr>
      <w:r>
        <w:rPr>
          <w:rFonts w:hint="eastAsia"/>
          <w:lang w:eastAsia="zh-CN"/>
        </w:rPr>
        <w:t>【</w:t>
      </w:r>
      <w:r>
        <w:rPr>
          <w:rFonts w:hint="eastAsia"/>
        </w:rPr>
        <w:t>各村（居）委会基本情况】</w:t>
      </w:r>
    </w:p>
    <w:p w14:paraId="06FCADFF">
      <w:pPr>
        <w:pStyle w:val="10"/>
        <w:bidi w:val="0"/>
        <w:jc w:val="center"/>
        <w:rPr>
          <w:rFonts w:hint="eastAsia"/>
          <w:b/>
          <w:bCs/>
        </w:rPr>
      </w:pPr>
      <w:r>
        <w:rPr>
          <w:rFonts w:hint="eastAsia"/>
          <w:b/>
          <w:bCs/>
        </w:rPr>
        <w:t>2013年江头镇各村（居）委会基本情况表</w:t>
      </w:r>
    </w:p>
    <w:p w14:paraId="516738F6">
      <w:pPr>
        <w:rPr>
          <w:rFonts w:hint="default" w:eastAsia="宋体"/>
          <w:lang w:val="en-US" w:eastAsia="zh-CN"/>
        </w:rPr>
      </w:pPr>
      <w:r>
        <w:rPr>
          <w:rFonts w:hint="eastAsia"/>
          <w:lang w:val="en-US" w:eastAsia="zh-CN"/>
        </w:rPr>
        <w:t>表40</w:t>
      </w:r>
    </w:p>
    <w:tbl>
      <w:tblPr>
        <w:tblStyle w:val="8"/>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4"/>
        <w:gridCol w:w="849"/>
        <w:gridCol w:w="654"/>
        <w:gridCol w:w="868"/>
        <w:gridCol w:w="792"/>
        <w:gridCol w:w="911"/>
        <w:gridCol w:w="750"/>
        <w:gridCol w:w="782"/>
        <w:gridCol w:w="761"/>
        <w:gridCol w:w="696"/>
        <w:gridCol w:w="868"/>
        <w:gridCol w:w="1307"/>
      </w:tblGrid>
      <w:tr w14:paraId="4FA583D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c>
          <w:tcPr>
            <w:tcW w:w="363" w:type="pct"/>
            <w:vMerge w:val="restart"/>
            <w:tcBorders>
              <w:top w:val="single" w:color="000000" w:sz="8" w:space="0"/>
              <w:bottom w:val="single" w:color="000000" w:sz="8" w:space="0"/>
              <w:right w:val="single" w:color="000000" w:sz="8" w:space="0"/>
            </w:tcBorders>
            <w:shd w:val="clear" w:color="auto" w:fill="FFFFFF"/>
            <w:vAlign w:val="center"/>
          </w:tcPr>
          <w:p w14:paraId="12955BD5">
            <w:pPr>
              <w:pStyle w:val="10"/>
              <w:bidi w:val="0"/>
              <w:jc w:val="center"/>
              <w:rPr>
                <w:rFonts w:hint="eastAsia"/>
                <w:b/>
                <w:bCs/>
                <w:color w:val="000000"/>
              </w:rPr>
            </w:pPr>
            <w:r>
              <w:rPr>
                <w:rFonts w:hint="eastAsia"/>
                <w:b/>
                <w:bCs/>
                <w:color w:val="000000"/>
              </w:rPr>
              <w:t>村别</w:t>
            </w:r>
          </w:p>
        </w:tc>
        <w:tc>
          <w:tcPr>
            <w:tcW w:w="426" w:type="pct"/>
            <w:vMerge w:val="restart"/>
            <w:tcBorders>
              <w:top w:val="single" w:color="000000" w:sz="8" w:space="0"/>
              <w:left w:val="single" w:color="000000" w:sz="8" w:space="0"/>
              <w:bottom w:val="single" w:color="000000" w:sz="8" w:space="0"/>
              <w:right w:val="single" w:color="000000" w:sz="8" w:space="0"/>
            </w:tcBorders>
            <w:shd w:val="clear" w:color="auto" w:fill="FFFFFF"/>
            <w:vAlign w:val="center"/>
          </w:tcPr>
          <w:p w14:paraId="768B7DF6">
            <w:pPr>
              <w:pStyle w:val="10"/>
              <w:bidi w:val="0"/>
              <w:jc w:val="center"/>
              <w:rPr>
                <w:rFonts w:hint="eastAsia"/>
                <w:b/>
                <w:bCs/>
                <w:color w:val="000000"/>
              </w:rPr>
            </w:pPr>
            <w:r>
              <w:rPr>
                <w:rFonts w:hint="eastAsia"/>
                <w:b/>
                <w:bCs/>
                <w:color w:val="000000"/>
              </w:rPr>
              <w:t>村小组（个）</w:t>
            </w:r>
          </w:p>
        </w:tc>
        <w:tc>
          <w:tcPr>
            <w:tcW w:w="328" w:type="pct"/>
            <w:vMerge w:val="restart"/>
            <w:tcBorders>
              <w:top w:val="single" w:color="000000" w:sz="8" w:space="0"/>
              <w:left w:val="single" w:color="000000" w:sz="8" w:space="0"/>
              <w:bottom w:val="single" w:color="000000" w:sz="8" w:space="0"/>
              <w:right w:val="single" w:color="000000" w:sz="8" w:space="0"/>
            </w:tcBorders>
            <w:shd w:val="clear" w:color="auto" w:fill="FFFFFF"/>
            <w:vAlign w:val="center"/>
          </w:tcPr>
          <w:p w14:paraId="4DBB7C3C">
            <w:pPr>
              <w:pStyle w:val="10"/>
              <w:bidi w:val="0"/>
              <w:jc w:val="center"/>
              <w:rPr>
                <w:rFonts w:hint="eastAsia"/>
                <w:b/>
                <w:bCs/>
                <w:color w:val="000000"/>
              </w:rPr>
            </w:pPr>
            <w:r>
              <w:rPr>
                <w:rFonts w:hint="eastAsia"/>
                <w:b/>
                <w:bCs/>
                <w:color w:val="000000"/>
              </w:rPr>
              <w:t>户数</w:t>
            </w:r>
          </w:p>
        </w:tc>
        <w:tc>
          <w:tcPr>
            <w:tcW w:w="435" w:type="pct"/>
            <w:vMerge w:val="restart"/>
            <w:tcBorders>
              <w:top w:val="single" w:color="000000" w:sz="8" w:space="0"/>
              <w:left w:val="single" w:color="000000" w:sz="8" w:space="0"/>
              <w:bottom w:val="single" w:color="000000" w:sz="8" w:space="0"/>
              <w:right w:val="single" w:color="000000" w:sz="8" w:space="0"/>
            </w:tcBorders>
            <w:shd w:val="clear" w:color="auto" w:fill="FFFFFF"/>
            <w:vAlign w:val="center"/>
          </w:tcPr>
          <w:p w14:paraId="09A7B1D3">
            <w:pPr>
              <w:pStyle w:val="10"/>
              <w:bidi w:val="0"/>
              <w:jc w:val="center"/>
              <w:rPr>
                <w:rFonts w:hint="eastAsia"/>
                <w:b/>
                <w:bCs/>
                <w:color w:val="000000"/>
              </w:rPr>
            </w:pPr>
            <w:r>
              <w:rPr>
                <w:rFonts w:hint="eastAsia"/>
                <w:b/>
                <w:bCs/>
                <w:color w:val="000000"/>
              </w:rPr>
              <w:t>总人口（人）</w:t>
            </w:r>
          </w:p>
        </w:tc>
        <w:tc>
          <w:tcPr>
            <w:tcW w:w="397" w:type="pct"/>
            <w:vMerge w:val="restart"/>
            <w:tcBorders>
              <w:top w:val="single" w:color="000000" w:sz="8" w:space="0"/>
              <w:left w:val="single" w:color="000000" w:sz="8" w:space="0"/>
              <w:bottom w:val="single" w:color="000000" w:sz="8" w:space="0"/>
              <w:right w:val="single" w:color="000000" w:sz="8" w:space="0"/>
            </w:tcBorders>
            <w:shd w:val="clear" w:color="auto" w:fill="FFFFFF"/>
            <w:vAlign w:val="center"/>
          </w:tcPr>
          <w:p w14:paraId="073A4D50">
            <w:pPr>
              <w:pStyle w:val="10"/>
              <w:bidi w:val="0"/>
              <w:jc w:val="center"/>
              <w:rPr>
                <w:rFonts w:hint="eastAsia"/>
                <w:b/>
                <w:bCs/>
                <w:color w:val="000000"/>
              </w:rPr>
            </w:pPr>
            <w:r>
              <w:rPr>
                <w:rFonts w:hint="eastAsia"/>
                <w:b/>
                <w:bCs/>
                <w:color w:val="000000"/>
              </w:rPr>
              <w:t>常住</w:t>
            </w:r>
          </w:p>
          <w:p w14:paraId="4C93C92C">
            <w:pPr>
              <w:pStyle w:val="10"/>
              <w:bidi w:val="0"/>
              <w:jc w:val="center"/>
              <w:rPr>
                <w:rFonts w:hint="eastAsia"/>
                <w:b/>
                <w:bCs/>
                <w:color w:val="000000"/>
              </w:rPr>
            </w:pPr>
            <w:r>
              <w:rPr>
                <w:rFonts w:hint="eastAsia"/>
                <w:b/>
                <w:bCs/>
                <w:color w:val="000000"/>
              </w:rPr>
              <w:t>人口</w:t>
            </w:r>
          </w:p>
          <w:p w14:paraId="2AA5A5A6">
            <w:pPr>
              <w:pStyle w:val="10"/>
              <w:bidi w:val="0"/>
              <w:jc w:val="center"/>
              <w:rPr>
                <w:rFonts w:hint="eastAsia"/>
                <w:b/>
                <w:bCs/>
                <w:color w:val="000000"/>
              </w:rPr>
            </w:pPr>
            <w:r>
              <w:rPr>
                <w:rFonts w:hint="eastAsia"/>
                <w:b/>
                <w:bCs/>
                <w:color w:val="000000"/>
              </w:rPr>
              <w:t>（人）</w:t>
            </w:r>
          </w:p>
        </w:tc>
        <w:tc>
          <w:tcPr>
            <w:tcW w:w="457" w:type="pct"/>
            <w:vMerge w:val="restart"/>
            <w:tcBorders>
              <w:top w:val="single" w:color="000000" w:sz="8" w:space="0"/>
              <w:left w:val="single" w:color="000000" w:sz="8" w:space="0"/>
              <w:bottom w:val="single" w:color="000000" w:sz="8" w:space="0"/>
              <w:right w:val="single" w:color="000000" w:sz="8" w:space="0"/>
            </w:tcBorders>
            <w:shd w:val="clear" w:color="auto" w:fill="FFFFFF"/>
            <w:vAlign w:val="center"/>
          </w:tcPr>
          <w:p w14:paraId="772F8DBF">
            <w:pPr>
              <w:pStyle w:val="10"/>
              <w:bidi w:val="0"/>
              <w:jc w:val="center"/>
              <w:rPr>
                <w:rFonts w:hint="eastAsia"/>
                <w:b/>
                <w:bCs/>
                <w:color w:val="000000"/>
              </w:rPr>
            </w:pPr>
            <w:r>
              <w:rPr>
                <w:rFonts w:hint="eastAsia"/>
                <w:b/>
                <w:bCs/>
                <w:color w:val="000000"/>
              </w:rPr>
              <w:t>劳动力资源总数（人）</w:t>
            </w:r>
          </w:p>
        </w:tc>
        <w:tc>
          <w:tcPr>
            <w:tcW w:w="376" w:type="pct"/>
            <w:vMerge w:val="restart"/>
            <w:tcBorders>
              <w:top w:val="single" w:color="000000" w:sz="8" w:space="0"/>
              <w:left w:val="single" w:color="000000" w:sz="8" w:space="0"/>
              <w:bottom w:val="single" w:color="000000" w:sz="8" w:space="0"/>
              <w:right w:val="single" w:color="000000" w:sz="8" w:space="0"/>
            </w:tcBorders>
            <w:shd w:val="clear" w:color="auto" w:fill="FFFFFF"/>
            <w:vAlign w:val="center"/>
          </w:tcPr>
          <w:p w14:paraId="6F09F8AD">
            <w:pPr>
              <w:pStyle w:val="10"/>
              <w:bidi w:val="0"/>
              <w:jc w:val="center"/>
              <w:rPr>
                <w:rFonts w:hint="eastAsia"/>
                <w:b/>
                <w:bCs/>
                <w:color w:val="000000"/>
              </w:rPr>
            </w:pPr>
            <w:r>
              <w:rPr>
                <w:rFonts w:hint="eastAsia"/>
                <w:b/>
                <w:bCs/>
                <w:color w:val="000000"/>
              </w:rPr>
              <w:t>外出务工（人）</w:t>
            </w:r>
          </w:p>
        </w:tc>
        <w:tc>
          <w:tcPr>
            <w:tcW w:w="1123" w:type="pct"/>
            <w:gridSpan w:val="3"/>
            <w:tcBorders>
              <w:top w:val="single" w:color="000000" w:sz="8" w:space="0"/>
              <w:left w:val="single" w:color="000000" w:sz="8" w:space="0"/>
              <w:bottom w:val="single" w:color="000000" w:sz="8" w:space="0"/>
              <w:right w:val="single" w:color="000000" w:sz="8" w:space="0"/>
            </w:tcBorders>
            <w:shd w:val="clear" w:color="auto" w:fill="FFFFFF"/>
            <w:vAlign w:val="center"/>
          </w:tcPr>
          <w:p w14:paraId="6BBEA9C9">
            <w:pPr>
              <w:pStyle w:val="10"/>
              <w:bidi w:val="0"/>
              <w:jc w:val="center"/>
              <w:rPr>
                <w:rFonts w:hint="eastAsia"/>
                <w:b/>
                <w:bCs/>
                <w:color w:val="000000"/>
              </w:rPr>
            </w:pPr>
            <w:r>
              <w:rPr>
                <w:rFonts w:hint="eastAsia"/>
                <w:b/>
                <w:bCs/>
                <w:color w:val="000000"/>
              </w:rPr>
              <w:t>耕地面积（亩）</w:t>
            </w:r>
          </w:p>
        </w:tc>
        <w:tc>
          <w:tcPr>
            <w:tcW w:w="435" w:type="pct"/>
            <w:vMerge w:val="restart"/>
            <w:tcBorders>
              <w:top w:val="single" w:color="000000" w:sz="8" w:space="0"/>
              <w:left w:val="single" w:color="000000" w:sz="8" w:space="0"/>
              <w:bottom w:val="single" w:color="000000" w:sz="8" w:space="0"/>
              <w:right w:val="single" w:color="000000" w:sz="8" w:space="0"/>
            </w:tcBorders>
            <w:shd w:val="clear" w:color="auto" w:fill="FFFFFF"/>
            <w:vAlign w:val="center"/>
          </w:tcPr>
          <w:p w14:paraId="701D0515">
            <w:pPr>
              <w:pStyle w:val="10"/>
              <w:bidi w:val="0"/>
              <w:jc w:val="center"/>
              <w:rPr>
                <w:rFonts w:hint="eastAsia"/>
                <w:b/>
                <w:bCs/>
                <w:color w:val="000000"/>
              </w:rPr>
            </w:pPr>
            <w:r>
              <w:rPr>
                <w:rFonts w:hint="eastAsia"/>
                <w:b/>
                <w:bCs/>
                <w:color w:val="000000"/>
              </w:rPr>
              <w:t>山林面积（亩）</w:t>
            </w:r>
          </w:p>
        </w:tc>
        <w:tc>
          <w:tcPr>
            <w:tcW w:w="655" w:type="pct"/>
            <w:vMerge w:val="restart"/>
            <w:tcBorders>
              <w:top w:val="single" w:color="000000" w:sz="8" w:space="0"/>
              <w:left w:val="single" w:color="000000" w:sz="8" w:space="0"/>
              <w:bottom w:val="single" w:color="000000" w:sz="8" w:space="0"/>
            </w:tcBorders>
            <w:shd w:val="clear" w:color="auto" w:fill="FFFFFF"/>
            <w:vAlign w:val="center"/>
          </w:tcPr>
          <w:p w14:paraId="3DB37C33">
            <w:pPr>
              <w:pStyle w:val="10"/>
              <w:bidi w:val="0"/>
              <w:jc w:val="center"/>
              <w:rPr>
                <w:rFonts w:hint="eastAsia"/>
                <w:b/>
                <w:bCs/>
                <w:color w:val="000000"/>
              </w:rPr>
            </w:pPr>
            <w:r>
              <w:rPr>
                <w:rFonts w:hint="eastAsia"/>
                <w:b/>
                <w:bCs/>
                <w:color w:val="000000"/>
              </w:rPr>
              <w:t>主要经济</w:t>
            </w:r>
          </w:p>
          <w:p w14:paraId="076BA525">
            <w:pPr>
              <w:pStyle w:val="10"/>
              <w:bidi w:val="0"/>
              <w:jc w:val="center"/>
              <w:rPr>
                <w:rFonts w:hint="eastAsia"/>
                <w:b/>
                <w:bCs/>
                <w:color w:val="000000"/>
              </w:rPr>
            </w:pPr>
            <w:r>
              <w:rPr>
                <w:rFonts w:hint="eastAsia"/>
                <w:b/>
                <w:bCs/>
                <w:color w:val="000000"/>
              </w:rPr>
              <w:t>作物</w:t>
            </w:r>
          </w:p>
        </w:tc>
      </w:tr>
      <w:tr w14:paraId="5D5F311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3" w:type="pct"/>
            <w:vMerge w:val="continue"/>
            <w:tcBorders>
              <w:top w:val="single" w:color="000000" w:sz="8" w:space="0"/>
              <w:bottom w:val="single" w:color="000000" w:sz="8" w:space="0"/>
              <w:right w:val="single" w:color="000000" w:sz="8" w:space="0"/>
            </w:tcBorders>
            <w:shd w:val="clear" w:color="auto" w:fill="FFFFFF"/>
          </w:tcPr>
          <w:p w14:paraId="4D2807BF">
            <w:pPr>
              <w:pStyle w:val="10"/>
              <w:bidi w:val="0"/>
              <w:jc w:val="center"/>
              <w:rPr>
                <w:rFonts w:hint="eastAsia"/>
                <w:color w:val="000000"/>
              </w:rPr>
            </w:pPr>
          </w:p>
        </w:tc>
        <w:tc>
          <w:tcPr>
            <w:tcW w:w="426" w:type="pct"/>
            <w:vMerge w:val="continue"/>
            <w:tcBorders>
              <w:top w:val="single" w:color="000000" w:sz="8" w:space="0"/>
              <w:left w:val="single" w:color="000000" w:sz="8" w:space="0"/>
              <w:bottom w:val="single" w:color="000000" w:sz="8" w:space="0"/>
              <w:right w:val="single" w:color="000000" w:sz="8" w:space="0"/>
            </w:tcBorders>
            <w:shd w:val="clear" w:color="auto" w:fill="FFFFFF"/>
          </w:tcPr>
          <w:p w14:paraId="05475227">
            <w:pPr>
              <w:pStyle w:val="10"/>
              <w:bidi w:val="0"/>
              <w:jc w:val="center"/>
              <w:rPr>
                <w:rFonts w:hint="eastAsia"/>
                <w:color w:val="000000"/>
              </w:rPr>
            </w:pPr>
          </w:p>
        </w:tc>
        <w:tc>
          <w:tcPr>
            <w:tcW w:w="328" w:type="pct"/>
            <w:vMerge w:val="continue"/>
            <w:tcBorders>
              <w:top w:val="single" w:color="000000" w:sz="8" w:space="0"/>
              <w:left w:val="single" w:color="000000" w:sz="8" w:space="0"/>
              <w:bottom w:val="single" w:color="000000" w:sz="8" w:space="0"/>
              <w:right w:val="single" w:color="000000" w:sz="8" w:space="0"/>
            </w:tcBorders>
            <w:shd w:val="clear" w:color="auto" w:fill="FFFFFF"/>
          </w:tcPr>
          <w:p w14:paraId="4126F8B9">
            <w:pPr>
              <w:pStyle w:val="10"/>
              <w:bidi w:val="0"/>
              <w:jc w:val="center"/>
              <w:rPr>
                <w:rFonts w:hint="eastAsia"/>
                <w:color w:val="000000"/>
              </w:rPr>
            </w:pPr>
          </w:p>
        </w:tc>
        <w:tc>
          <w:tcPr>
            <w:tcW w:w="435" w:type="pct"/>
            <w:vMerge w:val="continue"/>
            <w:tcBorders>
              <w:top w:val="single" w:color="000000" w:sz="8" w:space="0"/>
              <w:left w:val="single" w:color="000000" w:sz="8" w:space="0"/>
              <w:bottom w:val="single" w:color="000000" w:sz="8" w:space="0"/>
              <w:right w:val="single" w:color="000000" w:sz="8" w:space="0"/>
            </w:tcBorders>
            <w:shd w:val="clear" w:color="auto" w:fill="FFFFFF"/>
          </w:tcPr>
          <w:p w14:paraId="38584F04">
            <w:pPr>
              <w:pStyle w:val="10"/>
              <w:bidi w:val="0"/>
              <w:jc w:val="center"/>
              <w:rPr>
                <w:rFonts w:hint="eastAsia"/>
                <w:color w:val="000000"/>
              </w:rPr>
            </w:pPr>
          </w:p>
        </w:tc>
        <w:tc>
          <w:tcPr>
            <w:tcW w:w="397" w:type="pct"/>
            <w:vMerge w:val="continue"/>
            <w:tcBorders>
              <w:top w:val="single" w:color="000000" w:sz="8" w:space="0"/>
              <w:left w:val="single" w:color="000000" w:sz="8" w:space="0"/>
              <w:bottom w:val="single" w:color="000000" w:sz="8" w:space="0"/>
              <w:right w:val="single" w:color="000000" w:sz="8" w:space="0"/>
            </w:tcBorders>
            <w:shd w:val="clear" w:color="auto" w:fill="FFFFFF"/>
          </w:tcPr>
          <w:p w14:paraId="20A124A5">
            <w:pPr>
              <w:pStyle w:val="10"/>
              <w:bidi w:val="0"/>
              <w:jc w:val="center"/>
              <w:rPr>
                <w:rFonts w:hint="eastAsia"/>
                <w:color w:val="000000"/>
              </w:rPr>
            </w:pPr>
          </w:p>
        </w:tc>
        <w:tc>
          <w:tcPr>
            <w:tcW w:w="457" w:type="pct"/>
            <w:vMerge w:val="continue"/>
            <w:tcBorders>
              <w:top w:val="single" w:color="000000" w:sz="8" w:space="0"/>
              <w:left w:val="single" w:color="000000" w:sz="8" w:space="0"/>
              <w:bottom w:val="single" w:color="000000" w:sz="8" w:space="0"/>
              <w:right w:val="single" w:color="000000" w:sz="8" w:space="0"/>
            </w:tcBorders>
            <w:shd w:val="clear" w:color="auto" w:fill="FFFFFF"/>
          </w:tcPr>
          <w:p w14:paraId="025427EA">
            <w:pPr>
              <w:pStyle w:val="10"/>
              <w:bidi w:val="0"/>
              <w:jc w:val="center"/>
              <w:rPr>
                <w:rFonts w:hint="eastAsia"/>
                <w:color w:val="000000"/>
              </w:rPr>
            </w:pPr>
          </w:p>
        </w:tc>
        <w:tc>
          <w:tcPr>
            <w:tcW w:w="376" w:type="pct"/>
            <w:vMerge w:val="continue"/>
            <w:tcBorders>
              <w:top w:val="single" w:color="000000" w:sz="8" w:space="0"/>
              <w:left w:val="single" w:color="000000" w:sz="8" w:space="0"/>
              <w:bottom w:val="single" w:color="000000" w:sz="8" w:space="0"/>
              <w:right w:val="single" w:color="000000" w:sz="8" w:space="0"/>
            </w:tcBorders>
            <w:shd w:val="clear" w:color="auto" w:fill="FFFFFF"/>
            <w:vAlign w:val="center"/>
          </w:tcPr>
          <w:p w14:paraId="46CCEC3B">
            <w:pPr>
              <w:pStyle w:val="10"/>
              <w:bidi w:val="0"/>
              <w:jc w:val="center"/>
              <w:rPr>
                <w:rFonts w:hint="eastAsia"/>
                <w:color w:val="000000"/>
              </w:rPr>
            </w:pPr>
          </w:p>
        </w:tc>
        <w:tc>
          <w:tcPr>
            <w:tcW w:w="392" w:type="pct"/>
            <w:vMerge w:val="restart"/>
            <w:tcBorders>
              <w:top w:val="single" w:color="000000" w:sz="8" w:space="0"/>
              <w:left w:val="single" w:color="000000" w:sz="8" w:space="0"/>
              <w:bottom w:val="single" w:color="000000" w:sz="8" w:space="0"/>
              <w:right w:val="single" w:color="000000" w:sz="8" w:space="0"/>
            </w:tcBorders>
            <w:shd w:val="clear" w:color="auto" w:fill="FFFFFF"/>
            <w:vAlign w:val="center"/>
          </w:tcPr>
          <w:p w14:paraId="74FD6AD5">
            <w:pPr>
              <w:pStyle w:val="10"/>
              <w:bidi w:val="0"/>
              <w:jc w:val="center"/>
              <w:rPr>
                <w:rFonts w:hint="eastAsia"/>
                <w:b/>
                <w:bCs/>
                <w:color w:val="000000"/>
              </w:rPr>
            </w:pPr>
            <w:r>
              <w:rPr>
                <w:rFonts w:hint="eastAsia"/>
                <w:b/>
                <w:bCs/>
                <w:color w:val="000000"/>
              </w:rPr>
              <w:t>合计</w:t>
            </w:r>
          </w:p>
        </w:tc>
        <w:tc>
          <w:tcPr>
            <w:tcW w:w="731" w:type="pct"/>
            <w:gridSpan w:val="2"/>
            <w:tcBorders>
              <w:top w:val="single" w:color="000000" w:sz="8" w:space="0"/>
              <w:left w:val="single" w:color="000000" w:sz="8" w:space="0"/>
              <w:bottom w:val="single" w:color="000000" w:sz="8" w:space="0"/>
              <w:right w:val="single" w:color="000000" w:sz="8" w:space="0"/>
            </w:tcBorders>
            <w:shd w:val="clear" w:color="auto" w:fill="FFFFFF"/>
            <w:vAlign w:val="center"/>
          </w:tcPr>
          <w:p w14:paraId="53B975B4">
            <w:pPr>
              <w:pStyle w:val="10"/>
              <w:bidi w:val="0"/>
              <w:jc w:val="center"/>
              <w:rPr>
                <w:rFonts w:hint="eastAsia"/>
                <w:b/>
                <w:bCs/>
                <w:color w:val="000000"/>
              </w:rPr>
            </w:pPr>
            <w:r>
              <w:rPr>
                <w:rFonts w:hint="eastAsia"/>
                <w:b/>
                <w:bCs/>
                <w:color w:val="000000"/>
              </w:rPr>
              <w:t>其中</w:t>
            </w:r>
          </w:p>
        </w:tc>
        <w:tc>
          <w:tcPr>
            <w:tcW w:w="435" w:type="pct"/>
            <w:vMerge w:val="continue"/>
            <w:tcBorders>
              <w:top w:val="single" w:color="000000" w:sz="8" w:space="0"/>
              <w:left w:val="single" w:color="000000" w:sz="8" w:space="0"/>
              <w:bottom w:val="single" w:color="000000" w:sz="8" w:space="0"/>
              <w:right w:val="single" w:color="000000" w:sz="8" w:space="0"/>
            </w:tcBorders>
            <w:shd w:val="clear" w:color="auto" w:fill="FFFFFF"/>
          </w:tcPr>
          <w:p w14:paraId="4CC1A051">
            <w:pPr>
              <w:pStyle w:val="10"/>
              <w:bidi w:val="0"/>
              <w:jc w:val="center"/>
              <w:rPr>
                <w:rFonts w:hint="eastAsia"/>
                <w:color w:val="000000"/>
              </w:rPr>
            </w:pPr>
          </w:p>
        </w:tc>
        <w:tc>
          <w:tcPr>
            <w:tcW w:w="655" w:type="pct"/>
            <w:vMerge w:val="continue"/>
            <w:tcBorders>
              <w:top w:val="single" w:color="000000" w:sz="8" w:space="0"/>
              <w:left w:val="single" w:color="000000" w:sz="8" w:space="0"/>
              <w:bottom w:val="single" w:color="000000" w:sz="8" w:space="0"/>
            </w:tcBorders>
            <w:shd w:val="clear" w:color="auto" w:fill="FFFFFF"/>
            <w:vAlign w:val="center"/>
          </w:tcPr>
          <w:p w14:paraId="70F0AFA5">
            <w:pPr>
              <w:pStyle w:val="10"/>
              <w:bidi w:val="0"/>
              <w:jc w:val="both"/>
              <w:rPr>
                <w:rFonts w:hint="eastAsia"/>
                <w:color w:val="000000"/>
              </w:rPr>
            </w:pPr>
          </w:p>
        </w:tc>
      </w:tr>
      <w:tr w14:paraId="3111831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3" w:type="pct"/>
            <w:vMerge w:val="continue"/>
            <w:tcBorders>
              <w:top w:val="single" w:color="000000" w:sz="8" w:space="0"/>
              <w:bottom w:val="single" w:color="000000" w:sz="8" w:space="0"/>
              <w:right w:val="single" w:color="000000" w:sz="8" w:space="0"/>
            </w:tcBorders>
            <w:shd w:val="clear" w:color="auto" w:fill="FFFFFF"/>
          </w:tcPr>
          <w:p w14:paraId="4CB6E848">
            <w:pPr>
              <w:pStyle w:val="10"/>
              <w:bidi w:val="0"/>
              <w:jc w:val="center"/>
              <w:rPr>
                <w:rFonts w:hint="eastAsia"/>
                <w:color w:val="000000"/>
              </w:rPr>
            </w:pPr>
          </w:p>
        </w:tc>
        <w:tc>
          <w:tcPr>
            <w:tcW w:w="426" w:type="pct"/>
            <w:vMerge w:val="continue"/>
            <w:tcBorders>
              <w:top w:val="single" w:color="000000" w:sz="8" w:space="0"/>
              <w:left w:val="single" w:color="000000" w:sz="8" w:space="0"/>
              <w:bottom w:val="single" w:color="000000" w:sz="8" w:space="0"/>
              <w:right w:val="single" w:color="000000" w:sz="8" w:space="0"/>
            </w:tcBorders>
            <w:shd w:val="clear" w:color="auto" w:fill="FFFFFF"/>
          </w:tcPr>
          <w:p w14:paraId="3839B4E6">
            <w:pPr>
              <w:pStyle w:val="10"/>
              <w:bidi w:val="0"/>
              <w:jc w:val="center"/>
              <w:rPr>
                <w:rFonts w:hint="eastAsia"/>
                <w:color w:val="000000"/>
              </w:rPr>
            </w:pPr>
          </w:p>
        </w:tc>
        <w:tc>
          <w:tcPr>
            <w:tcW w:w="328" w:type="pct"/>
            <w:vMerge w:val="continue"/>
            <w:tcBorders>
              <w:top w:val="single" w:color="000000" w:sz="8" w:space="0"/>
              <w:left w:val="single" w:color="000000" w:sz="8" w:space="0"/>
              <w:bottom w:val="single" w:color="000000" w:sz="8" w:space="0"/>
              <w:right w:val="single" w:color="000000" w:sz="8" w:space="0"/>
            </w:tcBorders>
            <w:shd w:val="clear" w:color="auto" w:fill="FFFFFF"/>
          </w:tcPr>
          <w:p w14:paraId="6FF7E087">
            <w:pPr>
              <w:pStyle w:val="10"/>
              <w:bidi w:val="0"/>
              <w:jc w:val="center"/>
              <w:rPr>
                <w:rFonts w:hint="eastAsia"/>
                <w:color w:val="000000"/>
              </w:rPr>
            </w:pPr>
          </w:p>
        </w:tc>
        <w:tc>
          <w:tcPr>
            <w:tcW w:w="435" w:type="pct"/>
            <w:vMerge w:val="continue"/>
            <w:tcBorders>
              <w:top w:val="single" w:color="000000" w:sz="8" w:space="0"/>
              <w:left w:val="single" w:color="000000" w:sz="8" w:space="0"/>
              <w:bottom w:val="single" w:color="000000" w:sz="8" w:space="0"/>
              <w:right w:val="single" w:color="000000" w:sz="8" w:space="0"/>
            </w:tcBorders>
            <w:shd w:val="clear" w:color="auto" w:fill="FFFFFF"/>
          </w:tcPr>
          <w:p w14:paraId="2E0E879B">
            <w:pPr>
              <w:pStyle w:val="10"/>
              <w:bidi w:val="0"/>
              <w:jc w:val="center"/>
              <w:rPr>
                <w:rFonts w:hint="eastAsia"/>
                <w:color w:val="000000"/>
              </w:rPr>
            </w:pPr>
          </w:p>
        </w:tc>
        <w:tc>
          <w:tcPr>
            <w:tcW w:w="397" w:type="pct"/>
            <w:vMerge w:val="continue"/>
            <w:tcBorders>
              <w:top w:val="single" w:color="000000" w:sz="8" w:space="0"/>
              <w:left w:val="single" w:color="000000" w:sz="8" w:space="0"/>
              <w:bottom w:val="single" w:color="000000" w:sz="8" w:space="0"/>
              <w:right w:val="single" w:color="000000" w:sz="8" w:space="0"/>
            </w:tcBorders>
            <w:shd w:val="clear" w:color="auto" w:fill="FFFFFF"/>
          </w:tcPr>
          <w:p w14:paraId="7593909F">
            <w:pPr>
              <w:pStyle w:val="10"/>
              <w:bidi w:val="0"/>
              <w:jc w:val="center"/>
              <w:rPr>
                <w:rFonts w:hint="eastAsia"/>
                <w:color w:val="000000"/>
              </w:rPr>
            </w:pPr>
          </w:p>
        </w:tc>
        <w:tc>
          <w:tcPr>
            <w:tcW w:w="457" w:type="pct"/>
            <w:vMerge w:val="continue"/>
            <w:tcBorders>
              <w:top w:val="single" w:color="000000" w:sz="8" w:space="0"/>
              <w:left w:val="single" w:color="000000" w:sz="8" w:space="0"/>
              <w:bottom w:val="single" w:color="000000" w:sz="8" w:space="0"/>
              <w:right w:val="single" w:color="000000" w:sz="8" w:space="0"/>
            </w:tcBorders>
            <w:shd w:val="clear" w:color="auto" w:fill="FFFFFF"/>
          </w:tcPr>
          <w:p w14:paraId="38C2CB7D">
            <w:pPr>
              <w:pStyle w:val="10"/>
              <w:bidi w:val="0"/>
              <w:jc w:val="center"/>
              <w:rPr>
                <w:rFonts w:hint="eastAsia"/>
                <w:color w:val="000000"/>
              </w:rPr>
            </w:pPr>
          </w:p>
        </w:tc>
        <w:tc>
          <w:tcPr>
            <w:tcW w:w="376" w:type="pct"/>
            <w:vMerge w:val="continue"/>
            <w:tcBorders>
              <w:top w:val="single" w:color="000000" w:sz="8" w:space="0"/>
              <w:left w:val="single" w:color="000000" w:sz="8" w:space="0"/>
              <w:bottom w:val="single" w:color="000000" w:sz="8" w:space="0"/>
              <w:right w:val="single" w:color="000000" w:sz="8" w:space="0"/>
            </w:tcBorders>
            <w:shd w:val="clear" w:color="auto" w:fill="FFFFFF"/>
            <w:vAlign w:val="center"/>
          </w:tcPr>
          <w:p w14:paraId="5656AF20">
            <w:pPr>
              <w:pStyle w:val="10"/>
              <w:bidi w:val="0"/>
              <w:jc w:val="center"/>
              <w:rPr>
                <w:rFonts w:hint="eastAsia"/>
                <w:color w:val="000000"/>
              </w:rPr>
            </w:pPr>
          </w:p>
        </w:tc>
        <w:tc>
          <w:tcPr>
            <w:tcW w:w="392" w:type="pct"/>
            <w:vMerge w:val="continue"/>
            <w:tcBorders>
              <w:top w:val="single" w:color="000000" w:sz="8" w:space="0"/>
              <w:left w:val="single" w:color="000000" w:sz="8" w:space="0"/>
              <w:bottom w:val="single" w:color="000000" w:sz="8" w:space="0"/>
              <w:right w:val="single" w:color="000000" w:sz="8" w:space="0"/>
            </w:tcBorders>
            <w:shd w:val="clear" w:color="auto" w:fill="FFFFFF"/>
            <w:vAlign w:val="center"/>
          </w:tcPr>
          <w:p w14:paraId="229B52FF">
            <w:pPr>
              <w:pStyle w:val="10"/>
              <w:bidi w:val="0"/>
              <w:jc w:val="center"/>
              <w:rPr>
                <w:rFonts w:hint="eastAsia"/>
                <w:b/>
                <w:bCs/>
                <w:color w:val="000000"/>
              </w:rPr>
            </w:pPr>
          </w:p>
        </w:tc>
        <w:tc>
          <w:tcPr>
            <w:tcW w:w="38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97024D6">
            <w:pPr>
              <w:pStyle w:val="10"/>
              <w:bidi w:val="0"/>
              <w:jc w:val="center"/>
              <w:rPr>
                <w:rFonts w:hint="eastAsia"/>
                <w:b/>
                <w:bCs/>
                <w:color w:val="000000"/>
              </w:rPr>
            </w:pPr>
            <w:r>
              <w:rPr>
                <w:rFonts w:hint="eastAsia"/>
                <w:b/>
                <w:bCs/>
                <w:color w:val="000000"/>
              </w:rPr>
              <w:t>水田</w:t>
            </w:r>
          </w:p>
        </w:tc>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859990A">
            <w:pPr>
              <w:pStyle w:val="10"/>
              <w:bidi w:val="0"/>
              <w:jc w:val="center"/>
              <w:rPr>
                <w:rFonts w:hint="eastAsia"/>
                <w:b/>
                <w:bCs/>
                <w:color w:val="000000"/>
              </w:rPr>
            </w:pPr>
            <w:r>
              <w:rPr>
                <w:rFonts w:hint="eastAsia"/>
                <w:b/>
                <w:bCs/>
                <w:color w:val="000000"/>
              </w:rPr>
              <w:t>旱地</w:t>
            </w:r>
          </w:p>
        </w:tc>
        <w:tc>
          <w:tcPr>
            <w:tcW w:w="435" w:type="pct"/>
            <w:vMerge w:val="continue"/>
            <w:tcBorders>
              <w:top w:val="single" w:color="000000" w:sz="8" w:space="0"/>
              <w:left w:val="single" w:color="000000" w:sz="8" w:space="0"/>
              <w:bottom w:val="single" w:color="000000" w:sz="8" w:space="0"/>
              <w:right w:val="single" w:color="000000" w:sz="8" w:space="0"/>
            </w:tcBorders>
            <w:shd w:val="clear" w:color="auto" w:fill="FFFFFF"/>
          </w:tcPr>
          <w:p w14:paraId="75C8CB61">
            <w:pPr>
              <w:pStyle w:val="10"/>
              <w:bidi w:val="0"/>
              <w:jc w:val="center"/>
              <w:rPr>
                <w:rFonts w:hint="eastAsia"/>
                <w:color w:val="000000"/>
              </w:rPr>
            </w:pPr>
          </w:p>
        </w:tc>
        <w:tc>
          <w:tcPr>
            <w:tcW w:w="655" w:type="pct"/>
            <w:vMerge w:val="continue"/>
            <w:tcBorders>
              <w:top w:val="single" w:color="000000" w:sz="8" w:space="0"/>
              <w:left w:val="single" w:color="000000" w:sz="8" w:space="0"/>
              <w:bottom w:val="single" w:color="000000" w:sz="8" w:space="0"/>
            </w:tcBorders>
            <w:shd w:val="clear" w:color="auto" w:fill="FFFFFF"/>
            <w:vAlign w:val="center"/>
          </w:tcPr>
          <w:p w14:paraId="4BA96C57">
            <w:pPr>
              <w:pStyle w:val="10"/>
              <w:bidi w:val="0"/>
              <w:jc w:val="both"/>
              <w:rPr>
                <w:rFonts w:hint="eastAsia"/>
                <w:color w:val="000000"/>
              </w:rPr>
            </w:pPr>
          </w:p>
        </w:tc>
      </w:tr>
      <w:tr w14:paraId="5155DD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3" w:type="pct"/>
            <w:tcBorders>
              <w:top w:val="single" w:color="000000" w:sz="8" w:space="0"/>
              <w:bottom w:val="single" w:color="000000" w:sz="8" w:space="0"/>
              <w:right w:val="single" w:color="000000" w:sz="8" w:space="0"/>
            </w:tcBorders>
            <w:shd w:val="clear" w:color="auto" w:fill="FFFFFF"/>
            <w:vAlign w:val="center"/>
          </w:tcPr>
          <w:p w14:paraId="1824912A">
            <w:pPr>
              <w:pStyle w:val="10"/>
              <w:bidi w:val="0"/>
              <w:jc w:val="center"/>
              <w:rPr>
                <w:rFonts w:hint="eastAsia"/>
                <w:color w:val="000000"/>
              </w:rPr>
            </w:pPr>
            <w:r>
              <w:rPr>
                <w:rFonts w:hint="eastAsia"/>
                <w:color w:val="000000"/>
              </w:rPr>
              <w:t>合计</w:t>
            </w:r>
          </w:p>
        </w:tc>
        <w:tc>
          <w:tcPr>
            <w:tcW w:w="42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BDD4A00">
            <w:pPr>
              <w:pStyle w:val="10"/>
              <w:bidi w:val="0"/>
              <w:jc w:val="center"/>
              <w:rPr>
                <w:rFonts w:hint="eastAsia"/>
                <w:color w:val="000000"/>
              </w:rPr>
            </w:pPr>
            <w:r>
              <w:rPr>
                <w:rFonts w:hint="eastAsia"/>
                <w:color w:val="000000"/>
              </w:rPr>
              <w:t>97</w:t>
            </w:r>
          </w:p>
        </w:tc>
        <w:tc>
          <w:tcPr>
            <w:tcW w:w="32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62EEF7A">
            <w:pPr>
              <w:pStyle w:val="10"/>
              <w:bidi w:val="0"/>
              <w:jc w:val="center"/>
              <w:rPr>
                <w:rFonts w:hint="eastAsia"/>
                <w:color w:val="000000"/>
              </w:rPr>
            </w:pPr>
            <w:r>
              <w:rPr>
                <w:rFonts w:hint="eastAsia"/>
                <w:color w:val="000000"/>
              </w:rPr>
              <w:t>2965</w:t>
            </w:r>
          </w:p>
        </w:tc>
        <w:tc>
          <w:tcPr>
            <w:tcW w:w="43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64BD7F8">
            <w:pPr>
              <w:pStyle w:val="10"/>
              <w:bidi w:val="0"/>
              <w:jc w:val="center"/>
              <w:rPr>
                <w:rFonts w:hint="eastAsia"/>
                <w:color w:val="000000"/>
              </w:rPr>
            </w:pPr>
            <w:r>
              <w:rPr>
                <w:rFonts w:hint="eastAsia"/>
                <w:color w:val="000000"/>
              </w:rPr>
              <w:t>12270</w:t>
            </w:r>
          </w:p>
        </w:tc>
        <w:tc>
          <w:tcPr>
            <w:tcW w:w="39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D524389">
            <w:pPr>
              <w:pStyle w:val="10"/>
              <w:bidi w:val="0"/>
              <w:jc w:val="center"/>
              <w:rPr>
                <w:rFonts w:hint="eastAsia"/>
                <w:color w:val="000000"/>
              </w:rPr>
            </w:pPr>
            <w:r>
              <w:rPr>
                <w:rFonts w:hint="eastAsia"/>
                <w:color w:val="000000"/>
              </w:rPr>
              <w:t>8552</w:t>
            </w:r>
          </w:p>
        </w:tc>
        <w:tc>
          <w:tcPr>
            <w:tcW w:w="45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0614619">
            <w:pPr>
              <w:pStyle w:val="10"/>
              <w:bidi w:val="0"/>
              <w:jc w:val="center"/>
              <w:rPr>
                <w:rFonts w:hint="eastAsia"/>
                <w:color w:val="000000"/>
              </w:rPr>
            </w:pPr>
            <w:r>
              <w:rPr>
                <w:rFonts w:hint="eastAsia"/>
                <w:color w:val="000000"/>
              </w:rPr>
              <w:t>680</w:t>
            </w:r>
          </w:p>
        </w:tc>
        <w:tc>
          <w:tcPr>
            <w:tcW w:w="37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07975C3">
            <w:pPr>
              <w:pStyle w:val="10"/>
              <w:bidi w:val="0"/>
              <w:jc w:val="center"/>
              <w:rPr>
                <w:rFonts w:hint="eastAsia"/>
                <w:color w:val="000000"/>
              </w:rPr>
            </w:pPr>
            <w:r>
              <w:rPr>
                <w:rFonts w:hint="eastAsia"/>
                <w:color w:val="000000"/>
              </w:rPr>
              <w:t>3633</w:t>
            </w:r>
          </w:p>
        </w:tc>
        <w:tc>
          <w:tcPr>
            <w:tcW w:w="39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6E841D2">
            <w:pPr>
              <w:pStyle w:val="10"/>
              <w:bidi w:val="0"/>
              <w:jc w:val="center"/>
              <w:rPr>
                <w:rFonts w:hint="eastAsia"/>
                <w:color w:val="000000"/>
              </w:rPr>
            </w:pPr>
            <w:r>
              <w:rPr>
                <w:rFonts w:hint="eastAsia"/>
                <w:color w:val="000000"/>
              </w:rPr>
              <w:t>14334</w:t>
            </w:r>
          </w:p>
        </w:tc>
        <w:tc>
          <w:tcPr>
            <w:tcW w:w="38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4C232CC">
            <w:pPr>
              <w:pStyle w:val="10"/>
              <w:bidi w:val="0"/>
              <w:jc w:val="center"/>
              <w:rPr>
                <w:rFonts w:hint="eastAsia"/>
                <w:color w:val="000000"/>
              </w:rPr>
            </w:pPr>
            <w:r>
              <w:rPr>
                <w:rFonts w:hint="eastAsia"/>
                <w:color w:val="000000"/>
              </w:rPr>
              <w:t>12276</w:t>
            </w:r>
          </w:p>
        </w:tc>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9B2478B">
            <w:pPr>
              <w:pStyle w:val="10"/>
              <w:bidi w:val="0"/>
              <w:jc w:val="center"/>
              <w:rPr>
                <w:rFonts w:hint="eastAsia"/>
                <w:color w:val="000000"/>
              </w:rPr>
            </w:pPr>
            <w:r>
              <w:rPr>
                <w:rFonts w:hint="eastAsia"/>
                <w:color w:val="000000"/>
              </w:rPr>
              <w:t>2058</w:t>
            </w:r>
          </w:p>
        </w:tc>
        <w:tc>
          <w:tcPr>
            <w:tcW w:w="43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CCD5BDB">
            <w:pPr>
              <w:pStyle w:val="10"/>
              <w:bidi w:val="0"/>
              <w:jc w:val="center"/>
              <w:rPr>
                <w:rFonts w:hint="eastAsia"/>
                <w:color w:val="000000"/>
              </w:rPr>
            </w:pPr>
            <w:r>
              <w:rPr>
                <w:rFonts w:hint="eastAsia"/>
                <w:color w:val="000000"/>
              </w:rPr>
              <w:t>172226.2</w:t>
            </w:r>
          </w:p>
        </w:tc>
        <w:tc>
          <w:tcPr>
            <w:tcW w:w="655" w:type="pct"/>
            <w:tcBorders>
              <w:top w:val="single" w:color="000000" w:sz="8" w:space="0"/>
              <w:left w:val="single" w:color="000000" w:sz="8" w:space="0"/>
              <w:bottom w:val="single" w:color="000000" w:sz="8" w:space="0"/>
            </w:tcBorders>
            <w:shd w:val="clear" w:color="auto" w:fill="FFFFFF"/>
            <w:vAlign w:val="center"/>
          </w:tcPr>
          <w:p w14:paraId="48642A58">
            <w:pPr>
              <w:pStyle w:val="10"/>
              <w:bidi w:val="0"/>
              <w:jc w:val="both"/>
              <w:rPr>
                <w:rFonts w:hint="eastAsia"/>
                <w:color w:val="000000"/>
              </w:rPr>
            </w:pPr>
            <w:r>
              <w:rPr>
                <w:rFonts w:hint="eastAsia"/>
                <w:color w:val="000000"/>
              </w:rPr>
              <w:t>/</w:t>
            </w:r>
          </w:p>
        </w:tc>
      </w:tr>
      <w:tr w14:paraId="58FD864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3" w:type="pct"/>
            <w:tcBorders>
              <w:top w:val="single" w:color="000000" w:sz="8" w:space="0"/>
              <w:bottom w:val="single" w:color="000000" w:sz="8" w:space="0"/>
              <w:right w:val="single" w:color="000000" w:sz="8" w:space="0"/>
            </w:tcBorders>
            <w:shd w:val="clear" w:color="auto" w:fill="FFFFFF"/>
            <w:vAlign w:val="center"/>
          </w:tcPr>
          <w:p w14:paraId="084851EF">
            <w:pPr>
              <w:pStyle w:val="10"/>
              <w:bidi w:val="0"/>
              <w:jc w:val="center"/>
              <w:rPr>
                <w:rFonts w:hint="eastAsia"/>
                <w:color w:val="000000"/>
              </w:rPr>
            </w:pPr>
            <w:r>
              <w:rPr>
                <w:rFonts w:hint="eastAsia"/>
                <w:color w:val="000000"/>
              </w:rPr>
              <w:t>坪岗</w:t>
            </w:r>
          </w:p>
        </w:tc>
        <w:tc>
          <w:tcPr>
            <w:tcW w:w="42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75E1148">
            <w:pPr>
              <w:pStyle w:val="10"/>
              <w:bidi w:val="0"/>
              <w:jc w:val="center"/>
              <w:rPr>
                <w:rFonts w:hint="eastAsia"/>
                <w:color w:val="000000"/>
              </w:rPr>
            </w:pPr>
            <w:r>
              <w:rPr>
                <w:rFonts w:hint="eastAsia"/>
                <w:color w:val="000000"/>
              </w:rPr>
              <w:t>12</w:t>
            </w:r>
          </w:p>
        </w:tc>
        <w:tc>
          <w:tcPr>
            <w:tcW w:w="32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8EFAD11">
            <w:pPr>
              <w:pStyle w:val="10"/>
              <w:bidi w:val="0"/>
              <w:jc w:val="center"/>
              <w:rPr>
                <w:rFonts w:hint="eastAsia"/>
                <w:color w:val="000000"/>
              </w:rPr>
            </w:pPr>
            <w:r>
              <w:rPr>
                <w:rFonts w:hint="eastAsia"/>
                <w:color w:val="000000"/>
              </w:rPr>
              <w:t>350</w:t>
            </w:r>
          </w:p>
        </w:tc>
        <w:tc>
          <w:tcPr>
            <w:tcW w:w="43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68A7F14">
            <w:pPr>
              <w:pStyle w:val="10"/>
              <w:bidi w:val="0"/>
              <w:jc w:val="center"/>
              <w:rPr>
                <w:rFonts w:hint="eastAsia"/>
                <w:color w:val="000000"/>
              </w:rPr>
            </w:pPr>
            <w:r>
              <w:rPr>
                <w:rFonts w:hint="eastAsia"/>
                <w:color w:val="000000"/>
              </w:rPr>
              <w:t>1449</w:t>
            </w:r>
          </w:p>
        </w:tc>
        <w:tc>
          <w:tcPr>
            <w:tcW w:w="39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5461CDB">
            <w:pPr>
              <w:pStyle w:val="10"/>
              <w:bidi w:val="0"/>
              <w:jc w:val="center"/>
              <w:rPr>
                <w:rFonts w:hint="eastAsia"/>
                <w:color w:val="000000"/>
              </w:rPr>
            </w:pPr>
            <w:r>
              <w:rPr>
                <w:rFonts w:hint="eastAsia"/>
                <w:color w:val="000000"/>
              </w:rPr>
              <w:t>1140</w:t>
            </w:r>
          </w:p>
        </w:tc>
        <w:tc>
          <w:tcPr>
            <w:tcW w:w="45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5705900">
            <w:pPr>
              <w:pStyle w:val="10"/>
              <w:bidi w:val="0"/>
              <w:jc w:val="center"/>
              <w:rPr>
                <w:rFonts w:hint="eastAsia"/>
                <w:color w:val="000000"/>
              </w:rPr>
            </w:pPr>
            <w:r>
              <w:rPr>
                <w:rFonts w:hint="eastAsia"/>
                <w:color w:val="000000"/>
              </w:rPr>
              <w:t>816</w:t>
            </w:r>
          </w:p>
        </w:tc>
        <w:tc>
          <w:tcPr>
            <w:tcW w:w="37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CD07B0D">
            <w:pPr>
              <w:pStyle w:val="10"/>
              <w:bidi w:val="0"/>
              <w:jc w:val="center"/>
              <w:rPr>
                <w:rFonts w:hint="eastAsia"/>
                <w:color w:val="000000"/>
              </w:rPr>
            </w:pPr>
            <w:r>
              <w:rPr>
                <w:rFonts w:hint="eastAsia"/>
                <w:color w:val="000000"/>
              </w:rPr>
              <w:t>374</w:t>
            </w:r>
          </w:p>
        </w:tc>
        <w:tc>
          <w:tcPr>
            <w:tcW w:w="39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815A6D3">
            <w:pPr>
              <w:pStyle w:val="10"/>
              <w:bidi w:val="0"/>
              <w:jc w:val="center"/>
              <w:rPr>
                <w:rFonts w:hint="eastAsia"/>
                <w:color w:val="000000"/>
              </w:rPr>
            </w:pPr>
            <w:r>
              <w:rPr>
                <w:rFonts w:hint="eastAsia"/>
                <w:color w:val="000000"/>
              </w:rPr>
              <w:t>1887</w:t>
            </w:r>
          </w:p>
        </w:tc>
        <w:tc>
          <w:tcPr>
            <w:tcW w:w="38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20924B4">
            <w:pPr>
              <w:pStyle w:val="10"/>
              <w:bidi w:val="0"/>
              <w:jc w:val="center"/>
              <w:rPr>
                <w:rFonts w:hint="eastAsia"/>
                <w:color w:val="000000"/>
              </w:rPr>
            </w:pPr>
            <w:r>
              <w:rPr>
                <w:rFonts w:hint="eastAsia"/>
                <w:color w:val="000000"/>
              </w:rPr>
              <w:t>1139</w:t>
            </w:r>
          </w:p>
        </w:tc>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3611C90">
            <w:pPr>
              <w:pStyle w:val="10"/>
              <w:bidi w:val="0"/>
              <w:jc w:val="center"/>
              <w:rPr>
                <w:rFonts w:hint="eastAsia"/>
                <w:color w:val="000000"/>
              </w:rPr>
            </w:pPr>
            <w:r>
              <w:rPr>
                <w:rFonts w:hint="eastAsia"/>
                <w:color w:val="000000"/>
              </w:rPr>
              <w:t>748</w:t>
            </w:r>
          </w:p>
        </w:tc>
        <w:tc>
          <w:tcPr>
            <w:tcW w:w="43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C6820C7">
            <w:pPr>
              <w:pStyle w:val="10"/>
              <w:bidi w:val="0"/>
              <w:jc w:val="center"/>
              <w:rPr>
                <w:rFonts w:hint="eastAsia"/>
                <w:color w:val="000000"/>
              </w:rPr>
            </w:pPr>
            <w:r>
              <w:rPr>
                <w:rFonts w:hint="eastAsia"/>
                <w:color w:val="000000"/>
              </w:rPr>
              <w:t>3773</w:t>
            </w:r>
          </w:p>
        </w:tc>
        <w:tc>
          <w:tcPr>
            <w:tcW w:w="655" w:type="pct"/>
            <w:tcBorders>
              <w:top w:val="single" w:color="000000" w:sz="8" w:space="0"/>
              <w:left w:val="single" w:color="000000" w:sz="8" w:space="0"/>
              <w:bottom w:val="single" w:color="000000" w:sz="8" w:space="0"/>
            </w:tcBorders>
            <w:shd w:val="clear" w:color="auto" w:fill="FFFFFF"/>
            <w:vAlign w:val="center"/>
          </w:tcPr>
          <w:p w14:paraId="5C916E4A">
            <w:pPr>
              <w:pStyle w:val="10"/>
              <w:bidi w:val="0"/>
              <w:jc w:val="both"/>
              <w:rPr>
                <w:rFonts w:hint="eastAsia"/>
                <w:color w:val="000000"/>
              </w:rPr>
            </w:pPr>
            <w:r>
              <w:rPr>
                <w:rFonts w:hint="eastAsia"/>
                <w:color w:val="000000"/>
              </w:rPr>
              <w:t>水稻、黄烟、花生、蔬菜</w:t>
            </w:r>
          </w:p>
        </w:tc>
      </w:tr>
      <w:tr w14:paraId="163A7F8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3" w:type="pct"/>
            <w:tcBorders>
              <w:top w:val="single" w:color="000000" w:sz="8" w:space="0"/>
              <w:bottom w:val="single" w:color="000000" w:sz="8" w:space="0"/>
              <w:right w:val="single" w:color="000000" w:sz="8" w:space="0"/>
            </w:tcBorders>
            <w:shd w:val="clear" w:color="auto" w:fill="FFFFFF"/>
            <w:vAlign w:val="center"/>
          </w:tcPr>
          <w:p w14:paraId="1A89D1D8">
            <w:pPr>
              <w:pStyle w:val="10"/>
              <w:bidi w:val="0"/>
              <w:jc w:val="center"/>
              <w:rPr>
                <w:rFonts w:hint="eastAsia"/>
                <w:color w:val="000000"/>
              </w:rPr>
            </w:pPr>
            <w:r>
              <w:rPr>
                <w:rFonts w:hint="eastAsia"/>
                <w:color w:val="000000"/>
              </w:rPr>
              <w:t>涌溪</w:t>
            </w:r>
          </w:p>
        </w:tc>
        <w:tc>
          <w:tcPr>
            <w:tcW w:w="42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6EFEA2C">
            <w:pPr>
              <w:pStyle w:val="10"/>
              <w:bidi w:val="0"/>
              <w:jc w:val="center"/>
              <w:rPr>
                <w:rFonts w:hint="eastAsia"/>
                <w:color w:val="000000"/>
              </w:rPr>
            </w:pPr>
            <w:r>
              <w:rPr>
                <w:rFonts w:hint="eastAsia"/>
                <w:color w:val="000000"/>
              </w:rPr>
              <w:t>11</w:t>
            </w:r>
          </w:p>
        </w:tc>
        <w:tc>
          <w:tcPr>
            <w:tcW w:w="32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645D448">
            <w:pPr>
              <w:pStyle w:val="10"/>
              <w:bidi w:val="0"/>
              <w:jc w:val="center"/>
              <w:rPr>
                <w:rFonts w:hint="eastAsia"/>
                <w:color w:val="000000"/>
              </w:rPr>
            </w:pPr>
            <w:r>
              <w:rPr>
                <w:rFonts w:hint="eastAsia"/>
                <w:color w:val="000000"/>
              </w:rPr>
              <w:t>372</w:t>
            </w:r>
          </w:p>
        </w:tc>
        <w:tc>
          <w:tcPr>
            <w:tcW w:w="43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FBA38FE">
            <w:pPr>
              <w:pStyle w:val="10"/>
              <w:bidi w:val="0"/>
              <w:jc w:val="center"/>
              <w:rPr>
                <w:rFonts w:hint="eastAsia"/>
                <w:color w:val="000000"/>
              </w:rPr>
            </w:pPr>
            <w:r>
              <w:rPr>
                <w:rFonts w:hint="eastAsia"/>
                <w:color w:val="000000"/>
              </w:rPr>
              <w:t>1551</w:t>
            </w:r>
          </w:p>
        </w:tc>
        <w:tc>
          <w:tcPr>
            <w:tcW w:w="39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00F3749">
            <w:pPr>
              <w:pStyle w:val="10"/>
              <w:bidi w:val="0"/>
              <w:jc w:val="center"/>
              <w:rPr>
                <w:rFonts w:hint="eastAsia"/>
                <w:color w:val="000000"/>
              </w:rPr>
            </w:pPr>
            <w:r>
              <w:rPr>
                <w:rFonts w:hint="eastAsia"/>
                <w:color w:val="000000"/>
              </w:rPr>
              <w:t>1204</w:t>
            </w:r>
          </w:p>
        </w:tc>
        <w:tc>
          <w:tcPr>
            <w:tcW w:w="45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8E693A8">
            <w:pPr>
              <w:pStyle w:val="10"/>
              <w:bidi w:val="0"/>
              <w:jc w:val="center"/>
              <w:rPr>
                <w:rFonts w:hint="eastAsia"/>
                <w:color w:val="000000"/>
              </w:rPr>
            </w:pPr>
            <w:r>
              <w:rPr>
                <w:rFonts w:hint="eastAsia"/>
                <w:color w:val="000000"/>
              </w:rPr>
              <w:t>860</w:t>
            </w:r>
          </w:p>
        </w:tc>
        <w:tc>
          <w:tcPr>
            <w:tcW w:w="37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CDCE033">
            <w:pPr>
              <w:pStyle w:val="10"/>
              <w:bidi w:val="0"/>
              <w:jc w:val="center"/>
              <w:rPr>
                <w:rFonts w:hint="eastAsia"/>
                <w:color w:val="000000"/>
              </w:rPr>
            </w:pPr>
            <w:r>
              <w:rPr>
                <w:rFonts w:hint="eastAsia"/>
                <w:color w:val="000000"/>
              </w:rPr>
              <w:t>340</w:t>
            </w:r>
          </w:p>
        </w:tc>
        <w:tc>
          <w:tcPr>
            <w:tcW w:w="39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D98E915">
            <w:pPr>
              <w:pStyle w:val="10"/>
              <w:bidi w:val="0"/>
              <w:jc w:val="center"/>
              <w:rPr>
                <w:rFonts w:hint="eastAsia"/>
                <w:color w:val="000000"/>
              </w:rPr>
            </w:pPr>
            <w:r>
              <w:rPr>
                <w:rFonts w:hint="eastAsia"/>
                <w:color w:val="000000"/>
              </w:rPr>
              <w:t>1776</w:t>
            </w:r>
          </w:p>
        </w:tc>
        <w:tc>
          <w:tcPr>
            <w:tcW w:w="38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2B222C2">
            <w:pPr>
              <w:pStyle w:val="10"/>
              <w:bidi w:val="0"/>
              <w:jc w:val="center"/>
              <w:rPr>
                <w:rFonts w:hint="eastAsia"/>
                <w:color w:val="000000"/>
              </w:rPr>
            </w:pPr>
            <w:r>
              <w:rPr>
                <w:rFonts w:hint="eastAsia"/>
                <w:color w:val="000000"/>
              </w:rPr>
              <w:t>1184</w:t>
            </w:r>
          </w:p>
        </w:tc>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496E187">
            <w:pPr>
              <w:pStyle w:val="10"/>
              <w:bidi w:val="0"/>
              <w:jc w:val="center"/>
              <w:rPr>
                <w:rFonts w:hint="eastAsia"/>
                <w:color w:val="000000"/>
              </w:rPr>
            </w:pPr>
            <w:r>
              <w:rPr>
                <w:rFonts w:hint="eastAsia"/>
                <w:color w:val="000000"/>
              </w:rPr>
              <w:t>592</w:t>
            </w:r>
          </w:p>
        </w:tc>
        <w:tc>
          <w:tcPr>
            <w:tcW w:w="43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7D1D56D">
            <w:pPr>
              <w:pStyle w:val="10"/>
              <w:bidi w:val="0"/>
              <w:jc w:val="center"/>
              <w:rPr>
                <w:rFonts w:hint="eastAsia"/>
                <w:color w:val="000000"/>
              </w:rPr>
            </w:pPr>
            <w:r>
              <w:rPr>
                <w:rFonts w:hint="eastAsia"/>
                <w:color w:val="000000"/>
              </w:rPr>
              <w:t>5997.5</w:t>
            </w:r>
          </w:p>
        </w:tc>
        <w:tc>
          <w:tcPr>
            <w:tcW w:w="655" w:type="pct"/>
            <w:tcBorders>
              <w:top w:val="single" w:color="000000" w:sz="8" w:space="0"/>
              <w:left w:val="single" w:color="000000" w:sz="8" w:space="0"/>
              <w:bottom w:val="single" w:color="000000" w:sz="8" w:space="0"/>
            </w:tcBorders>
            <w:shd w:val="clear" w:color="auto" w:fill="FFFFFF"/>
            <w:vAlign w:val="center"/>
          </w:tcPr>
          <w:p w14:paraId="3771B89C">
            <w:pPr>
              <w:pStyle w:val="10"/>
              <w:bidi w:val="0"/>
              <w:jc w:val="both"/>
              <w:rPr>
                <w:rFonts w:hint="eastAsia"/>
                <w:color w:val="000000"/>
              </w:rPr>
            </w:pPr>
            <w:r>
              <w:rPr>
                <w:rFonts w:hint="eastAsia"/>
                <w:color w:val="000000"/>
              </w:rPr>
              <w:t>水稻、黄烟、花生、蔬菜</w:t>
            </w:r>
          </w:p>
        </w:tc>
      </w:tr>
      <w:tr w14:paraId="120BBA0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3" w:type="pct"/>
            <w:tcBorders>
              <w:top w:val="single" w:color="000000" w:sz="8" w:space="0"/>
              <w:bottom w:val="single" w:color="000000" w:sz="8" w:space="0"/>
              <w:right w:val="single" w:color="000000" w:sz="8" w:space="0"/>
            </w:tcBorders>
            <w:shd w:val="clear" w:color="auto" w:fill="FFFFFF"/>
            <w:vAlign w:val="center"/>
          </w:tcPr>
          <w:p w14:paraId="4FEBA8E8">
            <w:pPr>
              <w:pStyle w:val="10"/>
              <w:bidi w:val="0"/>
              <w:jc w:val="center"/>
              <w:rPr>
                <w:rFonts w:hint="eastAsia"/>
                <w:color w:val="000000"/>
              </w:rPr>
            </w:pPr>
            <w:r>
              <w:rPr>
                <w:rFonts w:hint="eastAsia"/>
                <w:color w:val="000000"/>
              </w:rPr>
              <w:t>元甫</w:t>
            </w:r>
          </w:p>
        </w:tc>
        <w:tc>
          <w:tcPr>
            <w:tcW w:w="42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A28AA05">
            <w:pPr>
              <w:pStyle w:val="10"/>
              <w:bidi w:val="0"/>
              <w:jc w:val="center"/>
              <w:rPr>
                <w:rFonts w:hint="eastAsia"/>
                <w:color w:val="000000"/>
              </w:rPr>
            </w:pPr>
            <w:r>
              <w:rPr>
                <w:rFonts w:hint="eastAsia"/>
                <w:color w:val="000000"/>
              </w:rPr>
              <w:t>12</w:t>
            </w:r>
          </w:p>
        </w:tc>
        <w:tc>
          <w:tcPr>
            <w:tcW w:w="32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D700C56">
            <w:pPr>
              <w:pStyle w:val="10"/>
              <w:bidi w:val="0"/>
              <w:jc w:val="center"/>
              <w:rPr>
                <w:rFonts w:hint="eastAsia"/>
                <w:color w:val="000000"/>
              </w:rPr>
            </w:pPr>
            <w:r>
              <w:rPr>
                <w:rFonts w:hint="eastAsia"/>
                <w:color w:val="000000"/>
              </w:rPr>
              <w:t>368</w:t>
            </w:r>
          </w:p>
        </w:tc>
        <w:tc>
          <w:tcPr>
            <w:tcW w:w="43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62172A4">
            <w:pPr>
              <w:pStyle w:val="10"/>
              <w:bidi w:val="0"/>
              <w:jc w:val="center"/>
              <w:rPr>
                <w:rFonts w:hint="eastAsia"/>
                <w:color w:val="000000"/>
              </w:rPr>
            </w:pPr>
            <w:r>
              <w:rPr>
                <w:rFonts w:hint="eastAsia"/>
                <w:color w:val="000000"/>
              </w:rPr>
              <w:t>1439</w:t>
            </w:r>
          </w:p>
        </w:tc>
        <w:tc>
          <w:tcPr>
            <w:tcW w:w="39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B886E1A">
            <w:pPr>
              <w:pStyle w:val="10"/>
              <w:bidi w:val="0"/>
              <w:jc w:val="center"/>
              <w:rPr>
                <w:rFonts w:hint="eastAsia"/>
                <w:color w:val="000000"/>
              </w:rPr>
            </w:pPr>
            <w:r>
              <w:rPr>
                <w:rFonts w:hint="eastAsia"/>
                <w:color w:val="000000"/>
              </w:rPr>
              <w:t>1215</w:t>
            </w:r>
          </w:p>
        </w:tc>
        <w:tc>
          <w:tcPr>
            <w:tcW w:w="45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2824A51">
            <w:pPr>
              <w:pStyle w:val="10"/>
              <w:bidi w:val="0"/>
              <w:jc w:val="center"/>
              <w:rPr>
                <w:rFonts w:hint="eastAsia"/>
                <w:color w:val="000000"/>
              </w:rPr>
            </w:pPr>
            <w:r>
              <w:rPr>
                <w:rFonts w:hint="eastAsia"/>
                <w:color w:val="000000"/>
              </w:rPr>
              <w:t>714</w:t>
            </w:r>
          </w:p>
        </w:tc>
        <w:tc>
          <w:tcPr>
            <w:tcW w:w="37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C21503B">
            <w:pPr>
              <w:pStyle w:val="10"/>
              <w:bidi w:val="0"/>
              <w:jc w:val="center"/>
              <w:rPr>
                <w:rFonts w:hint="eastAsia"/>
                <w:color w:val="000000"/>
              </w:rPr>
            </w:pPr>
            <w:r>
              <w:rPr>
                <w:rFonts w:hint="eastAsia"/>
                <w:color w:val="000000"/>
              </w:rPr>
              <w:t>369</w:t>
            </w:r>
          </w:p>
        </w:tc>
        <w:tc>
          <w:tcPr>
            <w:tcW w:w="39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3927F69">
            <w:pPr>
              <w:pStyle w:val="10"/>
              <w:bidi w:val="0"/>
              <w:jc w:val="center"/>
              <w:rPr>
                <w:rFonts w:hint="eastAsia"/>
                <w:color w:val="000000"/>
              </w:rPr>
            </w:pPr>
            <w:r>
              <w:rPr>
                <w:rFonts w:hint="eastAsia"/>
                <w:color w:val="000000"/>
              </w:rPr>
              <w:t>2116</w:t>
            </w:r>
          </w:p>
        </w:tc>
        <w:tc>
          <w:tcPr>
            <w:tcW w:w="38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917C3A0">
            <w:pPr>
              <w:pStyle w:val="10"/>
              <w:bidi w:val="0"/>
              <w:jc w:val="center"/>
              <w:rPr>
                <w:rFonts w:hint="eastAsia"/>
                <w:color w:val="000000"/>
              </w:rPr>
            </w:pPr>
            <w:r>
              <w:rPr>
                <w:rFonts w:hint="eastAsia"/>
                <w:color w:val="000000"/>
              </w:rPr>
              <w:t>1862</w:t>
            </w:r>
          </w:p>
        </w:tc>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01D4D0E">
            <w:pPr>
              <w:pStyle w:val="10"/>
              <w:bidi w:val="0"/>
              <w:jc w:val="center"/>
              <w:rPr>
                <w:rFonts w:hint="eastAsia"/>
                <w:color w:val="000000"/>
              </w:rPr>
            </w:pPr>
            <w:r>
              <w:rPr>
                <w:rFonts w:hint="eastAsia"/>
                <w:color w:val="000000"/>
              </w:rPr>
              <w:t>254</w:t>
            </w:r>
          </w:p>
        </w:tc>
        <w:tc>
          <w:tcPr>
            <w:tcW w:w="43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66F4143">
            <w:pPr>
              <w:pStyle w:val="10"/>
              <w:bidi w:val="0"/>
              <w:jc w:val="center"/>
              <w:rPr>
                <w:rFonts w:hint="eastAsia"/>
                <w:color w:val="000000"/>
              </w:rPr>
            </w:pPr>
            <w:r>
              <w:rPr>
                <w:rFonts w:hint="eastAsia"/>
                <w:color w:val="000000"/>
              </w:rPr>
              <w:t>8232</w:t>
            </w:r>
          </w:p>
        </w:tc>
        <w:tc>
          <w:tcPr>
            <w:tcW w:w="655" w:type="pct"/>
            <w:tcBorders>
              <w:top w:val="single" w:color="000000" w:sz="8" w:space="0"/>
              <w:left w:val="single" w:color="000000" w:sz="8" w:space="0"/>
              <w:bottom w:val="single" w:color="000000" w:sz="8" w:space="0"/>
            </w:tcBorders>
            <w:shd w:val="clear" w:color="auto" w:fill="FFFFFF"/>
            <w:vAlign w:val="center"/>
          </w:tcPr>
          <w:p w14:paraId="4A48D71B">
            <w:pPr>
              <w:pStyle w:val="10"/>
              <w:bidi w:val="0"/>
              <w:jc w:val="both"/>
              <w:rPr>
                <w:rFonts w:hint="eastAsia"/>
                <w:color w:val="000000"/>
              </w:rPr>
            </w:pPr>
            <w:r>
              <w:rPr>
                <w:rFonts w:hint="eastAsia"/>
                <w:color w:val="000000"/>
              </w:rPr>
              <w:t>水稻、黄烟、花生、蔬菜</w:t>
            </w:r>
          </w:p>
        </w:tc>
      </w:tr>
      <w:tr w14:paraId="50B3998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3" w:type="pct"/>
            <w:tcBorders>
              <w:top w:val="single" w:color="000000" w:sz="8" w:space="0"/>
              <w:bottom w:val="single" w:color="000000" w:sz="8" w:space="0"/>
              <w:right w:val="single" w:color="000000" w:sz="8" w:space="0"/>
            </w:tcBorders>
            <w:shd w:val="clear" w:color="auto" w:fill="FFFFFF"/>
            <w:vAlign w:val="center"/>
          </w:tcPr>
          <w:p w14:paraId="558FFE63">
            <w:pPr>
              <w:pStyle w:val="10"/>
              <w:bidi w:val="0"/>
              <w:jc w:val="center"/>
              <w:rPr>
                <w:rFonts w:hint="eastAsia"/>
                <w:color w:val="000000"/>
              </w:rPr>
            </w:pPr>
            <w:r>
              <w:rPr>
                <w:rFonts w:hint="eastAsia"/>
                <w:color w:val="000000"/>
              </w:rPr>
              <w:t>江头</w:t>
            </w:r>
          </w:p>
        </w:tc>
        <w:tc>
          <w:tcPr>
            <w:tcW w:w="42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815BAF2">
            <w:pPr>
              <w:pStyle w:val="10"/>
              <w:bidi w:val="0"/>
              <w:jc w:val="center"/>
              <w:rPr>
                <w:rFonts w:hint="eastAsia"/>
                <w:color w:val="000000"/>
              </w:rPr>
            </w:pPr>
            <w:r>
              <w:rPr>
                <w:rFonts w:hint="eastAsia"/>
                <w:color w:val="000000"/>
              </w:rPr>
              <w:t>11</w:t>
            </w:r>
          </w:p>
        </w:tc>
        <w:tc>
          <w:tcPr>
            <w:tcW w:w="32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4A3AB75">
            <w:pPr>
              <w:pStyle w:val="10"/>
              <w:bidi w:val="0"/>
              <w:jc w:val="center"/>
              <w:rPr>
                <w:rFonts w:hint="eastAsia"/>
                <w:color w:val="000000"/>
              </w:rPr>
            </w:pPr>
            <w:r>
              <w:rPr>
                <w:rFonts w:hint="eastAsia"/>
                <w:color w:val="000000"/>
              </w:rPr>
              <w:t>319</w:t>
            </w:r>
          </w:p>
        </w:tc>
        <w:tc>
          <w:tcPr>
            <w:tcW w:w="43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DCB1738">
            <w:pPr>
              <w:pStyle w:val="10"/>
              <w:bidi w:val="0"/>
              <w:jc w:val="center"/>
              <w:rPr>
                <w:rFonts w:hint="eastAsia"/>
                <w:color w:val="000000"/>
              </w:rPr>
            </w:pPr>
            <w:r>
              <w:rPr>
                <w:rFonts w:hint="eastAsia"/>
                <w:color w:val="000000"/>
              </w:rPr>
              <w:t>1458</w:t>
            </w:r>
          </w:p>
        </w:tc>
        <w:tc>
          <w:tcPr>
            <w:tcW w:w="39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8071DB7">
            <w:pPr>
              <w:pStyle w:val="10"/>
              <w:bidi w:val="0"/>
              <w:jc w:val="center"/>
              <w:rPr>
                <w:rFonts w:hint="eastAsia"/>
                <w:color w:val="000000"/>
              </w:rPr>
            </w:pPr>
            <w:r>
              <w:rPr>
                <w:rFonts w:hint="eastAsia"/>
                <w:color w:val="000000"/>
              </w:rPr>
              <w:t>1095</w:t>
            </w:r>
          </w:p>
        </w:tc>
        <w:tc>
          <w:tcPr>
            <w:tcW w:w="45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470DB15">
            <w:pPr>
              <w:pStyle w:val="10"/>
              <w:bidi w:val="0"/>
              <w:jc w:val="center"/>
              <w:rPr>
                <w:rFonts w:hint="eastAsia"/>
                <w:color w:val="000000"/>
              </w:rPr>
            </w:pPr>
            <w:r>
              <w:rPr>
                <w:rFonts w:hint="eastAsia"/>
                <w:color w:val="000000"/>
              </w:rPr>
              <w:t>759</w:t>
            </w:r>
          </w:p>
        </w:tc>
        <w:tc>
          <w:tcPr>
            <w:tcW w:w="37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1528040">
            <w:pPr>
              <w:pStyle w:val="10"/>
              <w:bidi w:val="0"/>
              <w:jc w:val="center"/>
              <w:rPr>
                <w:rFonts w:hint="eastAsia"/>
                <w:color w:val="000000"/>
              </w:rPr>
            </w:pPr>
            <w:r>
              <w:rPr>
                <w:rFonts w:hint="eastAsia"/>
                <w:color w:val="000000"/>
              </w:rPr>
              <w:t>281</w:t>
            </w:r>
          </w:p>
        </w:tc>
        <w:tc>
          <w:tcPr>
            <w:tcW w:w="39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FEAAF36">
            <w:pPr>
              <w:pStyle w:val="10"/>
              <w:bidi w:val="0"/>
              <w:jc w:val="center"/>
              <w:rPr>
                <w:rFonts w:hint="eastAsia"/>
                <w:color w:val="000000"/>
              </w:rPr>
            </w:pPr>
            <w:r>
              <w:rPr>
                <w:rFonts w:hint="eastAsia"/>
                <w:color w:val="000000"/>
              </w:rPr>
              <w:t>1984</w:t>
            </w:r>
          </w:p>
        </w:tc>
        <w:tc>
          <w:tcPr>
            <w:tcW w:w="38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297B7D7">
            <w:pPr>
              <w:pStyle w:val="10"/>
              <w:bidi w:val="0"/>
              <w:jc w:val="center"/>
              <w:rPr>
                <w:rFonts w:hint="eastAsia"/>
                <w:color w:val="000000"/>
              </w:rPr>
            </w:pPr>
            <w:r>
              <w:rPr>
                <w:rFonts w:hint="eastAsia"/>
                <w:color w:val="000000"/>
              </w:rPr>
              <w:t>1752</w:t>
            </w:r>
          </w:p>
        </w:tc>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F388FDA">
            <w:pPr>
              <w:pStyle w:val="10"/>
              <w:bidi w:val="0"/>
              <w:jc w:val="center"/>
              <w:rPr>
                <w:rFonts w:hint="eastAsia"/>
                <w:color w:val="000000"/>
              </w:rPr>
            </w:pPr>
            <w:r>
              <w:rPr>
                <w:rFonts w:hint="eastAsia"/>
                <w:color w:val="000000"/>
              </w:rPr>
              <w:t>232</w:t>
            </w:r>
          </w:p>
        </w:tc>
        <w:tc>
          <w:tcPr>
            <w:tcW w:w="43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13C9075">
            <w:pPr>
              <w:pStyle w:val="10"/>
              <w:bidi w:val="0"/>
              <w:jc w:val="center"/>
              <w:rPr>
                <w:rFonts w:hint="eastAsia"/>
                <w:color w:val="000000"/>
              </w:rPr>
            </w:pPr>
            <w:r>
              <w:rPr>
                <w:rFonts w:hint="eastAsia"/>
                <w:color w:val="000000"/>
              </w:rPr>
              <w:t>30716.5</w:t>
            </w:r>
          </w:p>
        </w:tc>
        <w:tc>
          <w:tcPr>
            <w:tcW w:w="655" w:type="pct"/>
            <w:tcBorders>
              <w:top w:val="single" w:color="000000" w:sz="8" w:space="0"/>
              <w:left w:val="single" w:color="000000" w:sz="8" w:space="0"/>
              <w:bottom w:val="single" w:color="000000" w:sz="8" w:space="0"/>
            </w:tcBorders>
            <w:shd w:val="clear" w:color="auto" w:fill="FFFFFF"/>
            <w:vAlign w:val="center"/>
          </w:tcPr>
          <w:p w14:paraId="25BDC67E">
            <w:pPr>
              <w:pStyle w:val="10"/>
              <w:bidi w:val="0"/>
              <w:jc w:val="both"/>
              <w:rPr>
                <w:rFonts w:hint="eastAsia"/>
                <w:color w:val="000000"/>
              </w:rPr>
            </w:pPr>
            <w:r>
              <w:rPr>
                <w:rFonts w:hint="eastAsia"/>
                <w:color w:val="000000"/>
              </w:rPr>
              <w:t>水稻、花生、竹木、果树</w:t>
            </w:r>
          </w:p>
        </w:tc>
      </w:tr>
      <w:tr w14:paraId="36EAEF2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3" w:type="pct"/>
            <w:tcBorders>
              <w:top w:val="single" w:color="000000" w:sz="8" w:space="0"/>
              <w:bottom w:val="single" w:color="000000" w:sz="8" w:space="0"/>
              <w:right w:val="single" w:color="000000" w:sz="8" w:space="0"/>
            </w:tcBorders>
            <w:shd w:val="clear" w:color="auto" w:fill="FFFFFF"/>
            <w:vAlign w:val="center"/>
          </w:tcPr>
          <w:p w14:paraId="40EFF587">
            <w:pPr>
              <w:pStyle w:val="10"/>
              <w:bidi w:val="0"/>
              <w:jc w:val="center"/>
              <w:rPr>
                <w:rFonts w:hint="eastAsia"/>
                <w:color w:val="000000"/>
              </w:rPr>
            </w:pPr>
            <w:r>
              <w:rPr>
                <w:rFonts w:hint="eastAsia"/>
                <w:color w:val="000000"/>
              </w:rPr>
              <w:t>鱼仙</w:t>
            </w:r>
          </w:p>
        </w:tc>
        <w:tc>
          <w:tcPr>
            <w:tcW w:w="42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A141D97">
            <w:pPr>
              <w:pStyle w:val="10"/>
              <w:bidi w:val="0"/>
              <w:jc w:val="center"/>
              <w:rPr>
                <w:rFonts w:hint="eastAsia"/>
                <w:color w:val="000000"/>
              </w:rPr>
            </w:pPr>
            <w:r>
              <w:rPr>
                <w:rFonts w:hint="eastAsia"/>
                <w:color w:val="000000"/>
              </w:rPr>
              <w:t>14</w:t>
            </w:r>
          </w:p>
        </w:tc>
        <w:tc>
          <w:tcPr>
            <w:tcW w:w="32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C909263">
            <w:pPr>
              <w:pStyle w:val="10"/>
              <w:bidi w:val="0"/>
              <w:jc w:val="center"/>
              <w:rPr>
                <w:rFonts w:hint="eastAsia"/>
                <w:color w:val="000000"/>
              </w:rPr>
            </w:pPr>
            <w:r>
              <w:rPr>
                <w:rFonts w:hint="eastAsia"/>
                <w:color w:val="000000"/>
              </w:rPr>
              <w:t>265</w:t>
            </w:r>
          </w:p>
        </w:tc>
        <w:tc>
          <w:tcPr>
            <w:tcW w:w="43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4B90424">
            <w:pPr>
              <w:pStyle w:val="10"/>
              <w:bidi w:val="0"/>
              <w:jc w:val="center"/>
              <w:rPr>
                <w:rFonts w:hint="eastAsia"/>
                <w:color w:val="000000"/>
              </w:rPr>
            </w:pPr>
            <w:r>
              <w:rPr>
                <w:rFonts w:hint="eastAsia"/>
                <w:color w:val="000000"/>
              </w:rPr>
              <w:t>1237</w:t>
            </w:r>
          </w:p>
        </w:tc>
        <w:tc>
          <w:tcPr>
            <w:tcW w:w="39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8222D22">
            <w:pPr>
              <w:pStyle w:val="10"/>
              <w:bidi w:val="0"/>
              <w:jc w:val="center"/>
              <w:rPr>
                <w:rFonts w:hint="eastAsia"/>
                <w:color w:val="000000"/>
              </w:rPr>
            </w:pPr>
            <w:r>
              <w:rPr>
                <w:rFonts w:hint="eastAsia"/>
                <w:color w:val="000000"/>
              </w:rPr>
              <w:t>777</w:t>
            </w:r>
          </w:p>
        </w:tc>
        <w:tc>
          <w:tcPr>
            <w:tcW w:w="45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8CE881D">
            <w:pPr>
              <w:pStyle w:val="10"/>
              <w:bidi w:val="0"/>
              <w:jc w:val="center"/>
              <w:rPr>
                <w:rFonts w:hint="eastAsia"/>
                <w:color w:val="000000"/>
              </w:rPr>
            </w:pPr>
            <w:r>
              <w:rPr>
                <w:rFonts w:hint="eastAsia"/>
                <w:color w:val="000000"/>
              </w:rPr>
              <w:t>688</w:t>
            </w:r>
          </w:p>
        </w:tc>
        <w:tc>
          <w:tcPr>
            <w:tcW w:w="37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C8681F8">
            <w:pPr>
              <w:pStyle w:val="10"/>
              <w:bidi w:val="0"/>
              <w:jc w:val="center"/>
              <w:rPr>
                <w:rFonts w:hint="eastAsia"/>
                <w:color w:val="000000"/>
              </w:rPr>
            </w:pPr>
            <w:r>
              <w:rPr>
                <w:rFonts w:hint="eastAsia"/>
                <w:color w:val="000000"/>
              </w:rPr>
              <w:t>393</w:t>
            </w:r>
          </w:p>
        </w:tc>
        <w:tc>
          <w:tcPr>
            <w:tcW w:w="39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1C40202">
            <w:pPr>
              <w:pStyle w:val="10"/>
              <w:bidi w:val="0"/>
              <w:jc w:val="center"/>
              <w:rPr>
                <w:rFonts w:hint="eastAsia"/>
                <w:color w:val="000000"/>
              </w:rPr>
            </w:pPr>
            <w:r>
              <w:rPr>
                <w:rFonts w:hint="eastAsia"/>
                <w:color w:val="000000"/>
              </w:rPr>
              <w:t>1100</w:t>
            </w:r>
          </w:p>
        </w:tc>
        <w:tc>
          <w:tcPr>
            <w:tcW w:w="38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9E22D74">
            <w:pPr>
              <w:pStyle w:val="10"/>
              <w:bidi w:val="0"/>
              <w:jc w:val="center"/>
              <w:rPr>
                <w:rFonts w:hint="eastAsia"/>
                <w:color w:val="000000"/>
              </w:rPr>
            </w:pPr>
            <w:r>
              <w:rPr>
                <w:rFonts w:hint="eastAsia"/>
                <w:color w:val="000000"/>
              </w:rPr>
              <w:t>1060</w:t>
            </w:r>
          </w:p>
        </w:tc>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D6FA524">
            <w:pPr>
              <w:pStyle w:val="10"/>
              <w:bidi w:val="0"/>
              <w:jc w:val="center"/>
              <w:rPr>
                <w:rFonts w:hint="eastAsia"/>
                <w:color w:val="000000"/>
              </w:rPr>
            </w:pPr>
            <w:r>
              <w:rPr>
                <w:rFonts w:hint="eastAsia"/>
                <w:color w:val="000000"/>
              </w:rPr>
              <w:t>40</w:t>
            </w:r>
          </w:p>
        </w:tc>
        <w:tc>
          <w:tcPr>
            <w:tcW w:w="43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B07C810">
            <w:pPr>
              <w:pStyle w:val="10"/>
              <w:bidi w:val="0"/>
              <w:jc w:val="center"/>
              <w:rPr>
                <w:rFonts w:hint="eastAsia"/>
                <w:color w:val="000000"/>
              </w:rPr>
            </w:pPr>
            <w:r>
              <w:rPr>
                <w:rFonts w:hint="eastAsia"/>
                <w:color w:val="000000"/>
              </w:rPr>
              <w:t>23342</w:t>
            </w:r>
          </w:p>
        </w:tc>
        <w:tc>
          <w:tcPr>
            <w:tcW w:w="655" w:type="pct"/>
            <w:tcBorders>
              <w:top w:val="single" w:color="000000" w:sz="8" w:space="0"/>
              <w:left w:val="single" w:color="000000" w:sz="8" w:space="0"/>
              <w:bottom w:val="single" w:color="000000" w:sz="8" w:space="0"/>
            </w:tcBorders>
            <w:shd w:val="clear" w:color="auto" w:fill="FFFFFF"/>
            <w:vAlign w:val="center"/>
          </w:tcPr>
          <w:p w14:paraId="48451959">
            <w:pPr>
              <w:pStyle w:val="10"/>
              <w:bidi w:val="0"/>
              <w:jc w:val="both"/>
              <w:rPr>
                <w:rFonts w:hint="eastAsia"/>
                <w:color w:val="000000"/>
              </w:rPr>
            </w:pPr>
            <w:r>
              <w:rPr>
                <w:rFonts w:hint="eastAsia"/>
                <w:color w:val="000000"/>
              </w:rPr>
              <w:t>水稻、花生、竹木、果树</w:t>
            </w:r>
          </w:p>
        </w:tc>
      </w:tr>
      <w:tr w14:paraId="2F09B23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3" w:type="pct"/>
            <w:tcBorders>
              <w:top w:val="single" w:color="000000" w:sz="8" w:space="0"/>
              <w:bottom w:val="single" w:color="000000" w:sz="8" w:space="0"/>
              <w:right w:val="single" w:color="000000" w:sz="8" w:space="0"/>
            </w:tcBorders>
            <w:shd w:val="clear" w:color="auto" w:fill="FFFFFF"/>
            <w:vAlign w:val="center"/>
          </w:tcPr>
          <w:p w14:paraId="1FB031AA">
            <w:pPr>
              <w:pStyle w:val="10"/>
              <w:bidi w:val="0"/>
              <w:jc w:val="center"/>
              <w:rPr>
                <w:rFonts w:hint="eastAsia"/>
                <w:color w:val="000000"/>
              </w:rPr>
            </w:pPr>
            <w:r>
              <w:rPr>
                <w:rFonts w:hint="eastAsia"/>
                <w:color w:val="000000"/>
              </w:rPr>
              <w:t>大汉</w:t>
            </w:r>
          </w:p>
        </w:tc>
        <w:tc>
          <w:tcPr>
            <w:tcW w:w="42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A8AD03D">
            <w:pPr>
              <w:pStyle w:val="10"/>
              <w:bidi w:val="0"/>
              <w:jc w:val="center"/>
              <w:rPr>
                <w:rFonts w:hint="eastAsia"/>
                <w:color w:val="000000"/>
              </w:rPr>
            </w:pPr>
            <w:r>
              <w:rPr>
                <w:rFonts w:hint="eastAsia"/>
                <w:color w:val="000000"/>
              </w:rPr>
              <w:t>7</w:t>
            </w:r>
          </w:p>
        </w:tc>
        <w:tc>
          <w:tcPr>
            <w:tcW w:w="32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BE2B6BD">
            <w:pPr>
              <w:pStyle w:val="10"/>
              <w:bidi w:val="0"/>
              <w:jc w:val="center"/>
              <w:rPr>
                <w:rFonts w:hint="eastAsia"/>
                <w:color w:val="000000"/>
              </w:rPr>
            </w:pPr>
            <w:r>
              <w:rPr>
                <w:rFonts w:hint="eastAsia"/>
                <w:color w:val="000000"/>
              </w:rPr>
              <w:t>164</w:t>
            </w:r>
          </w:p>
        </w:tc>
        <w:tc>
          <w:tcPr>
            <w:tcW w:w="43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D8A8D38">
            <w:pPr>
              <w:pStyle w:val="10"/>
              <w:bidi w:val="0"/>
              <w:jc w:val="center"/>
              <w:rPr>
                <w:rFonts w:hint="eastAsia"/>
                <w:color w:val="000000"/>
              </w:rPr>
            </w:pPr>
            <w:r>
              <w:rPr>
                <w:rFonts w:hint="eastAsia"/>
                <w:color w:val="000000"/>
              </w:rPr>
              <w:t>671</w:t>
            </w:r>
          </w:p>
        </w:tc>
        <w:tc>
          <w:tcPr>
            <w:tcW w:w="39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E63B25F">
            <w:pPr>
              <w:pStyle w:val="10"/>
              <w:bidi w:val="0"/>
              <w:jc w:val="center"/>
              <w:rPr>
                <w:rFonts w:hint="eastAsia"/>
                <w:color w:val="000000"/>
              </w:rPr>
            </w:pPr>
            <w:r>
              <w:rPr>
                <w:rFonts w:hint="eastAsia"/>
                <w:color w:val="000000"/>
              </w:rPr>
              <w:t>471</w:t>
            </w:r>
          </w:p>
        </w:tc>
        <w:tc>
          <w:tcPr>
            <w:tcW w:w="45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189196C">
            <w:pPr>
              <w:pStyle w:val="10"/>
              <w:bidi w:val="0"/>
              <w:jc w:val="center"/>
              <w:rPr>
                <w:rFonts w:hint="eastAsia"/>
                <w:color w:val="000000"/>
              </w:rPr>
            </w:pPr>
            <w:r>
              <w:rPr>
                <w:rFonts w:hint="eastAsia"/>
                <w:color w:val="000000"/>
              </w:rPr>
              <w:t>375</w:t>
            </w:r>
          </w:p>
        </w:tc>
        <w:tc>
          <w:tcPr>
            <w:tcW w:w="37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539672E">
            <w:pPr>
              <w:pStyle w:val="10"/>
              <w:bidi w:val="0"/>
              <w:jc w:val="center"/>
              <w:rPr>
                <w:rFonts w:hint="eastAsia"/>
                <w:color w:val="000000"/>
              </w:rPr>
            </w:pPr>
            <w:r>
              <w:rPr>
                <w:rFonts w:hint="eastAsia"/>
                <w:color w:val="000000"/>
              </w:rPr>
              <w:t>220</w:t>
            </w:r>
          </w:p>
        </w:tc>
        <w:tc>
          <w:tcPr>
            <w:tcW w:w="39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FD89EC7">
            <w:pPr>
              <w:pStyle w:val="10"/>
              <w:bidi w:val="0"/>
              <w:jc w:val="center"/>
              <w:rPr>
                <w:rFonts w:hint="eastAsia"/>
                <w:color w:val="000000"/>
              </w:rPr>
            </w:pPr>
            <w:r>
              <w:rPr>
                <w:rFonts w:hint="eastAsia"/>
                <w:color w:val="000000"/>
              </w:rPr>
              <w:t>1010</w:t>
            </w:r>
          </w:p>
        </w:tc>
        <w:tc>
          <w:tcPr>
            <w:tcW w:w="38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EC32E38">
            <w:pPr>
              <w:pStyle w:val="10"/>
              <w:bidi w:val="0"/>
              <w:jc w:val="center"/>
              <w:rPr>
                <w:rFonts w:hint="eastAsia"/>
                <w:color w:val="000000"/>
              </w:rPr>
            </w:pPr>
            <w:r>
              <w:rPr>
                <w:rFonts w:hint="eastAsia"/>
                <w:color w:val="000000"/>
              </w:rPr>
              <w:t>993</w:t>
            </w:r>
          </w:p>
        </w:tc>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25DD6C9">
            <w:pPr>
              <w:pStyle w:val="10"/>
              <w:bidi w:val="0"/>
              <w:jc w:val="center"/>
              <w:rPr>
                <w:rFonts w:hint="eastAsia"/>
                <w:color w:val="000000"/>
              </w:rPr>
            </w:pPr>
            <w:r>
              <w:rPr>
                <w:rFonts w:hint="eastAsia"/>
                <w:color w:val="000000"/>
              </w:rPr>
              <w:t>17</w:t>
            </w:r>
          </w:p>
        </w:tc>
        <w:tc>
          <w:tcPr>
            <w:tcW w:w="43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2275E1A">
            <w:pPr>
              <w:pStyle w:val="10"/>
              <w:bidi w:val="0"/>
              <w:jc w:val="center"/>
              <w:rPr>
                <w:rFonts w:hint="eastAsia"/>
                <w:color w:val="000000"/>
              </w:rPr>
            </w:pPr>
            <w:r>
              <w:rPr>
                <w:rFonts w:hint="eastAsia"/>
                <w:color w:val="000000"/>
              </w:rPr>
              <w:t>23603.2</w:t>
            </w:r>
          </w:p>
        </w:tc>
        <w:tc>
          <w:tcPr>
            <w:tcW w:w="655" w:type="pct"/>
            <w:tcBorders>
              <w:top w:val="single" w:color="000000" w:sz="8" w:space="0"/>
              <w:left w:val="single" w:color="000000" w:sz="8" w:space="0"/>
              <w:bottom w:val="single" w:color="000000" w:sz="8" w:space="0"/>
            </w:tcBorders>
            <w:shd w:val="clear" w:color="auto" w:fill="FFFFFF"/>
            <w:vAlign w:val="center"/>
          </w:tcPr>
          <w:p w14:paraId="1AA3FED0">
            <w:pPr>
              <w:pStyle w:val="10"/>
              <w:bidi w:val="0"/>
              <w:jc w:val="both"/>
              <w:rPr>
                <w:rFonts w:hint="eastAsia"/>
                <w:color w:val="000000"/>
              </w:rPr>
            </w:pPr>
            <w:r>
              <w:rPr>
                <w:rFonts w:hint="eastAsia"/>
                <w:color w:val="000000"/>
              </w:rPr>
              <w:t>水稻、花生、竹木、果树、油茶</w:t>
            </w:r>
          </w:p>
        </w:tc>
      </w:tr>
      <w:tr w14:paraId="4102E3F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3" w:type="pct"/>
            <w:tcBorders>
              <w:top w:val="single" w:color="000000" w:sz="8" w:space="0"/>
              <w:bottom w:val="single" w:color="000000" w:sz="8" w:space="0"/>
              <w:right w:val="single" w:color="000000" w:sz="8" w:space="0"/>
            </w:tcBorders>
            <w:shd w:val="clear" w:color="auto" w:fill="FFFFFF"/>
            <w:vAlign w:val="center"/>
          </w:tcPr>
          <w:p w14:paraId="6121CDC7">
            <w:pPr>
              <w:pStyle w:val="10"/>
              <w:bidi w:val="0"/>
              <w:jc w:val="center"/>
              <w:rPr>
                <w:rFonts w:hint="eastAsia"/>
                <w:color w:val="000000"/>
              </w:rPr>
            </w:pPr>
            <w:r>
              <w:rPr>
                <w:rFonts w:hint="eastAsia"/>
                <w:color w:val="000000"/>
              </w:rPr>
              <w:t>南甫</w:t>
            </w:r>
          </w:p>
        </w:tc>
        <w:tc>
          <w:tcPr>
            <w:tcW w:w="42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ED89459">
            <w:pPr>
              <w:pStyle w:val="10"/>
              <w:bidi w:val="0"/>
              <w:jc w:val="center"/>
              <w:rPr>
                <w:rFonts w:hint="eastAsia"/>
                <w:color w:val="000000"/>
              </w:rPr>
            </w:pPr>
            <w:r>
              <w:rPr>
                <w:rFonts w:hint="eastAsia"/>
                <w:color w:val="000000"/>
              </w:rPr>
              <w:t>11</w:t>
            </w:r>
          </w:p>
        </w:tc>
        <w:tc>
          <w:tcPr>
            <w:tcW w:w="32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7DB395D">
            <w:pPr>
              <w:pStyle w:val="10"/>
              <w:bidi w:val="0"/>
              <w:jc w:val="center"/>
              <w:rPr>
                <w:rFonts w:hint="eastAsia"/>
                <w:color w:val="000000"/>
              </w:rPr>
            </w:pPr>
            <w:r>
              <w:rPr>
                <w:rFonts w:hint="eastAsia"/>
                <w:color w:val="000000"/>
              </w:rPr>
              <w:t>286</w:t>
            </w:r>
          </w:p>
        </w:tc>
        <w:tc>
          <w:tcPr>
            <w:tcW w:w="43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8209F9D">
            <w:pPr>
              <w:pStyle w:val="10"/>
              <w:bidi w:val="0"/>
              <w:jc w:val="center"/>
              <w:rPr>
                <w:rFonts w:hint="eastAsia"/>
                <w:color w:val="000000"/>
              </w:rPr>
            </w:pPr>
            <w:r>
              <w:rPr>
                <w:rFonts w:hint="eastAsia"/>
                <w:color w:val="000000"/>
              </w:rPr>
              <w:t>1204</w:t>
            </w:r>
          </w:p>
        </w:tc>
        <w:tc>
          <w:tcPr>
            <w:tcW w:w="39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B4F9932">
            <w:pPr>
              <w:pStyle w:val="10"/>
              <w:bidi w:val="0"/>
              <w:jc w:val="center"/>
              <w:rPr>
                <w:rFonts w:hint="eastAsia"/>
                <w:color w:val="000000"/>
              </w:rPr>
            </w:pPr>
            <w:r>
              <w:rPr>
                <w:rFonts w:hint="eastAsia"/>
                <w:color w:val="000000"/>
              </w:rPr>
              <w:t>838</w:t>
            </w:r>
          </w:p>
        </w:tc>
        <w:tc>
          <w:tcPr>
            <w:tcW w:w="45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87ADDAA">
            <w:pPr>
              <w:pStyle w:val="10"/>
              <w:bidi w:val="0"/>
              <w:jc w:val="center"/>
              <w:rPr>
                <w:rFonts w:hint="eastAsia"/>
                <w:color w:val="000000"/>
              </w:rPr>
            </w:pPr>
            <w:r>
              <w:rPr>
                <w:rFonts w:hint="eastAsia"/>
                <w:color w:val="000000"/>
              </w:rPr>
              <w:t>671</w:t>
            </w:r>
          </w:p>
        </w:tc>
        <w:tc>
          <w:tcPr>
            <w:tcW w:w="37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3ACF208">
            <w:pPr>
              <w:pStyle w:val="10"/>
              <w:bidi w:val="0"/>
              <w:jc w:val="center"/>
              <w:rPr>
                <w:rFonts w:hint="eastAsia"/>
                <w:color w:val="000000"/>
              </w:rPr>
            </w:pPr>
            <w:r>
              <w:rPr>
                <w:rFonts w:hint="eastAsia"/>
                <w:color w:val="000000"/>
              </w:rPr>
              <w:t>383</w:t>
            </w:r>
          </w:p>
        </w:tc>
        <w:tc>
          <w:tcPr>
            <w:tcW w:w="39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4C744B3">
            <w:pPr>
              <w:pStyle w:val="10"/>
              <w:bidi w:val="0"/>
              <w:jc w:val="center"/>
              <w:rPr>
                <w:rFonts w:hint="eastAsia"/>
                <w:color w:val="000000"/>
              </w:rPr>
            </w:pPr>
            <w:r>
              <w:rPr>
                <w:rFonts w:hint="eastAsia"/>
                <w:color w:val="000000"/>
              </w:rPr>
              <w:t>1460</w:t>
            </w:r>
          </w:p>
        </w:tc>
        <w:tc>
          <w:tcPr>
            <w:tcW w:w="38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7FE2D62">
            <w:pPr>
              <w:pStyle w:val="10"/>
              <w:bidi w:val="0"/>
              <w:jc w:val="center"/>
              <w:rPr>
                <w:rFonts w:hint="eastAsia"/>
                <w:color w:val="000000"/>
              </w:rPr>
            </w:pPr>
            <w:r>
              <w:rPr>
                <w:rFonts w:hint="eastAsia"/>
                <w:color w:val="000000"/>
              </w:rPr>
              <w:t>1429</w:t>
            </w:r>
          </w:p>
        </w:tc>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1D39C4C">
            <w:pPr>
              <w:pStyle w:val="10"/>
              <w:bidi w:val="0"/>
              <w:jc w:val="center"/>
              <w:rPr>
                <w:rFonts w:hint="eastAsia"/>
                <w:color w:val="000000"/>
              </w:rPr>
            </w:pPr>
            <w:r>
              <w:rPr>
                <w:rFonts w:hint="eastAsia"/>
                <w:color w:val="000000"/>
              </w:rPr>
              <w:t>31</w:t>
            </w:r>
          </w:p>
        </w:tc>
        <w:tc>
          <w:tcPr>
            <w:tcW w:w="43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E672981">
            <w:pPr>
              <w:pStyle w:val="10"/>
              <w:bidi w:val="0"/>
              <w:jc w:val="center"/>
              <w:rPr>
                <w:rFonts w:hint="eastAsia"/>
                <w:color w:val="000000"/>
              </w:rPr>
            </w:pPr>
            <w:r>
              <w:rPr>
                <w:rFonts w:hint="eastAsia"/>
                <w:color w:val="000000"/>
              </w:rPr>
              <w:t>24696</w:t>
            </w:r>
          </w:p>
        </w:tc>
        <w:tc>
          <w:tcPr>
            <w:tcW w:w="655" w:type="pct"/>
            <w:tcBorders>
              <w:top w:val="single" w:color="000000" w:sz="8" w:space="0"/>
              <w:left w:val="single" w:color="000000" w:sz="8" w:space="0"/>
              <w:bottom w:val="single" w:color="000000" w:sz="8" w:space="0"/>
            </w:tcBorders>
            <w:shd w:val="clear" w:color="auto" w:fill="FFFFFF"/>
            <w:vAlign w:val="center"/>
          </w:tcPr>
          <w:p w14:paraId="2FAF5F6D">
            <w:pPr>
              <w:pStyle w:val="10"/>
              <w:bidi w:val="0"/>
              <w:jc w:val="both"/>
              <w:rPr>
                <w:rFonts w:hint="eastAsia"/>
                <w:color w:val="000000"/>
              </w:rPr>
            </w:pPr>
            <w:r>
              <w:rPr>
                <w:rFonts w:hint="eastAsia"/>
                <w:color w:val="000000"/>
              </w:rPr>
              <w:t>水稻、花生、竹木、果树</w:t>
            </w:r>
          </w:p>
        </w:tc>
      </w:tr>
      <w:tr w14:paraId="0065825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3" w:type="pct"/>
            <w:tcBorders>
              <w:top w:val="single" w:color="000000" w:sz="8" w:space="0"/>
              <w:bottom w:val="single" w:color="000000" w:sz="8" w:space="0"/>
              <w:right w:val="single" w:color="000000" w:sz="8" w:space="0"/>
            </w:tcBorders>
            <w:shd w:val="clear" w:color="auto" w:fill="FFFFFF"/>
            <w:vAlign w:val="center"/>
          </w:tcPr>
          <w:p w14:paraId="36B4EAE9">
            <w:pPr>
              <w:pStyle w:val="10"/>
              <w:bidi w:val="0"/>
              <w:jc w:val="center"/>
              <w:rPr>
                <w:rFonts w:hint="eastAsia"/>
                <w:color w:val="000000"/>
              </w:rPr>
            </w:pPr>
            <w:r>
              <w:rPr>
                <w:rFonts w:hint="eastAsia"/>
                <w:color w:val="000000"/>
              </w:rPr>
              <w:t>武岭</w:t>
            </w:r>
          </w:p>
        </w:tc>
        <w:tc>
          <w:tcPr>
            <w:tcW w:w="42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1D4D83C">
            <w:pPr>
              <w:pStyle w:val="10"/>
              <w:bidi w:val="0"/>
              <w:jc w:val="center"/>
              <w:rPr>
                <w:rFonts w:hint="eastAsia"/>
                <w:color w:val="000000"/>
              </w:rPr>
            </w:pPr>
            <w:r>
              <w:rPr>
                <w:rFonts w:hint="eastAsia"/>
                <w:color w:val="000000"/>
              </w:rPr>
              <w:t>11</w:t>
            </w:r>
          </w:p>
        </w:tc>
        <w:tc>
          <w:tcPr>
            <w:tcW w:w="32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33D2A3F">
            <w:pPr>
              <w:pStyle w:val="10"/>
              <w:bidi w:val="0"/>
              <w:jc w:val="center"/>
              <w:rPr>
                <w:rFonts w:hint="eastAsia"/>
                <w:color w:val="000000"/>
              </w:rPr>
            </w:pPr>
            <w:r>
              <w:rPr>
                <w:rFonts w:hint="eastAsia"/>
                <w:color w:val="000000"/>
              </w:rPr>
              <w:t>361</w:t>
            </w:r>
          </w:p>
        </w:tc>
        <w:tc>
          <w:tcPr>
            <w:tcW w:w="43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F8502BF">
            <w:pPr>
              <w:pStyle w:val="10"/>
              <w:bidi w:val="0"/>
              <w:jc w:val="center"/>
              <w:rPr>
                <w:rFonts w:hint="eastAsia"/>
                <w:color w:val="000000"/>
              </w:rPr>
            </w:pPr>
            <w:r>
              <w:rPr>
                <w:rFonts w:hint="eastAsia"/>
                <w:color w:val="000000"/>
              </w:rPr>
              <w:t>1315</w:t>
            </w:r>
          </w:p>
        </w:tc>
        <w:tc>
          <w:tcPr>
            <w:tcW w:w="39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4A3DBB4">
            <w:pPr>
              <w:pStyle w:val="10"/>
              <w:bidi w:val="0"/>
              <w:jc w:val="center"/>
              <w:rPr>
                <w:rFonts w:hint="eastAsia"/>
                <w:color w:val="000000"/>
              </w:rPr>
            </w:pPr>
            <w:r>
              <w:rPr>
                <w:rFonts w:hint="eastAsia"/>
                <w:color w:val="000000"/>
              </w:rPr>
              <w:t>911</w:t>
            </w:r>
          </w:p>
        </w:tc>
        <w:tc>
          <w:tcPr>
            <w:tcW w:w="45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03806AB">
            <w:pPr>
              <w:pStyle w:val="10"/>
              <w:bidi w:val="0"/>
              <w:jc w:val="center"/>
              <w:rPr>
                <w:rFonts w:hint="eastAsia"/>
                <w:color w:val="000000"/>
              </w:rPr>
            </w:pPr>
            <w:r>
              <w:rPr>
                <w:rFonts w:hint="eastAsia"/>
                <w:color w:val="000000"/>
              </w:rPr>
              <w:t>728</w:t>
            </w:r>
          </w:p>
        </w:tc>
        <w:tc>
          <w:tcPr>
            <w:tcW w:w="37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B711376">
            <w:pPr>
              <w:pStyle w:val="10"/>
              <w:bidi w:val="0"/>
              <w:jc w:val="center"/>
              <w:rPr>
                <w:rFonts w:hint="eastAsia"/>
                <w:color w:val="000000"/>
              </w:rPr>
            </w:pPr>
            <w:r>
              <w:rPr>
                <w:rFonts w:hint="eastAsia"/>
                <w:color w:val="000000"/>
              </w:rPr>
              <w:t>481</w:t>
            </w:r>
          </w:p>
        </w:tc>
        <w:tc>
          <w:tcPr>
            <w:tcW w:w="39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C7FB272">
            <w:pPr>
              <w:pStyle w:val="10"/>
              <w:bidi w:val="0"/>
              <w:jc w:val="center"/>
              <w:rPr>
                <w:rFonts w:hint="eastAsia"/>
                <w:color w:val="000000"/>
              </w:rPr>
            </w:pPr>
            <w:r>
              <w:rPr>
                <w:rFonts w:hint="eastAsia"/>
                <w:color w:val="000000"/>
              </w:rPr>
              <w:t>1589</w:t>
            </w:r>
          </w:p>
        </w:tc>
        <w:tc>
          <w:tcPr>
            <w:tcW w:w="38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96A1433">
            <w:pPr>
              <w:pStyle w:val="10"/>
              <w:bidi w:val="0"/>
              <w:jc w:val="center"/>
              <w:rPr>
                <w:rFonts w:hint="eastAsia"/>
                <w:color w:val="000000"/>
              </w:rPr>
            </w:pPr>
            <w:r>
              <w:rPr>
                <w:rFonts w:hint="eastAsia"/>
                <w:color w:val="000000"/>
              </w:rPr>
              <w:t>1470</w:t>
            </w:r>
          </w:p>
        </w:tc>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D481294">
            <w:pPr>
              <w:pStyle w:val="10"/>
              <w:bidi w:val="0"/>
              <w:jc w:val="center"/>
              <w:rPr>
                <w:rFonts w:hint="eastAsia"/>
                <w:color w:val="000000"/>
              </w:rPr>
            </w:pPr>
            <w:r>
              <w:rPr>
                <w:rFonts w:hint="eastAsia"/>
                <w:color w:val="000000"/>
              </w:rPr>
              <w:t>119</w:t>
            </w:r>
          </w:p>
        </w:tc>
        <w:tc>
          <w:tcPr>
            <w:tcW w:w="43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8255299">
            <w:pPr>
              <w:pStyle w:val="10"/>
              <w:bidi w:val="0"/>
              <w:jc w:val="center"/>
              <w:rPr>
                <w:rFonts w:hint="eastAsia"/>
                <w:color w:val="000000"/>
              </w:rPr>
            </w:pPr>
            <w:r>
              <w:rPr>
                <w:rFonts w:hint="eastAsia"/>
                <w:color w:val="000000"/>
              </w:rPr>
              <w:t>30273.5</w:t>
            </w:r>
          </w:p>
        </w:tc>
        <w:tc>
          <w:tcPr>
            <w:tcW w:w="655" w:type="pct"/>
            <w:tcBorders>
              <w:top w:val="single" w:color="000000" w:sz="8" w:space="0"/>
              <w:left w:val="single" w:color="000000" w:sz="8" w:space="0"/>
              <w:bottom w:val="single" w:color="000000" w:sz="8" w:space="0"/>
            </w:tcBorders>
            <w:shd w:val="clear" w:color="auto" w:fill="FFFFFF"/>
            <w:vAlign w:val="center"/>
          </w:tcPr>
          <w:p w14:paraId="100E5F12">
            <w:pPr>
              <w:pStyle w:val="10"/>
              <w:bidi w:val="0"/>
              <w:jc w:val="both"/>
              <w:rPr>
                <w:rFonts w:hint="eastAsia"/>
                <w:color w:val="000000"/>
              </w:rPr>
            </w:pPr>
            <w:r>
              <w:rPr>
                <w:rFonts w:hint="eastAsia"/>
                <w:color w:val="000000"/>
              </w:rPr>
              <w:t>水稻、花生、竹木、果树、金银花、花卉</w:t>
            </w:r>
          </w:p>
        </w:tc>
      </w:tr>
      <w:tr w14:paraId="2B06360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3" w:type="pct"/>
            <w:tcBorders>
              <w:top w:val="single" w:color="000000" w:sz="8" w:space="0"/>
              <w:bottom w:val="single" w:color="000000" w:sz="8" w:space="0"/>
              <w:right w:val="single" w:color="000000" w:sz="8" w:space="0"/>
            </w:tcBorders>
            <w:shd w:val="clear" w:color="auto" w:fill="FFFFFF"/>
            <w:vAlign w:val="center"/>
          </w:tcPr>
          <w:p w14:paraId="13E82C84">
            <w:pPr>
              <w:pStyle w:val="10"/>
              <w:bidi w:val="0"/>
              <w:jc w:val="center"/>
              <w:rPr>
                <w:rFonts w:hint="eastAsia"/>
                <w:color w:val="000000"/>
              </w:rPr>
            </w:pPr>
            <w:r>
              <w:rPr>
                <w:rFonts w:hint="eastAsia"/>
                <w:color w:val="000000"/>
              </w:rPr>
              <w:t>小竹</w:t>
            </w:r>
          </w:p>
        </w:tc>
        <w:tc>
          <w:tcPr>
            <w:tcW w:w="42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86A6496">
            <w:pPr>
              <w:pStyle w:val="10"/>
              <w:bidi w:val="0"/>
              <w:jc w:val="center"/>
              <w:rPr>
                <w:rFonts w:hint="eastAsia"/>
                <w:color w:val="000000"/>
              </w:rPr>
            </w:pPr>
            <w:r>
              <w:rPr>
                <w:rFonts w:hint="eastAsia"/>
                <w:color w:val="000000"/>
              </w:rPr>
              <w:t>8</w:t>
            </w:r>
          </w:p>
        </w:tc>
        <w:tc>
          <w:tcPr>
            <w:tcW w:w="32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5A39B4C">
            <w:pPr>
              <w:pStyle w:val="10"/>
              <w:bidi w:val="0"/>
              <w:jc w:val="center"/>
              <w:rPr>
                <w:rFonts w:hint="eastAsia"/>
                <w:color w:val="000000"/>
              </w:rPr>
            </w:pPr>
            <w:r>
              <w:rPr>
                <w:rFonts w:hint="eastAsia"/>
                <w:color w:val="000000"/>
              </w:rPr>
              <w:t>254</w:t>
            </w:r>
          </w:p>
        </w:tc>
        <w:tc>
          <w:tcPr>
            <w:tcW w:w="43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6AA4E0E">
            <w:pPr>
              <w:pStyle w:val="10"/>
              <w:bidi w:val="0"/>
              <w:jc w:val="center"/>
              <w:rPr>
                <w:rFonts w:hint="eastAsia"/>
                <w:color w:val="000000"/>
              </w:rPr>
            </w:pPr>
            <w:r>
              <w:rPr>
                <w:rFonts w:hint="eastAsia"/>
                <w:color w:val="000000"/>
              </w:rPr>
              <w:t>1116</w:t>
            </w:r>
          </w:p>
        </w:tc>
        <w:tc>
          <w:tcPr>
            <w:tcW w:w="39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AA20B12">
            <w:pPr>
              <w:pStyle w:val="10"/>
              <w:bidi w:val="0"/>
              <w:jc w:val="center"/>
              <w:rPr>
                <w:rFonts w:hint="eastAsia"/>
                <w:color w:val="000000"/>
              </w:rPr>
            </w:pPr>
            <w:r>
              <w:rPr>
                <w:rFonts w:hint="eastAsia"/>
                <w:color w:val="000000"/>
              </w:rPr>
              <w:t>587</w:t>
            </w:r>
          </w:p>
        </w:tc>
        <w:tc>
          <w:tcPr>
            <w:tcW w:w="45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7080B21">
            <w:pPr>
              <w:pStyle w:val="10"/>
              <w:bidi w:val="0"/>
              <w:jc w:val="center"/>
              <w:rPr>
                <w:rFonts w:hint="eastAsia"/>
                <w:color w:val="000000"/>
              </w:rPr>
            </w:pPr>
            <w:r>
              <w:rPr>
                <w:rFonts w:hint="eastAsia"/>
                <w:color w:val="000000"/>
              </w:rPr>
              <w:t>631</w:t>
            </w:r>
          </w:p>
        </w:tc>
        <w:tc>
          <w:tcPr>
            <w:tcW w:w="37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7DF5A6A">
            <w:pPr>
              <w:pStyle w:val="10"/>
              <w:bidi w:val="0"/>
              <w:jc w:val="center"/>
              <w:rPr>
                <w:rFonts w:hint="eastAsia"/>
                <w:color w:val="000000"/>
              </w:rPr>
            </w:pPr>
            <w:r>
              <w:rPr>
                <w:rFonts w:hint="eastAsia"/>
                <w:color w:val="000000"/>
              </w:rPr>
              <w:t>345</w:t>
            </w:r>
          </w:p>
        </w:tc>
        <w:tc>
          <w:tcPr>
            <w:tcW w:w="39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5DFC808">
            <w:pPr>
              <w:pStyle w:val="10"/>
              <w:bidi w:val="0"/>
              <w:jc w:val="center"/>
              <w:rPr>
                <w:rFonts w:hint="eastAsia"/>
                <w:color w:val="000000"/>
              </w:rPr>
            </w:pPr>
            <w:r>
              <w:rPr>
                <w:rFonts w:hint="eastAsia"/>
                <w:color w:val="000000"/>
              </w:rPr>
              <w:t>1412</w:t>
            </w:r>
          </w:p>
        </w:tc>
        <w:tc>
          <w:tcPr>
            <w:tcW w:w="38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06FA716">
            <w:pPr>
              <w:pStyle w:val="10"/>
              <w:bidi w:val="0"/>
              <w:jc w:val="center"/>
              <w:rPr>
                <w:rFonts w:hint="eastAsia"/>
                <w:color w:val="000000"/>
              </w:rPr>
            </w:pPr>
            <w:r>
              <w:rPr>
                <w:rFonts w:hint="eastAsia"/>
                <w:color w:val="000000"/>
              </w:rPr>
              <w:t>1387</w:t>
            </w:r>
          </w:p>
        </w:tc>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98618BF">
            <w:pPr>
              <w:pStyle w:val="10"/>
              <w:bidi w:val="0"/>
              <w:jc w:val="center"/>
              <w:rPr>
                <w:rFonts w:hint="eastAsia"/>
                <w:color w:val="000000"/>
              </w:rPr>
            </w:pPr>
            <w:r>
              <w:rPr>
                <w:rFonts w:hint="eastAsia"/>
                <w:color w:val="000000"/>
              </w:rPr>
              <w:t>25</w:t>
            </w:r>
          </w:p>
        </w:tc>
        <w:tc>
          <w:tcPr>
            <w:tcW w:w="43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2D9906E">
            <w:pPr>
              <w:pStyle w:val="10"/>
              <w:bidi w:val="0"/>
              <w:jc w:val="center"/>
              <w:rPr>
                <w:rFonts w:hint="eastAsia"/>
                <w:color w:val="000000"/>
              </w:rPr>
            </w:pPr>
            <w:r>
              <w:rPr>
                <w:rFonts w:hint="eastAsia"/>
                <w:color w:val="000000"/>
              </w:rPr>
              <w:t>21592.5</w:t>
            </w:r>
          </w:p>
        </w:tc>
        <w:tc>
          <w:tcPr>
            <w:tcW w:w="655" w:type="pct"/>
            <w:tcBorders>
              <w:top w:val="single" w:color="000000" w:sz="8" w:space="0"/>
              <w:left w:val="single" w:color="000000" w:sz="8" w:space="0"/>
              <w:bottom w:val="single" w:color="000000" w:sz="8" w:space="0"/>
            </w:tcBorders>
            <w:shd w:val="clear" w:color="auto" w:fill="FFFFFF"/>
            <w:vAlign w:val="center"/>
          </w:tcPr>
          <w:p w14:paraId="67A830E2">
            <w:pPr>
              <w:pStyle w:val="10"/>
              <w:bidi w:val="0"/>
              <w:jc w:val="both"/>
              <w:rPr>
                <w:rFonts w:hint="eastAsia"/>
                <w:color w:val="000000"/>
              </w:rPr>
            </w:pPr>
            <w:r>
              <w:rPr>
                <w:rFonts w:hint="eastAsia"/>
                <w:color w:val="000000"/>
              </w:rPr>
              <w:t>水稻、黄烟、竹木、果树</w:t>
            </w:r>
          </w:p>
          <w:p w14:paraId="2FD786CE">
            <w:pPr>
              <w:pStyle w:val="10"/>
              <w:bidi w:val="0"/>
              <w:jc w:val="both"/>
              <w:rPr>
                <w:rFonts w:hint="eastAsia"/>
                <w:color w:val="000000"/>
              </w:rPr>
            </w:pPr>
            <w:r>
              <w:rPr>
                <w:rFonts w:hint="eastAsia"/>
                <w:color w:val="000000"/>
              </w:rPr>
              <w:t>茶叶、油茶</w:t>
            </w:r>
          </w:p>
        </w:tc>
      </w:tr>
      <w:tr w14:paraId="69CCEA9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3" w:type="pct"/>
            <w:tcBorders>
              <w:top w:val="single" w:color="000000" w:sz="8" w:space="0"/>
              <w:bottom w:val="single" w:color="000000" w:sz="8" w:space="0"/>
              <w:right w:val="single" w:color="000000" w:sz="8" w:space="0"/>
            </w:tcBorders>
            <w:shd w:val="clear" w:color="auto" w:fill="FFFFFF"/>
            <w:vAlign w:val="center"/>
          </w:tcPr>
          <w:p w14:paraId="458635DD">
            <w:pPr>
              <w:pStyle w:val="10"/>
              <w:bidi w:val="0"/>
              <w:jc w:val="center"/>
              <w:rPr>
                <w:rFonts w:hint="eastAsia"/>
                <w:color w:val="000000"/>
              </w:rPr>
            </w:pPr>
            <w:r>
              <w:rPr>
                <w:rFonts w:hint="eastAsia"/>
                <w:color w:val="000000"/>
              </w:rPr>
              <w:t>居委会</w:t>
            </w:r>
          </w:p>
        </w:tc>
        <w:tc>
          <w:tcPr>
            <w:tcW w:w="42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94C3D18">
            <w:pPr>
              <w:pStyle w:val="10"/>
              <w:bidi w:val="0"/>
              <w:jc w:val="center"/>
              <w:rPr>
                <w:rFonts w:hint="eastAsia"/>
                <w:color w:val="000000"/>
              </w:rPr>
            </w:pPr>
            <w:r>
              <w:rPr>
                <w:rFonts w:hint="eastAsia"/>
                <w:color w:val="000000"/>
              </w:rPr>
              <w:t>/</w:t>
            </w:r>
          </w:p>
        </w:tc>
        <w:tc>
          <w:tcPr>
            <w:tcW w:w="32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2715641">
            <w:pPr>
              <w:pStyle w:val="10"/>
              <w:bidi w:val="0"/>
              <w:jc w:val="center"/>
              <w:rPr>
                <w:rFonts w:hint="eastAsia"/>
                <w:color w:val="000000"/>
              </w:rPr>
            </w:pPr>
            <w:r>
              <w:rPr>
                <w:rFonts w:hint="eastAsia"/>
                <w:color w:val="000000"/>
              </w:rPr>
              <w:t>226</w:t>
            </w:r>
          </w:p>
        </w:tc>
        <w:tc>
          <w:tcPr>
            <w:tcW w:w="43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7866FE8">
            <w:pPr>
              <w:pStyle w:val="10"/>
              <w:bidi w:val="0"/>
              <w:jc w:val="center"/>
              <w:rPr>
                <w:rFonts w:hint="eastAsia"/>
                <w:color w:val="000000"/>
              </w:rPr>
            </w:pPr>
            <w:r>
              <w:rPr>
                <w:rFonts w:hint="eastAsia"/>
                <w:color w:val="000000"/>
              </w:rPr>
              <w:t>790</w:t>
            </w:r>
          </w:p>
        </w:tc>
        <w:tc>
          <w:tcPr>
            <w:tcW w:w="39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D800FD4">
            <w:pPr>
              <w:pStyle w:val="10"/>
              <w:bidi w:val="0"/>
              <w:jc w:val="center"/>
              <w:rPr>
                <w:rFonts w:hint="eastAsia"/>
                <w:color w:val="000000"/>
              </w:rPr>
            </w:pPr>
            <w:r>
              <w:rPr>
                <w:rFonts w:hint="eastAsia"/>
                <w:color w:val="000000"/>
              </w:rPr>
              <w:t>314</w:t>
            </w:r>
          </w:p>
        </w:tc>
        <w:tc>
          <w:tcPr>
            <w:tcW w:w="457"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284D139">
            <w:pPr>
              <w:pStyle w:val="10"/>
              <w:bidi w:val="0"/>
              <w:jc w:val="center"/>
              <w:rPr>
                <w:rFonts w:hint="eastAsia"/>
                <w:color w:val="000000"/>
              </w:rPr>
            </w:pPr>
            <w:r>
              <w:rPr>
                <w:rFonts w:hint="eastAsia"/>
                <w:color w:val="000000"/>
              </w:rPr>
              <w:t>558</w:t>
            </w:r>
          </w:p>
        </w:tc>
        <w:tc>
          <w:tcPr>
            <w:tcW w:w="376"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BA25414">
            <w:pPr>
              <w:pStyle w:val="10"/>
              <w:bidi w:val="0"/>
              <w:jc w:val="center"/>
              <w:rPr>
                <w:rFonts w:hint="eastAsia"/>
                <w:color w:val="000000"/>
              </w:rPr>
            </w:pPr>
            <w:r>
              <w:rPr>
                <w:rFonts w:hint="eastAsia"/>
                <w:color w:val="000000"/>
              </w:rPr>
              <w:t>447</w:t>
            </w:r>
          </w:p>
        </w:tc>
        <w:tc>
          <w:tcPr>
            <w:tcW w:w="39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17DC7E0">
            <w:pPr>
              <w:pStyle w:val="10"/>
              <w:bidi w:val="0"/>
              <w:jc w:val="center"/>
              <w:rPr>
                <w:rFonts w:hint="eastAsia"/>
                <w:color w:val="000000"/>
              </w:rPr>
            </w:pPr>
            <w:r>
              <w:rPr>
                <w:rFonts w:hint="eastAsia"/>
                <w:color w:val="000000"/>
              </w:rPr>
              <w:t>/</w:t>
            </w:r>
          </w:p>
        </w:tc>
        <w:tc>
          <w:tcPr>
            <w:tcW w:w="381"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68E4D84">
            <w:pPr>
              <w:pStyle w:val="10"/>
              <w:bidi w:val="0"/>
              <w:jc w:val="center"/>
              <w:rPr>
                <w:rFonts w:hint="eastAsia"/>
                <w:color w:val="000000"/>
              </w:rPr>
            </w:pPr>
            <w:r>
              <w:rPr>
                <w:rFonts w:hint="eastAsia"/>
                <w:color w:val="000000"/>
              </w:rPr>
              <w:t>/</w:t>
            </w:r>
          </w:p>
        </w:tc>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980AF6A">
            <w:pPr>
              <w:pStyle w:val="10"/>
              <w:bidi w:val="0"/>
              <w:jc w:val="center"/>
              <w:rPr>
                <w:rFonts w:hint="eastAsia"/>
                <w:color w:val="000000"/>
              </w:rPr>
            </w:pPr>
            <w:r>
              <w:rPr>
                <w:rFonts w:hint="eastAsia"/>
                <w:color w:val="000000"/>
              </w:rPr>
              <w:t>/</w:t>
            </w:r>
          </w:p>
        </w:tc>
        <w:tc>
          <w:tcPr>
            <w:tcW w:w="43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DFC1090">
            <w:pPr>
              <w:pStyle w:val="10"/>
              <w:bidi w:val="0"/>
              <w:jc w:val="center"/>
              <w:rPr>
                <w:rFonts w:hint="eastAsia"/>
                <w:color w:val="000000"/>
              </w:rPr>
            </w:pPr>
            <w:r>
              <w:rPr>
                <w:rFonts w:hint="eastAsia"/>
                <w:color w:val="000000"/>
              </w:rPr>
              <w:t>/</w:t>
            </w:r>
          </w:p>
        </w:tc>
        <w:tc>
          <w:tcPr>
            <w:tcW w:w="655" w:type="pct"/>
            <w:tcBorders>
              <w:top w:val="single" w:color="000000" w:sz="8" w:space="0"/>
              <w:left w:val="single" w:color="000000" w:sz="8" w:space="0"/>
              <w:bottom w:val="single" w:color="000000" w:sz="8" w:space="0"/>
            </w:tcBorders>
            <w:shd w:val="clear" w:color="auto" w:fill="FFFFFF"/>
            <w:vAlign w:val="center"/>
          </w:tcPr>
          <w:p w14:paraId="0E1229EA">
            <w:pPr>
              <w:pStyle w:val="10"/>
              <w:bidi w:val="0"/>
              <w:jc w:val="both"/>
              <w:rPr>
                <w:rFonts w:hint="eastAsia"/>
                <w:color w:val="000000"/>
              </w:rPr>
            </w:pPr>
            <w:r>
              <w:rPr>
                <w:rFonts w:hint="eastAsia"/>
                <w:color w:val="000000"/>
              </w:rPr>
              <w:t>/</w:t>
            </w:r>
          </w:p>
        </w:tc>
      </w:tr>
    </w:tbl>
    <w:p w14:paraId="38BF60AE">
      <w:pPr>
        <w:ind w:firstLine="420"/>
        <w:jc w:val="right"/>
        <w:rPr>
          <w:rFonts w:hint="eastAsia"/>
          <w:b/>
          <w:bCs/>
        </w:rPr>
      </w:pPr>
      <w:r>
        <w:rPr>
          <w:rFonts w:hint="eastAsia"/>
          <w:b/>
          <w:bCs/>
        </w:rPr>
        <w:t>（邓</w:t>
      </w:r>
      <w:r>
        <w:rPr>
          <w:rFonts w:hint="eastAsia"/>
          <w:b/>
          <w:bCs/>
          <w:lang w:val="en-US" w:eastAsia="zh-CN"/>
        </w:rPr>
        <w:t xml:space="preserve">  </w:t>
      </w:r>
      <w:r>
        <w:rPr>
          <w:rFonts w:hint="eastAsia"/>
          <w:b/>
          <w:bCs/>
        </w:rPr>
        <w:t>巍）</w:t>
      </w:r>
    </w:p>
    <w:p w14:paraId="5E666F76">
      <w:pPr>
        <w:pStyle w:val="10"/>
        <w:bidi w:val="0"/>
        <w:rPr>
          <w:b/>
          <w:bCs/>
        </w:rPr>
      </w:pPr>
      <w:r>
        <w:rPr>
          <w:rFonts w:hint="eastAsia"/>
          <w:b/>
          <w:bCs/>
        </w:rPr>
        <w:t>附：</w:t>
      </w:r>
      <w:r>
        <w:rPr>
          <w:b/>
          <w:bCs/>
        </w:rPr>
        <w:t>2013年江头镇领导班子成员名单</w:t>
      </w:r>
    </w:p>
    <w:p w14:paraId="604AD984">
      <w:pPr>
        <w:pStyle w:val="10"/>
        <w:bidi w:val="0"/>
        <w:rPr>
          <w:rFonts w:hint="eastAsia"/>
        </w:rPr>
      </w:pPr>
      <w:r>
        <w:rPr>
          <w:rFonts w:hint="eastAsia"/>
          <w:b/>
          <w:bCs/>
        </w:rPr>
        <w:t>党委书记、人大主席：</w:t>
      </w:r>
      <w:r>
        <w:rPr>
          <w:rFonts w:hint="eastAsia"/>
        </w:rPr>
        <w:t>曾昭泉</w:t>
      </w:r>
    </w:p>
    <w:p w14:paraId="0B9E9E0E">
      <w:pPr>
        <w:pStyle w:val="10"/>
        <w:bidi w:val="0"/>
        <w:rPr>
          <w:rFonts w:hint="eastAsia"/>
        </w:rPr>
      </w:pPr>
      <w:r>
        <w:rPr>
          <w:rFonts w:hint="eastAsia"/>
          <w:b/>
          <w:bCs/>
        </w:rPr>
        <w:t>党委副书记、镇长：</w:t>
      </w:r>
      <w:r>
        <w:rPr>
          <w:rFonts w:hint="eastAsia"/>
        </w:rPr>
        <w:t>张红华</w:t>
      </w:r>
    </w:p>
    <w:p w14:paraId="1212F69D">
      <w:pPr>
        <w:pStyle w:val="10"/>
        <w:bidi w:val="0"/>
        <w:rPr>
          <w:rFonts w:hint="eastAsia"/>
        </w:rPr>
      </w:pPr>
      <w:r>
        <w:rPr>
          <w:rFonts w:hint="eastAsia"/>
          <w:b/>
          <w:bCs/>
        </w:rPr>
        <w:t>党委副书记：</w:t>
      </w:r>
      <w:r>
        <w:rPr>
          <w:rFonts w:hint="eastAsia"/>
        </w:rPr>
        <w:t>徐精华</w:t>
      </w:r>
    </w:p>
    <w:p w14:paraId="0E548E54">
      <w:pPr>
        <w:pStyle w:val="10"/>
        <w:bidi w:val="0"/>
        <w:rPr>
          <w:rFonts w:hint="eastAsia"/>
        </w:rPr>
      </w:pPr>
      <w:r>
        <w:rPr>
          <w:rFonts w:hint="eastAsia"/>
          <w:b/>
          <w:bCs/>
        </w:rPr>
        <w:t>纪委书记：</w:t>
      </w:r>
      <w:r>
        <w:rPr>
          <w:rFonts w:hint="eastAsia"/>
        </w:rPr>
        <w:t>王丽平</w:t>
      </w:r>
    </w:p>
    <w:p w14:paraId="50E0ACB2">
      <w:pPr>
        <w:pStyle w:val="10"/>
        <w:bidi w:val="0"/>
        <w:rPr>
          <w:rFonts w:hint="eastAsia"/>
        </w:rPr>
      </w:pPr>
      <w:r>
        <w:rPr>
          <w:rFonts w:hint="eastAsia"/>
          <w:b/>
          <w:bCs/>
        </w:rPr>
        <w:t>组织委员：</w:t>
      </w:r>
      <w:r>
        <w:rPr>
          <w:rFonts w:hint="eastAsia"/>
        </w:rPr>
        <w:t>钟兴华</w:t>
      </w:r>
    </w:p>
    <w:p w14:paraId="5C5F3C4D">
      <w:pPr>
        <w:pStyle w:val="10"/>
        <w:bidi w:val="0"/>
        <w:rPr>
          <w:rFonts w:hint="eastAsia"/>
        </w:rPr>
      </w:pPr>
      <w:r>
        <w:rPr>
          <w:rFonts w:hint="eastAsia"/>
          <w:b/>
          <w:bCs/>
        </w:rPr>
        <w:t>宣传委员：</w:t>
      </w:r>
      <w:r>
        <w:rPr>
          <w:rFonts w:hint="eastAsia"/>
        </w:rPr>
        <w:t>蔡盛芳</w:t>
      </w:r>
    </w:p>
    <w:p w14:paraId="6330CF9B">
      <w:pPr>
        <w:pStyle w:val="10"/>
        <w:bidi w:val="0"/>
        <w:rPr>
          <w:rFonts w:hint="eastAsia"/>
        </w:rPr>
      </w:pPr>
      <w:r>
        <w:rPr>
          <w:rFonts w:hint="eastAsia"/>
          <w:b/>
          <w:bCs/>
        </w:rPr>
        <w:t>武装部长：</w:t>
      </w:r>
      <w:r>
        <w:rPr>
          <w:rFonts w:hint="eastAsia"/>
        </w:rPr>
        <w:t>邓荣贵</w:t>
      </w:r>
    </w:p>
    <w:p w14:paraId="082AE59C">
      <w:pPr>
        <w:pStyle w:val="10"/>
        <w:bidi w:val="0"/>
        <w:rPr>
          <w:rFonts w:hint="eastAsia"/>
        </w:rPr>
      </w:pPr>
      <w:r>
        <w:rPr>
          <w:rFonts w:hint="eastAsia"/>
          <w:b/>
          <w:bCs/>
        </w:rPr>
        <w:t>综治办专职副主任：</w:t>
      </w:r>
      <w:r>
        <w:rPr>
          <w:rFonts w:hint="eastAsia"/>
        </w:rPr>
        <w:t>王竹生</w:t>
      </w:r>
    </w:p>
    <w:p w14:paraId="2C80DE5D">
      <w:pPr>
        <w:pStyle w:val="10"/>
        <w:bidi w:val="0"/>
        <w:rPr>
          <w:rFonts w:hint="eastAsia"/>
        </w:rPr>
      </w:pPr>
      <w:r>
        <w:rPr>
          <w:rFonts w:hint="eastAsia"/>
          <w:b/>
          <w:bCs/>
        </w:rPr>
        <w:t>副镇长：</w:t>
      </w:r>
      <w:r>
        <w:rPr>
          <w:rFonts w:hint="eastAsia"/>
        </w:rPr>
        <w:t>邱万锋</w:t>
      </w:r>
      <w:r>
        <w:rPr>
          <w:rFonts w:hint="eastAsia"/>
          <w:lang w:val="en-US" w:eastAsia="zh-CN"/>
        </w:rPr>
        <w:t xml:space="preserve">   </w:t>
      </w:r>
      <w:r>
        <w:rPr>
          <w:rFonts w:hint="eastAsia"/>
        </w:rPr>
        <w:t>陶景晖</w:t>
      </w:r>
    </w:p>
    <w:p w14:paraId="0E8B24FF">
      <w:pPr>
        <w:pStyle w:val="10"/>
        <w:bidi w:val="0"/>
        <w:ind w:firstLine="840" w:firstLineChars="400"/>
        <w:rPr>
          <w:rFonts w:hint="eastAsia"/>
        </w:rPr>
      </w:pPr>
      <w:r>
        <w:rPr>
          <w:rFonts w:hint="eastAsia"/>
        </w:rPr>
        <w:t>刘仙华</w:t>
      </w:r>
    </w:p>
    <w:p w14:paraId="089094B3">
      <w:pPr>
        <w:pStyle w:val="3"/>
        <w:bidi w:val="0"/>
        <w:rPr>
          <w:rFonts w:hint="eastAsia"/>
        </w:rPr>
      </w:pPr>
      <w:r>
        <w:rPr>
          <w:rFonts w:hint="eastAsia"/>
        </w:rPr>
        <w:t>珠玑镇</w:t>
      </w:r>
    </w:p>
    <w:p w14:paraId="65AA35DE">
      <w:pPr>
        <w:pStyle w:val="4"/>
        <w:bidi w:val="0"/>
        <w:rPr>
          <w:rFonts w:hint="eastAsia"/>
        </w:rPr>
      </w:pPr>
      <w:r>
        <w:rPr>
          <w:rFonts w:hint="eastAsia"/>
        </w:rPr>
        <w:t>【概况】</w:t>
      </w:r>
    </w:p>
    <w:p w14:paraId="02651E46">
      <w:r>
        <w:rPr>
          <w:rFonts w:hint="eastAsia"/>
        </w:rPr>
        <w:t>珠玑镇位于南雄市北部，距南雄市城区</w:t>
      </w:r>
      <w:r>
        <w:t>9公里，东接邓坊镇、湖口镇，南邻雄州镇，西通</w:t>
      </w:r>
      <w:r>
        <w:rPr>
          <w:rFonts w:hint="eastAsia"/>
        </w:rPr>
        <w:t>全安镇、帽子峰镇，北望江西省大余县。国道</w:t>
      </w:r>
      <w:r>
        <w:t>323</w:t>
      </w:r>
      <w:r>
        <w:rPr>
          <w:rFonts w:hint="eastAsia"/>
        </w:rPr>
        <w:t>线从南至北穿过，韶赣高速公路贯穿全境。全镇辖区面积</w:t>
      </w:r>
      <w:r>
        <w:t>222.5平方公里，山林面积14003.3公顷，</w:t>
      </w:r>
      <w:r>
        <w:rPr>
          <w:rFonts w:hint="eastAsia"/>
        </w:rPr>
        <w:t>耕地面积</w:t>
      </w:r>
      <w:r>
        <w:t>3200公顷，辖22个村委会、1个居委会，257个村小组，11028户，总人44322口人。2013</w:t>
      </w:r>
      <w:r>
        <w:rPr>
          <w:rFonts w:hint="eastAsia"/>
        </w:rPr>
        <w:t>年，全镇实现生产总值</w:t>
      </w:r>
      <w:r>
        <w:t>5.65亿元，政府财政总收</w:t>
      </w:r>
      <w:r>
        <w:rPr>
          <w:rFonts w:hint="eastAsia"/>
        </w:rPr>
        <w:t>入</w:t>
      </w:r>
      <w:r>
        <w:t>2009万元，农民人均纯收入8059元。</w:t>
      </w:r>
    </w:p>
    <w:p w14:paraId="68F2CBB2">
      <w:pPr>
        <w:pStyle w:val="4"/>
        <w:bidi w:val="0"/>
        <w:rPr>
          <w:rFonts w:hint="eastAsia"/>
        </w:rPr>
      </w:pPr>
      <w:r>
        <w:rPr>
          <w:rFonts w:hint="eastAsia"/>
        </w:rPr>
        <w:t>【农业生产】</w:t>
      </w:r>
    </w:p>
    <w:p w14:paraId="25C31453">
      <w:r>
        <w:rPr>
          <w:rFonts w:hint="eastAsia"/>
        </w:rPr>
        <w:t>以现代烟草、优质水稻、肉猪养殖为主，以苗木花卉、中药材、优质水果为辅”的农业发展格局，农业发展更趋规模化、现代化，农业示范基地规模效益持续提升。珠玑镇</w:t>
      </w:r>
      <w:r>
        <w:t>2013年水稻</w:t>
      </w:r>
      <w:r>
        <w:rPr>
          <w:rFonts w:hint="eastAsia"/>
        </w:rPr>
        <w:t>种植</w:t>
      </w:r>
      <w:r>
        <w:t>3.7万亩；完成6515亩的烟叶种植面积，收</w:t>
      </w:r>
      <w:r>
        <w:rPr>
          <w:rFonts w:hint="eastAsia"/>
        </w:rPr>
        <w:t>购烟叶</w:t>
      </w:r>
      <w:r>
        <w:t>19363担；有机稻、石斛、金银花等种植面</w:t>
      </w:r>
      <w:r>
        <w:rPr>
          <w:rFonts w:hint="eastAsia"/>
        </w:rPr>
        <w:t>积超</w:t>
      </w:r>
      <w:r>
        <w:t>3600亩；新增苗圃种植面积400余亩，造林4353亩，其中碳汇林3000亩；全年生猪出栏4.2</w:t>
      </w:r>
      <w:r>
        <w:rPr>
          <w:rFonts w:hint="eastAsia"/>
        </w:rPr>
        <w:t>万头、鸡出栏</w:t>
      </w:r>
      <w:r>
        <w:t>26万多只。</w:t>
      </w:r>
    </w:p>
    <w:p w14:paraId="20FB2509">
      <w:pPr>
        <w:pStyle w:val="4"/>
        <w:bidi w:val="0"/>
        <w:rPr>
          <w:rFonts w:hint="eastAsia"/>
        </w:rPr>
      </w:pPr>
      <w:r>
        <w:rPr>
          <w:rFonts w:hint="eastAsia"/>
        </w:rPr>
        <w:t>【</w:t>
      </w:r>
      <w:r>
        <w:rPr>
          <w:rFonts w:hint="eastAsia"/>
          <w:lang w:val="en-US" w:eastAsia="zh-CN"/>
        </w:rPr>
        <w:t>重</w:t>
      </w:r>
      <w:r>
        <w:rPr>
          <w:rFonts w:hint="eastAsia"/>
        </w:rPr>
        <w:t>点项目】</w:t>
      </w:r>
    </w:p>
    <w:p w14:paraId="16A1C162">
      <w:pPr>
        <w:rPr>
          <w:rFonts w:hint="eastAsia"/>
        </w:rPr>
      </w:pPr>
      <w:r>
        <w:rPr>
          <w:rFonts w:hint="eastAsia"/>
        </w:rPr>
        <w:t>珠玑镇坚持以重点项目为抓手，推动社会经济事业发展。珠玑商贸城一期项目以</w:t>
      </w:r>
      <w:r>
        <w:t>1.4亿元高价成功挂牌</w:t>
      </w:r>
      <w:r>
        <w:rPr>
          <w:rFonts w:hint="eastAsia"/>
        </w:rPr>
        <w:t>拍卖；安全拆除彤置富水泥厂环境污染大、设备破旧落后的生产线；竹博园生态旅游区锦绣花园酒店项目</w:t>
      </w:r>
      <w:r>
        <w:t>365亩征地和265亩租地全面完成；珠玑古巷</w:t>
      </w:r>
      <w:r>
        <w:rPr>
          <w:rFonts w:hint="eastAsia"/>
        </w:rPr>
        <w:t>景区改造名区修复、页岩环保砖厂征地工作基本完成；特色文化产业罗曼钢琴厂土建工程顺利竣工。</w:t>
      </w:r>
    </w:p>
    <w:p w14:paraId="6A30167E">
      <w:pPr>
        <w:pStyle w:val="4"/>
        <w:bidi w:val="0"/>
        <w:rPr>
          <w:rFonts w:hint="eastAsia"/>
        </w:rPr>
      </w:pPr>
      <w:r>
        <w:rPr>
          <w:rFonts w:hint="eastAsia"/>
        </w:rPr>
        <w:t>【旅游发展】</w:t>
      </w:r>
    </w:p>
    <w:p w14:paraId="59367859">
      <w:pPr>
        <w:rPr>
          <w:rFonts w:hint="eastAsia"/>
        </w:rPr>
      </w:pPr>
      <w:r>
        <w:t>2013年全镇旅游接待35.36万人次</w:t>
      </w:r>
      <w:r>
        <w:rPr>
          <w:rFonts w:hint="eastAsia"/>
          <w:lang w:eastAsia="zh-CN"/>
        </w:rPr>
        <w:t>，</w:t>
      </w:r>
      <w:r>
        <w:rPr>
          <w:rFonts w:hint="eastAsia"/>
        </w:rPr>
        <w:t>同比增长</w:t>
      </w:r>
      <w:r>
        <w:t>20.81%，再次刷新接待记录。成功获得</w:t>
      </w:r>
      <w:r>
        <w:rPr>
          <w:rFonts w:hint="eastAsia"/>
        </w:rPr>
        <w:t>“省文明镇”称号。大力发展休闲度假、体验旅游，花卉观赏、野外射击、蒙古包、自助烧烤等旅游项目深受游客喜爱；古巷景区大型停车场建设完成并投入使用，古巷旅客服务中心和古巷二期姓氏宗祠项目建设进展顺利；规范景区秩序管理，重点整治乱摆乱卖、乱挂姓氏牌、占道经营、流动跟客等不良行为；塑造一批具有珠玑特色的旅游商品，其中，珠玑板鸭、灵潭腐竹、牛干脯、铜勺饼、芋头条、金友米等风味食品深受游客喜爱。</w:t>
      </w:r>
    </w:p>
    <w:p w14:paraId="3502A38E">
      <w:pPr>
        <w:pStyle w:val="4"/>
        <w:bidi w:val="0"/>
        <w:rPr>
          <w:rFonts w:hint="eastAsia"/>
        </w:rPr>
      </w:pPr>
      <w:r>
        <w:rPr>
          <w:rFonts w:hint="eastAsia"/>
        </w:rPr>
        <w:t>【城乡建设】</w:t>
      </w:r>
    </w:p>
    <w:p w14:paraId="355D56B9">
      <w:pPr>
        <w:rPr>
          <w:rFonts w:hint="eastAsia"/>
        </w:rPr>
      </w:pPr>
      <w:r>
        <w:rPr>
          <w:rFonts w:hint="eastAsia"/>
        </w:rPr>
        <w:t>优化城镇布局，配完成镇总体规划修编工作；总投资</w:t>
      </w:r>
      <w:r>
        <w:t>16.8亿元集高档住宅商业、文</w:t>
      </w:r>
      <w:r>
        <w:rPr>
          <w:rFonts w:hint="eastAsia"/>
        </w:rPr>
        <w:t>化娱乐、旅游休闲为一体的现代化生活社区“珠玑</w:t>
      </w:r>
      <w:r>
        <w:t>1号”项目已奠基；加强“两违”建筑整治，全年</w:t>
      </w:r>
      <w:r>
        <w:rPr>
          <w:rFonts w:hint="eastAsia"/>
        </w:rPr>
        <w:t>清</w:t>
      </w:r>
      <w:r>
        <w:rPr>
          <w:rFonts w:hint="eastAsia"/>
          <w:lang w:eastAsia="zh-CN"/>
        </w:rPr>
        <w:t>查</w:t>
      </w:r>
      <w:r>
        <w:rPr>
          <w:rFonts w:hint="eastAsia"/>
        </w:rPr>
        <w:t>出违章建筑</w:t>
      </w:r>
      <w:r>
        <w:t>12幢、建筑面积34989</w:t>
      </w:r>
      <w:r>
        <w:rPr>
          <w:rFonts w:hint="eastAsia"/>
          <w:lang w:val="en-US" w:eastAsia="zh-CN"/>
        </w:rPr>
        <w:t>.</w:t>
      </w:r>
      <w:r>
        <w:t>33平方米，</w:t>
      </w:r>
      <w:r>
        <w:rPr>
          <w:rFonts w:hint="eastAsia"/>
        </w:rPr>
        <w:t>拆除</w:t>
      </w:r>
      <w:r>
        <w:t>5户违章建筑，强制停工3户；2013年8月27</w:t>
      </w:r>
      <w:r>
        <w:rPr>
          <w:rFonts w:hint="eastAsia"/>
        </w:rPr>
        <w:t>日，广东省首次城乡建设用地增减挂钩试点专题现场会在塘东村召开，塘东“空心村”改造工程成绩显赫；完成珠玑老市场改造，新建全民休闲健身</w:t>
      </w:r>
      <w:r>
        <w:rPr>
          <w:rFonts w:hint="eastAsia"/>
          <w:lang w:val="en-US" w:eastAsia="zh-CN"/>
        </w:rPr>
        <w:t>广</w:t>
      </w:r>
      <w:r>
        <w:rPr>
          <w:rFonts w:hint="eastAsia"/>
        </w:rPr>
        <w:t>场；改建镇垃圾填埋场，建设</w:t>
      </w:r>
      <w:r>
        <w:t>31个村级垃圾收集</w:t>
      </w:r>
      <w:r>
        <w:rPr>
          <w:rFonts w:hint="eastAsia"/>
        </w:rPr>
        <w:t>点，购置</w:t>
      </w:r>
      <w:r>
        <w:t>2台垃圾收运车，排布100多只垃圾桶，</w:t>
      </w:r>
      <w:r>
        <w:rPr>
          <w:rFonts w:hint="eastAsia"/>
        </w:rPr>
        <w:t>配备专门收运人员；投资</w:t>
      </w:r>
      <w:r>
        <w:t>40多万元开展墟镇美化</w:t>
      </w:r>
      <w:r>
        <w:rPr>
          <w:rFonts w:hint="eastAsia"/>
        </w:rPr>
        <w:t>工程，镇区主要街道种植</w:t>
      </w:r>
      <w:r>
        <w:t>300多株桂花树实现全面</w:t>
      </w:r>
      <w:r>
        <w:rPr>
          <w:rFonts w:hint="eastAsia"/>
        </w:rPr>
        <w:t>绿化。</w:t>
      </w:r>
    </w:p>
    <w:p w14:paraId="7734F9C9">
      <w:pPr>
        <w:pStyle w:val="4"/>
        <w:bidi w:val="0"/>
        <w:rPr>
          <w:rFonts w:hint="eastAsia"/>
        </w:rPr>
      </w:pPr>
      <w:r>
        <w:rPr>
          <w:rFonts w:hint="eastAsia"/>
          <w:lang w:eastAsia="zh-CN"/>
        </w:rPr>
        <w:t>【</w:t>
      </w:r>
      <w:r>
        <w:rPr>
          <w:rFonts w:hint="eastAsia"/>
        </w:rPr>
        <w:t>民生保障】</w:t>
      </w:r>
    </w:p>
    <w:p w14:paraId="4416F667">
      <w:pPr>
        <w:rPr>
          <w:rFonts w:hint="eastAsia"/>
        </w:rPr>
      </w:pPr>
      <w:r>
        <w:rPr>
          <w:rFonts w:hint="eastAsia"/>
        </w:rPr>
        <w:t>巩固和完善新型合作医疗制度，</w:t>
      </w:r>
      <w:r>
        <w:t>2013年，全镇有37826人参合，参合率达到93.7%。加大计生利益导向投入，2013年政策生育</w:t>
      </w:r>
      <w:r>
        <w:rPr>
          <w:rFonts w:hint="eastAsia"/>
        </w:rPr>
        <w:t>率</w:t>
      </w:r>
      <w:r>
        <w:t>86.02%。新农保、城居保和企业社保覆盖面进</w:t>
      </w:r>
      <w:r>
        <w:rPr>
          <w:rFonts w:hint="eastAsia"/>
          <w:lang w:val="en-US" w:eastAsia="zh-CN"/>
        </w:rPr>
        <w:t>一</w:t>
      </w:r>
      <w:r>
        <w:rPr>
          <w:rFonts w:hint="eastAsia"/>
        </w:rPr>
        <w:t>步扩大，为</w:t>
      </w:r>
      <w:r>
        <w:t>116名五保老人、331户低保户发放</w:t>
      </w:r>
      <w:r>
        <w:rPr>
          <w:rFonts w:hint="eastAsia"/>
        </w:rPr>
        <w:t>低保金</w:t>
      </w:r>
      <w:r>
        <w:t>150万元，办理和发放医疗救助金15万元。</w:t>
      </w:r>
      <w:r>
        <w:rPr>
          <w:rFonts w:hint="eastAsia"/>
        </w:rPr>
        <w:t>新一轮扶贫开发成效明显，正在实施重点扶贫项目</w:t>
      </w:r>
      <w:r>
        <w:t>9个、资金565万元，216户贫困户受益。多渠道</w:t>
      </w:r>
      <w:r>
        <w:rPr>
          <w:rFonts w:hint="eastAsia"/>
        </w:rPr>
        <w:t>增加就业岗位，全年成功推荐</w:t>
      </w:r>
      <w:r>
        <w:t>560人实现就业。宣</w:t>
      </w:r>
      <w:r>
        <w:rPr>
          <w:rFonts w:hint="eastAsia"/>
        </w:rPr>
        <w:t>传推行殡葬改革，抓好移风易俗，倡导文明新风。</w:t>
      </w:r>
    </w:p>
    <w:p w14:paraId="7D24CD48">
      <w:pPr>
        <w:pStyle w:val="4"/>
        <w:bidi w:val="0"/>
        <w:rPr>
          <w:rFonts w:hint="eastAsia"/>
        </w:rPr>
      </w:pPr>
      <w:r>
        <w:rPr>
          <w:rFonts w:hint="eastAsia"/>
          <w:lang w:eastAsia="zh-CN"/>
        </w:rPr>
        <w:t>【</w:t>
      </w:r>
      <w:r>
        <w:rPr>
          <w:rFonts w:hint="eastAsia"/>
        </w:rPr>
        <w:t>惠农基建】</w:t>
      </w:r>
    </w:p>
    <w:p w14:paraId="6F343FDC">
      <w:pPr>
        <w:rPr>
          <w:rFonts w:hint="eastAsia"/>
        </w:rPr>
      </w:pPr>
      <w:r>
        <w:rPr>
          <w:rFonts w:hint="eastAsia"/>
        </w:rPr>
        <w:t>惠农政策有效落实。全年兑现中央种粮补贴、花生补贴、农机补贴和生态公益林补偿金等各项惠农政策资金</w:t>
      </w:r>
      <w:r>
        <w:t>344.7万元，发放土壤有机</w:t>
      </w:r>
      <w:r>
        <w:rPr>
          <w:rFonts w:hint="eastAsia"/>
        </w:rPr>
        <w:t>质提升项目秸秆腐熟剂</w:t>
      </w:r>
      <w:r>
        <w:t>20多吨。农业基础设施建</w:t>
      </w:r>
      <w:r>
        <w:rPr>
          <w:rFonts w:hint="eastAsia"/>
        </w:rPr>
        <w:t>设成效显著，</w:t>
      </w:r>
      <w:r>
        <w:rPr>
          <w:rFonts w:hint="eastAsia"/>
          <w:lang w:eastAsia="zh-CN"/>
        </w:rPr>
        <w:t>投入</w:t>
      </w:r>
      <w:r>
        <w:rPr>
          <w:rFonts w:hint="eastAsia"/>
        </w:rPr>
        <w:t>资金新建</w:t>
      </w:r>
      <w:r>
        <w:t>86套密集式烤烟房，</w:t>
      </w:r>
      <w:r>
        <w:rPr>
          <w:rFonts w:hint="eastAsia"/>
        </w:rPr>
        <w:t>扎实推进里东、灵潭等村</w:t>
      </w:r>
      <w:r>
        <w:t>7000多亩高标准基本农</w:t>
      </w:r>
      <w:r>
        <w:rPr>
          <w:rFonts w:hint="eastAsia"/>
        </w:rPr>
        <w:t>田建设，新修和改造机耕道</w:t>
      </w:r>
      <w:r>
        <w:t>10公里，清淤渠道30</w:t>
      </w:r>
      <w:r>
        <w:rPr>
          <w:rFonts w:hint="eastAsia"/>
        </w:rPr>
        <w:t>公里，</w:t>
      </w:r>
      <w:r>
        <w:rPr>
          <w:rFonts w:hint="eastAsia"/>
          <w:lang w:eastAsia="zh-CN"/>
        </w:rPr>
        <w:t>全</w:t>
      </w:r>
      <w:r>
        <w:rPr>
          <w:rFonts w:hint="eastAsia"/>
        </w:rPr>
        <w:t>面实施横江灌区（二期）、梅岭水库、南山河灌渠系节水配套改造工程，</w:t>
      </w:r>
      <w:r>
        <w:t>8362亩农田灌溉用</w:t>
      </w:r>
      <w:r>
        <w:rPr>
          <w:rFonts w:hint="eastAsia"/>
        </w:rPr>
        <w:t>水得到保障。</w:t>
      </w:r>
    </w:p>
    <w:p w14:paraId="2F3E25DE">
      <w:pPr>
        <w:pStyle w:val="4"/>
        <w:bidi w:val="0"/>
        <w:rPr>
          <w:rFonts w:hint="eastAsia"/>
        </w:rPr>
      </w:pPr>
      <w:r>
        <w:rPr>
          <w:rFonts w:hint="eastAsia"/>
        </w:rPr>
        <w:t>【文化教育】</w:t>
      </w:r>
    </w:p>
    <w:p w14:paraId="51F4EC58">
      <w:pPr>
        <w:rPr>
          <w:rFonts w:hint="eastAsia"/>
        </w:rPr>
      </w:pPr>
      <w:r>
        <w:rPr>
          <w:rFonts w:hint="eastAsia"/>
        </w:rPr>
        <w:t>加强综合文化站和镇村文化阵地建设，完善镇村两级便民服务中心；发放中小学贫困学生生活补助</w:t>
      </w:r>
      <w:r>
        <w:t>8.5万元，惠及474名学生。深化医</w:t>
      </w:r>
      <w:r>
        <w:rPr>
          <w:rFonts w:hint="eastAsia"/>
        </w:rPr>
        <w:t>药卫生体制改革，大力开展爱卫运动，成功承办市首届乡镇运动会预赛赛事，镇代表团羽毛球项目取得第一名、乒乓球和象棋项目取得第二名的优秀成绩，并捧回全市团体冠军奖杯。</w:t>
      </w:r>
    </w:p>
    <w:p w14:paraId="4BE605C1">
      <w:pPr>
        <w:pStyle w:val="4"/>
        <w:bidi w:val="0"/>
        <w:rPr>
          <w:rFonts w:hint="eastAsia"/>
        </w:rPr>
      </w:pPr>
      <w:r>
        <w:rPr>
          <w:rFonts w:hint="eastAsia"/>
        </w:rPr>
        <w:t>【各村（居）</w:t>
      </w:r>
      <w:r>
        <w:rPr>
          <w:rFonts w:hint="eastAsia"/>
          <w:lang w:val="en-US" w:eastAsia="zh-CN"/>
        </w:rPr>
        <w:t>委</w:t>
      </w:r>
      <w:r>
        <w:rPr>
          <w:rFonts w:hint="eastAsia"/>
        </w:rPr>
        <w:t>会基本情况】</w:t>
      </w:r>
    </w:p>
    <w:p w14:paraId="36D8576E">
      <w:r>
        <w:rPr>
          <w:rFonts w:hint="eastAsia"/>
        </w:rPr>
        <w:t>长迳村委会辖</w:t>
      </w:r>
      <w:r>
        <w:t>10个村民小组，626户，2699</w:t>
      </w:r>
      <w:r>
        <w:rPr>
          <w:rFonts w:hint="eastAsia"/>
        </w:rPr>
        <w:t>人，耕地面积</w:t>
      </w:r>
      <w:r>
        <w:t>2381亩。2013年，集体经济收入13</w:t>
      </w:r>
      <w:r>
        <w:rPr>
          <w:rFonts w:hint="eastAsia"/>
        </w:rPr>
        <w:t>万元，农村人均纯收</w:t>
      </w:r>
      <w:r>
        <w:t>9363元。</w:t>
      </w:r>
    </w:p>
    <w:p w14:paraId="3CD94B37">
      <w:r>
        <w:rPr>
          <w:rFonts w:hint="eastAsia"/>
        </w:rPr>
        <w:t>新村村委会辖</w:t>
      </w:r>
      <w:r>
        <w:t>7个村民小组，260户，1105</w:t>
      </w:r>
      <w:r>
        <w:rPr>
          <w:rFonts w:hint="eastAsia"/>
        </w:rPr>
        <w:t>人，耕地面积</w:t>
      </w:r>
      <w:r>
        <w:t>895亩。2013年，集体经济</w:t>
      </w:r>
      <w:r>
        <w:rPr>
          <w:rFonts w:hint="eastAsia"/>
          <w:lang w:eastAsia="zh-CN"/>
        </w:rPr>
        <w:t>收入</w:t>
      </w:r>
      <w:r>
        <w:t>10</w:t>
      </w:r>
      <w:r>
        <w:rPr>
          <w:rFonts w:hint="eastAsia"/>
        </w:rPr>
        <w:t>万元，农村人均纯收</w:t>
      </w:r>
      <w:r>
        <w:t>8606元。</w:t>
      </w:r>
    </w:p>
    <w:p w14:paraId="120704E8">
      <w:r>
        <w:rPr>
          <w:rFonts w:hint="eastAsia"/>
        </w:rPr>
        <w:t>古田村委会辖</w:t>
      </w:r>
      <w:r>
        <w:t>17个村民小组，667户，2902</w:t>
      </w:r>
      <w:r>
        <w:rPr>
          <w:rFonts w:hint="eastAsia"/>
        </w:rPr>
        <w:t>人，耕地面积</w:t>
      </w:r>
      <w:r>
        <w:t>2785亩。2013年，集体经济收入14</w:t>
      </w:r>
      <w:r>
        <w:rPr>
          <w:rFonts w:hint="eastAsia"/>
        </w:rPr>
        <w:t>万元，农村人均纯收入</w:t>
      </w:r>
      <w:r>
        <w:t>7577元。</w:t>
      </w:r>
    </w:p>
    <w:p w14:paraId="725780BD">
      <w:r>
        <w:rPr>
          <w:rFonts w:hint="eastAsia"/>
        </w:rPr>
        <w:t>聪辈村委会辖</w:t>
      </w:r>
      <w:r>
        <w:t>9个村民小组，359户，1527</w:t>
      </w:r>
      <w:r>
        <w:rPr>
          <w:rFonts w:hint="eastAsia"/>
        </w:rPr>
        <w:t>人，耕地面积</w:t>
      </w:r>
      <w:r>
        <w:t>1117亩。2013年，集体经济收入11</w:t>
      </w:r>
      <w:r>
        <w:rPr>
          <w:rFonts w:hint="eastAsia"/>
        </w:rPr>
        <w:t>万元，农村人均纯收入</w:t>
      </w:r>
      <w:r>
        <w:t>8057元。</w:t>
      </w:r>
    </w:p>
    <w:p w14:paraId="4A1C8C2E">
      <w:r>
        <w:rPr>
          <w:rFonts w:hint="eastAsia"/>
        </w:rPr>
        <w:t>珠玑村委会辖</w:t>
      </w:r>
      <w:r>
        <w:t>14个村民小组，620户，2452</w:t>
      </w:r>
      <w:r>
        <w:rPr>
          <w:rFonts w:hint="eastAsia"/>
        </w:rPr>
        <w:t>人，耕地面积</w:t>
      </w:r>
      <w:r>
        <w:t>1007~亩。2013年，集体经济收入14</w:t>
      </w:r>
      <w:r>
        <w:rPr>
          <w:rFonts w:hint="eastAsia"/>
        </w:rPr>
        <w:t>万元，农村人均纯收入</w:t>
      </w:r>
      <w:r>
        <w:t>8249元。</w:t>
      </w:r>
    </w:p>
    <w:p w14:paraId="430EFAE3">
      <w:r>
        <w:rPr>
          <w:rFonts w:hint="eastAsia"/>
        </w:rPr>
        <w:t>洋湖村委会辖</w:t>
      </w:r>
      <w:r>
        <w:t>10个村民小组，510户，2175</w:t>
      </w:r>
      <w:r>
        <w:rPr>
          <w:rFonts w:hint="eastAsia"/>
        </w:rPr>
        <w:t>人，耕地面积</w:t>
      </w:r>
      <w:r>
        <w:t>1282亩。2013年，集体经济收入9</w:t>
      </w:r>
      <w:r>
        <w:rPr>
          <w:rFonts w:hint="eastAsia"/>
        </w:rPr>
        <w:t>万元，农村人均纯收入</w:t>
      </w:r>
      <w:r>
        <w:t>8339元。</w:t>
      </w:r>
    </w:p>
    <w:p w14:paraId="502CCCC0">
      <w:r>
        <w:rPr>
          <w:rFonts w:hint="eastAsia"/>
        </w:rPr>
        <w:t>叟里元村委会辖</w:t>
      </w:r>
      <w:r>
        <w:t>29个村民小组，735户，2993</w:t>
      </w:r>
      <w:r>
        <w:rPr>
          <w:rFonts w:hint="eastAsia"/>
        </w:rPr>
        <w:t>人，耕地面积</w:t>
      </w:r>
      <w:r>
        <w:t>2537亩。2013年，集体经济收入17</w:t>
      </w:r>
      <w:r>
        <w:rPr>
          <w:rFonts w:hint="eastAsia"/>
        </w:rPr>
        <w:t>万元，农村人均纯收入</w:t>
      </w:r>
      <w:r>
        <w:t>7140元。</w:t>
      </w:r>
    </w:p>
    <w:p w14:paraId="708674C2">
      <w:pPr>
        <w:rPr>
          <w:rFonts w:hint="eastAsia"/>
          <w:lang w:eastAsia="zh-CN"/>
        </w:rPr>
      </w:pPr>
      <w:r>
        <w:rPr>
          <w:rFonts w:hint="eastAsia"/>
        </w:rPr>
        <w:t>上嵩村委会辖</w:t>
      </w:r>
      <w:r>
        <w:t>4个村民小组，126户，541人，</w:t>
      </w:r>
      <w:r>
        <w:rPr>
          <w:rFonts w:hint="eastAsia"/>
        </w:rPr>
        <w:t>耕地面积</w:t>
      </w:r>
      <w:r>
        <w:t>570亩。2013年，集体经济</w:t>
      </w:r>
      <w:r>
        <w:rPr>
          <w:rFonts w:hint="eastAsia"/>
          <w:lang w:eastAsia="zh-CN"/>
        </w:rPr>
        <w:t>收入</w:t>
      </w:r>
      <w:r>
        <w:t>6万元，</w:t>
      </w:r>
      <w:r>
        <w:rPr>
          <w:rFonts w:hint="eastAsia"/>
        </w:rPr>
        <w:t>农村人均纯收入</w:t>
      </w:r>
      <w:r>
        <w:t>7066元</w:t>
      </w:r>
      <w:r>
        <w:rPr>
          <w:rFonts w:hint="eastAsia"/>
          <w:lang w:eastAsia="zh-CN"/>
        </w:rPr>
        <w:t>。</w:t>
      </w:r>
    </w:p>
    <w:p w14:paraId="54C8B07E">
      <w:r>
        <w:rPr>
          <w:rFonts w:hint="eastAsia"/>
        </w:rPr>
        <w:t>里仁村委会辖</w:t>
      </w:r>
      <w:r>
        <w:t>10个村民小组，366户，1543</w:t>
      </w:r>
      <w:r>
        <w:rPr>
          <w:rFonts w:hint="eastAsia"/>
        </w:rPr>
        <w:t>人，耕地面积</w:t>
      </w:r>
      <w:r>
        <w:t>1315亩。2013年，集体经济收入11</w:t>
      </w:r>
      <w:r>
        <w:rPr>
          <w:rFonts w:hint="eastAsia"/>
        </w:rPr>
        <w:t>万元，农村人均纯收入</w:t>
      </w:r>
      <w:r>
        <w:t>7901元。</w:t>
      </w:r>
    </w:p>
    <w:p w14:paraId="5CF1667E">
      <w:r>
        <w:rPr>
          <w:rFonts w:hint="eastAsia"/>
        </w:rPr>
        <w:t>塘东村委会辖</w:t>
      </w:r>
      <w:r>
        <w:t>12个村民小组，570户，2359</w:t>
      </w:r>
      <w:r>
        <w:rPr>
          <w:rFonts w:hint="eastAsia"/>
        </w:rPr>
        <w:t>人，耕地面积</w:t>
      </w:r>
      <w:r>
        <w:t>1490亩。2013年，集体经济收入12</w:t>
      </w:r>
      <w:r>
        <w:rPr>
          <w:rFonts w:hint="eastAsia"/>
        </w:rPr>
        <w:t>万元，农村人均纯收入</w:t>
      </w:r>
      <w:r>
        <w:t>82</w:t>
      </w:r>
      <w:r>
        <w:rPr>
          <w:rFonts w:hint="eastAsia"/>
          <w:lang w:val="en-US" w:eastAsia="zh-CN"/>
        </w:rPr>
        <w:t>3</w:t>
      </w:r>
      <w:r>
        <w:t>3元。</w:t>
      </w:r>
    </w:p>
    <w:p w14:paraId="4425C2B4">
      <w:r>
        <w:rPr>
          <w:rFonts w:hint="eastAsia"/>
        </w:rPr>
        <w:t>石塘村委会辖</w:t>
      </w:r>
      <w:r>
        <w:t>11个村民小组，420户，1854</w:t>
      </w:r>
      <w:r>
        <w:rPr>
          <w:rFonts w:hint="eastAsia"/>
        </w:rPr>
        <w:t>人，耕地面积</w:t>
      </w:r>
      <w:r>
        <w:t>1563亩。2013年，集体经济收入9</w:t>
      </w:r>
      <w:r>
        <w:rPr>
          <w:rFonts w:hint="eastAsia"/>
        </w:rPr>
        <w:t>万元，农村人均纯收入</w:t>
      </w:r>
      <w:r>
        <w:t>8443元。</w:t>
      </w:r>
    </w:p>
    <w:p w14:paraId="2B4C6F3B">
      <w:r>
        <w:rPr>
          <w:rFonts w:hint="eastAsia"/>
        </w:rPr>
        <w:t>里东村委会辖</w:t>
      </w:r>
      <w:r>
        <w:t>16个村民小组，830户，3588</w:t>
      </w:r>
      <w:r>
        <w:rPr>
          <w:rFonts w:hint="eastAsia"/>
        </w:rPr>
        <w:t>人，耕地面积</w:t>
      </w:r>
      <w:r>
        <w:t>2277亩。2013年，集体经济收入11</w:t>
      </w:r>
      <w:r>
        <w:rPr>
          <w:rFonts w:hint="eastAsia"/>
        </w:rPr>
        <w:t>万元，农村人均纯收入</w:t>
      </w:r>
      <w:r>
        <w:t>7595元。</w:t>
      </w:r>
    </w:p>
    <w:p w14:paraId="774F8C97">
      <w:pPr>
        <w:rPr>
          <w:rFonts w:hint="eastAsia"/>
          <w:lang w:eastAsia="zh-CN"/>
        </w:rPr>
      </w:pPr>
      <w:r>
        <w:rPr>
          <w:rFonts w:hint="eastAsia"/>
        </w:rPr>
        <w:t>灵潭村委会辖</w:t>
      </w:r>
      <w:r>
        <w:t>11个村民小组，546户，2299</w:t>
      </w:r>
      <w:r>
        <w:rPr>
          <w:rFonts w:hint="eastAsia"/>
        </w:rPr>
        <w:t>人，耕地面积</w:t>
      </w:r>
      <w:r>
        <w:t>1408亩。2013年，集体经济</w:t>
      </w:r>
      <w:r>
        <w:rPr>
          <w:rFonts w:hint="eastAsia"/>
          <w:lang w:eastAsia="zh-CN"/>
        </w:rPr>
        <w:t>收入</w:t>
      </w:r>
      <w:r>
        <w:t>8</w:t>
      </w:r>
      <w:r>
        <w:rPr>
          <w:rFonts w:hint="eastAsia"/>
        </w:rPr>
        <w:t>万元，农村人均纯收入</w:t>
      </w:r>
      <w:r>
        <w:t>7449元</w:t>
      </w:r>
      <w:r>
        <w:rPr>
          <w:rFonts w:hint="eastAsia"/>
          <w:lang w:eastAsia="zh-CN"/>
        </w:rPr>
        <w:t>。</w:t>
      </w:r>
    </w:p>
    <w:p w14:paraId="7CA00F0C">
      <w:r>
        <w:rPr>
          <w:rFonts w:hint="eastAsia"/>
        </w:rPr>
        <w:t>祇芫村委会辖</w:t>
      </w:r>
      <w:r>
        <w:t>11个村民小组，494户，1954</w:t>
      </w:r>
      <w:r>
        <w:rPr>
          <w:rFonts w:hint="eastAsia"/>
        </w:rPr>
        <w:t>人，耕地面积</w:t>
      </w:r>
      <w:r>
        <w:t>1836亩。2013年，集体经济收入13</w:t>
      </w:r>
      <w:r>
        <w:rPr>
          <w:rFonts w:hint="eastAsia"/>
        </w:rPr>
        <w:t>万元，农村人均纯收入</w:t>
      </w:r>
      <w:r>
        <w:t>8010元。</w:t>
      </w:r>
    </w:p>
    <w:p w14:paraId="3C2D983F">
      <w:r>
        <w:rPr>
          <w:rFonts w:hint="eastAsia"/>
        </w:rPr>
        <w:t>下坋村委会辖</w:t>
      </w:r>
      <w:r>
        <w:t>6个村民小组，310户，1256</w:t>
      </w:r>
      <w:r>
        <w:rPr>
          <w:rFonts w:hint="eastAsia"/>
        </w:rPr>
        <w:t>人，耕地面积</w:t>
      </w:r>
      <w:r>
        <w:t>1003亩。2013年，集体经济收入12</w:t>
      </w:r>
      <w:r>
        <w:rPr>
          <w:rFonts w:hint="eastAsia"/>
        </w:rPr>
        <w:t>万元，农村人均纯收入</w:t>
      </w:r>
      <w:r>
        <w:t>7958元。</w:t>
      </w:r>
    </w:p>
    <w:p w14:paraId="02044A38">
      <w:r>
        <w:rPr>
          <w:rFonts w:hint="eastAsia"/>
        </w:rPr>
        <w:t>罗田村委会辖</w:t>
      </w:r>
      <w:r>
        <w:t>5个村民小组，330户，1359</w:t>
      </w:r>
      <w:r>
        <w:rPr>
          <w:rFonts w:hint="eastAsia"/>
        </w:rPr>
        <w:t>人，耕地面积</w:t>
      </w:r>
      <w:r>
        <w:t>1175亩。2013年，集体经济收入6</w:t>
      </w:r>
      <w:r>
        <w:rPr>
          <w:rFonts w:hint="eastAsia"/>
        </w:rPr>
        <w:t>万元，农村人均纯收入</w:t>
      </w:r>
      <w:r>
        <w:t>8811元。</w:t>
      </w:r>
    </w:p>
    <w:p w14:paraId="6EE73935">
      <w:r>
        <w:rPr>
          <w:rFonts w:hint="eastAsia"/>
        </w:rPr>
        <w:t>南山村委会辖</w:t>
      </w:r>
      <w:r>
        <w:t>6个村民小组，227户，857人，</w:t>
      </w:r>
      <w:r>
        <w:rPr>
          <w:rFonts w:hint="eastAsia"/>
        </w:rPr>
        <w:t>耕地面积</w:t>
      </w:r>
      <w:r>
        <w:t>1015亩。2013年，集体经济收入5万元，</w:t>
      </w:r>
      <w:r>
        <w:rPr>
          <w:rFonts w:hint="eastAsia"/>
        </w:rPr>
        <w:t>农村人均纯收入</w:t>
      </w:r>
      <w:r>
        <w:t>7978元。</w:t>
      </w:r>
    </w:p>
    <w:p w14:paraId="48522901">
      <w:pPr>
        <w:rPr>
          <w:rFonts w:hint="eastAsia"/>
          <w:lang w:eastAsia="zh-CN"/>
        </w:rPr>
      </w:pPr>
      <w:r>
        <w:rPr>
          <w:rFonts w:hint="eastAsia"/>
        </w:rPr>
        <w:t>角湾村委会辖</w:t>
      </w:r>
      <w:r>
        <w:t>9个村民小组，375户，1532</w:t>
      </w:r>
      <w:r>
        <w:rPr>
          <w:rFonts w:hint="eastAsia"/>
        </w:rPr>
        <w:t>人，耕地面积</w:t>
      </w:r>
      <w:r>
        <w:t>1262亩。2013年，集体经济收入9</w:t>
      </w:r>
      <w:r>
        <w:rPr>
          <w:rFonts w:hint="eastAsia"/>
        </w:rPr>
        <w:t>万元，农村人均纯收入</w:t>
      </w:r>
      <w:r>
        <w:t>7654元</w:t>
      </w:r>
      <w:r>
        <w:rPr>
          <w:rFonts w:hint="eastAsia"/>
          <w:lang w:eastAsia="zh-CN"/>
        </w:rPr>
        <w:t>。</w:t>
      </w:r>
    </w:p>
    <w:p w14:paraId="4D006DF5">
      <w:pPr>
        <w:rPr>
          <w:rFonts w:hint="eastAsia"/>
          <w:lang w:eastAsia="zh-CN"/>
        </w:rPr>
      </w:pPr>
      <w:r>
        <w:rPr>
          <w:rFonts w:hint="eastAsia"/>
        </w:rPr>
        <w:t>社区居委会辖</w:t>
      </w:r>
      <w:r>
        <w:t>1个村民小组，1310户，3736</w:t>
      </w:r>
      <w:r>
        <w:rPr>
          <w:rFonts w:hint="eastAsia"/>
        </w:rPr>
        <w:t>人，地处珠玑镇中心，西侧紧靠新</w:t>
      </w:r>
      <w:r>
        <w:t>323国道和韶赣</w:t>
      </w:r>
      <w:r>
        <w:rPr>
          <w:rFonts w:hint="eastAsia"/>
        </w:rPr>
        <w:t>高速公路，地理位置非常优越。社区内有珠玑新旧城区、仿宋一条街、文化商业广场、中心墟镇菜市场、珠玑中心小学、珠玑中学及珠玑古巷、大雄禅寺旅游景区，是一个集商贸、居住、旅游的混合型社区</w:t>
      </w:r>
      <w:r>
        <w:rPr>
          <w:rFonts w:hint="eastAsia"/>
          <w:lang w:eastAsia="zh-CN"/>
        </w:rPr>
        <w:t>。</w:t>
      </w:r>
    </w:p>
    <w:p w14:paraId="5C1BB801">
      <w:pPr>
        <w:jc w:val="right"/>
        <w:rPr>
          <w:rFonts w:hint="eastAsia"/>
          <w:b/>
          <w:bCs/>
        </w:rPr>
      </w:pPr>
      <w:r>
        <w:rPr>
          <w:rFonts w:hint="eastAsia"/>
          <w:b/>
          <w:bCs/>
        </w:rPr>
        <w:t>（吴沁蔚）</w:t>
      </w:r>
    </w:p>
    <w:p w14:paraId="57D0A0B3">
      <w:pPr>
        <w:pStyle w:val="10"/>
        <w:bidi w:val="0"/>
        <w:rPr>
          <w:b/>
          <w:bCs/>
        </w:rPr>
      </w:pPr>
      <w:r>
        <w:rPr>
          <w:rFonts w:hint="eastAsia"/>
          <w:b/>
          <w:bCs/>
        </w:rPr>
        <w:t>附：</w:t>
      </w:r>
      <w:r>
        <w:rPr>
          <w:b/>
          <w:bCs/>
        </w:rPr>
        <w:t>2013年珠玑镇领导班子成员名单</w:t>
      </w:r>
    </w:p>
    <w:p w14:paraId="662D3087">
      <w:pPr>
        <w:pStyle w:val="10"/>
        <w:bidi w:val="0"/>
      </w:pPr>
      <w:r>
        <w:rPr>
          <w:rFonts w:hint="eastAsia"/>
          <w:b/>
          <w:bCs/>
        </w:rPr>
        <w:t>党委书记、人大主席</w:t>
      </w:r>
      <w:r>
        <w:rPr>
          <w:rFonts w:hint="eastAsia"/>
        </w:rPr>
        <w:t>：吴良彬（任至</w:t>
      </w:r>
      <w:r>
        <w:t>9月）</w:t>
      </w:r>
    </w:p>
    <w:p w14:paraId="1F9D658A">
      <w:pPr>
        <w:pStyle w:val="10"/>
        <w:bidi w:val="0"/>
        <w:ind w:firstLine="2100" w:firstLineChars="1000"/>
      </w:pPr>
      <w:r>
        <w:rPr>
          <w:rFonts w:hint="eastAsia"/>
        </w:rPr>
        <w:t>王高峰（</w:t>
      </w:r>
      <w:r>
        <w:t>9月任）</w:t>
      </w:r>
    </w:p>
    <w:p w14:paraId="6468EA5A">
      <w:pPr>
        <w:pStyle w:val="10"/>
        <w:bidi w:val="0"/>
        <w:rPr>
          <w:rFonts w:hint="eastAsia"/>
        </w:rPr>
      </w:pPr>
      <w:r>
        <w:rPr>
          <w:rFonts w:hint="eastAsia"/>
          <w:b/>
          <w:bCs/>
        </w:rPr>
        <w:t>党委副书记、镇长：</w:t>
      </w:r>
      <w:r>
        <w:rPr>
          <w:rFonts w:hint="eastAsia"/>
        </w:rPr>
        <w:t>陈志光</w:t>
      </w:r>
    </w:p>
    <w:p w14:paraId="0AE77E10">
      <w:pPr>
        <w:pStyle w:val="10"/>
        <w:bidi w:val="0"/>
        <w:rPr>
          <w:rFonts w:hint="eastAsia"/>
        </w:rPr>
      </w:pPr>
      <w:r>
        <w:rPr>
          <w:rFonts w:hint="eastAsia"/>
          <w:b/>
          <w:bCs/>
        </w:rPr>
        <w:t>党委副书记：</w:t>
      </w:r>
      <w:r>
        <w:rPr>
          <w:rFonts w:hint="eastAsia"/>
        </w:rPr>
        <w:t>巫钟晟</w:t>
      </w:r>
    </w:p>
    <w:p w14:paraId="6210DD24">
      <w:pPr>
        <w:pStyle w:val="10"/>
        <w:bidi w:val="0"/>
        <w:rPr>
          <w:rFonts w:hint="eastAsia"/>
        </w:rPr>
      </w:pPr>
      <w:r>
        <w:rPr>
          <w:rFonts w:hint="eastAsia"/>
          <w:b/>
          <w:bCs/>
        </w:rPr>
        <w:t>纪委书记：</w:t>
      </w:r>
      <w:r>
        <w:rPr>
          <w:rFonts w:hint="eastAsia"/>
        </w:rPr>
        <w:t>邱建平</w:t>
      </w:r>
    </w:p>
    <w:p w14:paraId="38AFAB44">
      <w:pPr>
        <w:pStyle w:val="10"/>
        <w:bidi w:val="0"/>
        <w:rPr>
          <w:rFonts w:hint="eastAsia"/>
        </w:rPr>
      </w:pPr>
      <w:r>
        <w:rPr>
          <w:rFonts w:hint="eastAsia"/>
          <w:b/>
          <w:bCs/>
        </w:rPr>
        <w:t>组织委员：</w:t>
      </w:r>
      <w:r>
        <w:rPr>
          <w:rFonts w:hint="eastAsia"/>
        </w:rPr>
        <w:t>刘志鹏</w:t>
      </w:r>
    </w:p>
    <w:p w14:paraId="2601E8BE">
      <w:pPr>
        <w:pStyle w:val="10"/>
        <w:bidi w:val="0"/>
        <w:rPr>
          <w:rFonts w:hint="eastAsia"/>
        </w:rPr>
      </w:pPr>
      <w:r>
        <w:rPr>
          <w:rFonts w:hint="eastAsia"/>
          <w:b/>
          <w:bCs/>
        </w:rPr>
        <w:t>宣传委员：</w:t>
      </w:r>
      <w:r>
        <w:rPr>
          <w:rFonts w:hint="eastAsia"/>
        </w:rPr>
        <w:t>叶邱婷</w:t>
      </w:r>
    </w:p>
    <w:p w14:paraId="61928652">
      <w:pPr>
        <w:pStyle w:val="10"/>
        <w:bidi w:val="0"/>
        <w:rPr>
          <w:rFonts w:hint="eastAsia"/>
        </w:rPr>
      </w:pPr>
      <w:r>
        <w:rPr>
          <w:rFonts w:hint="eastAsia"/>
          <w:b/>
          <w:bCs/>
        </w:rPr>
        <w:t>人大副主席：</w:t>
      </w:r>
      <w:r>
        <w:rPr>
          <w:rFonts w:hint="eastAsia"/>
        </w:rPr>
        <w:t>叶东明</w:t>
      </w:r>
    </w:p>
    <w:p w14:paraId="45687A55">
      <w:pPr>
        <w:pStyle w:val="10"/>
        <w:bidi w:val="0"/>
        <w:rPr>
          <w:rFonts w:hint="eastAsia"/>
        </w:rPr>
      </w:pPr>
      <w:r>
        <w:rPr>
          <w:rFonts w:hint="eastAsia"/>
          <w:b/>
          <w:bCs/>
        </w:rPr>
        <w:t>武装部长：</w:t>
      </w:r>
      <w:r>
        <w:rPr>
          <w:rFonts w:hint="eastAsia"/>
        </w:rPr>
        <w:t>杜香桥</w:t>
      </w:r>
    </w:p>
    <w:p w14:paraId="5C3CA610">
      <w:pPr>
        <w:pStyle w:val="10"/>
        <w:bidi w:val="0"/>
        <w:rPr>
          <w:rFonts w:hint="eastAsia"/>
        </w:rPr>
      </w:pPr>
      <w:r>
        <w:rPr>
          <w:rFonts w:hint="eastAsia"/>
          <w:b/>
          <w:bCs/>
        </w:rPr>
        <w:t>综治办专职副主任：</w:t>
      </w:r>
      <w:r>
        <w:rPr>
          <w:rFonts w:hint="eastAsia"/>
        </w:rPr>
        <w:t>张朝林</w:t>
      </w:r>
    </w:p>
    <w:p w14:paraId="7E7D7301">
      <w:pPr>
        <w:pStyle w:val="10"/>
        <w:bidi w:val="0"/>
        <w:rPr>
          <w:rFonts w:hint="eastAsia"/>
        </w:rPr>
      </w:pPr>
      <w:r>
        <w:rPr>
          <w:rFonts w:hint="eastAsia"/>
          <w:b/>
          <w:bCs/>
        </w:rPr>
        <w:t>党委委员：</w:t>
      </w:r>
      <w:r>
        <w:rPr>
          <w:rFonts w:hint="eastAsia"/>
        </w:rPr>
        <w:t>张东林</w:t>
      </w:r>
    </w:p>
    <w:p w14:paraId="714C1975">
      <w:pPr>
        <w:pStyle w:val="10"/>
        <w:bidi w:val="0"/>
        <w:rPr>
          <w:rFonts w:hint="eastAsia"/>
        </w:rPr>
      </w:pPr>
      <w:r>
        <w:rPr>
          <w:rFonts w:hint="eastAsia"/>
          <w:b/>
          <w:bCs/>
        </w:rPr>
        <w:t>副镇长：</w:t>
      </w:r>
      <w:r>
        <w:rPr>
          <w:rFonts w:hint="eastAsia"/>
        </w:rPr>
        <w:t>高</w:t>
      </w:r>
      <w:r>
        <w:rPr>
          <w:rFonts w:hint="eastAsia"/>
          <w:lang w:val="en-US" w:eastAsia="zh-CN"/>
        </w:rPr>
        <w:t xml:space="preserve">  </w:t>
      </w:r>
      <w:r>
        <w:rPr>
          <w:rFonts w:hint="eastAsia"/>
        </w:rPr>
        <w:t>铭</w:t>
      </w:r>
      <w:r>
        <w:rPr>
          <w:rFonts w:hint="eastAsia"/>
          <w:lang w:val="en-US" w:eastAsia="zh-CN"/>
        </w:rPr>
        <w:t xml:space="preserve">   </w:t>
      </w:r>
      <w:r>
        <w:rPr>
          <w:rFonts w:hint="eastAsia"/>
        </w:rPr>
        <w:t>刘景文</w:t>
      </w:r>
      <w:r>
        <w:rPr>
          <w:rFonts w:hint="eastAsia"/>
          <w:lang w:val="en-US" w:eastAsia="zh-CN"/>
        </w:rPr>
        <w:t xml:space="preserve">   </w:t>
      </w:r>
      <w:r>
        <w:rPr>
          <w:rFonts w:hint="eastAsia"/>
        </w:rPr>
        <w:t>赖建志</w:t>
      </w:r>
    </w:p>
    <w:p w14:paraId="07684DF2">
      <w:pPr>
        <w:pStyle w:val="3"/>
        <w:bidi w:val="0"/>
        <w:rPr>
          <w:rFonts w:hint="eastAsia"/>
        </w:rPr>
      </w:pPr>
      <w:r>
        <w:rPr>
          <w:rFonts w:hint="eastAsia"/>
        </w:rPr>
        <w:t>古市镇</w:t>
      </w:r>
    </w:p>
    <w:p w14:paraId="441AB7E1">
      <w:pPr>
        <w:pStyle w:val="4"/>
        <w:bidi w:val="0"/>
        <w:rPr>
          <w:rFonts w:hint="eastAsia"/>
        </w:rPr>
      </w:pPr>
      <w:r>
        <w:rPr>
          <w:rFonts w:hint="eastAsia"/>
        </w:rPr>
        <w:t>【概况】</w:t>
      </w:r>
    </w:p>
    <w:p w14:paraId="2AEA0611">
      <w:r>
        <w:rPr>
          <w:rFonts w:hint="eastAsia"/>
        </w:rPr>
        <w:t>古市镇位于南雄市南部，左邻主田，南与始兴交接，北与全安、雄州交接。距市区</w:t>
      </w:r>
      <w:r>
        <w:t>8公</w:t>
      </w:r>
      <w:r>
        <w:rPr>
          <w:rFonts w:hint="eastAsia"/>
        </w:rPr>
        <w:t>里，有修仁、古市、丹布、溪口、小坑、三角岭</w:t>
      </w:r>
      <w:r>
        <w:rPr>
          <w:rFonts w:hint="eastAsia"/>
          <w:lang w:eastAsia="zh-CN"/>
        </w:rPr>
        <w:t>、</w:t>
      </w:r>
      <w:r>
        <w:rPr>
          <w:rFonts w:hint="eastAsia"/>
        </w:rPr>
        <w:t>柴岭、丰源</w:t>
      </w:r>
      <w:r>
        <w:t>8个村委会和1个社区居委会，123个</w:t>
      </w:r>
      <w:r>
        <w:rPr>
          <w:rFonts w:hint="eastAsia"/>
        </w:rPr>
        <w:t>村小组，总人口</w:t>
      </w:r>
      <w:r>
        <w:t>21331人，总户数4738户，其中农</w:t>
      </w:r>
      <w:r>
        <w:rPr>
          <w:rFonts w:hint="eastAsia"/>
        </w:rPr>
        <w:t>业人口</w:t>
      </w:r>
      <w:r>
        <w:t>19574，总面积100.4平方公里，其中耕地</w:t>
      </w:r>
      <w:r>
        <w:rPr>
          <w:rFonts w:hint="eastAsia"/>
        </w:rPr>
        <w:t>面积</w:t>
      </w:r>
      <w:r>
        <w:t>1695.93公顷。交通四通八达，国道323线穿</w:t>
      </w:r>
      <w:r>
        <w:rPr>
          <w:rFonts w:hint="eastAsia"/>
        </w:rPr>
        <w:t>镇而过，</w:t>
      </w:r>
      <w:r>
        <w:t>8个村通公里，各村委会均实现办公用房</w:t>
      </w:r>
      <w:r>
        <w:rPr>
          <w:rFonts w:hint="eastAsia"/>
        </w:rPr>
        <w:t>楼房化。农业生产主要以种植黄烟、水稻、花生为主。</w:t>
      </w:r>
      <w:r>
        <w:t>2013年全镇实现农村经济总收入31383万元，</w:t>
      </w:r>
      <w:r>
        <w:rPr>
          <w:rFonts w:hint="eastAsia"/>
        </w:rPr>
        <w:t>农民人均纯收入</w:t>
      </w:r>
      <w:r>
        <w:t>8500元，是南雄黄烟生产大镇。</w:t>
      </w:r>
    </w:p>
    <w:p w14:paraId="645F4B43">
      <w:pPr>
        <w:pStyle w:val="4"/>
        <w:bidi w:val="0"/>
        <w:rPr>
          <w:rFonts w:hint="eastAsia"/>
        </w:rPr>
      </w:pPr>
      <w:r>
        <w:rPr>
          <w:rFonts w:hint="eastAsia"/>
        </w:rPr>
        <w:t>【</w:t>
      </w:r>
      <w:r>
        <w:rPr>
          <w:rFonts w:hint="eastAsia"/>
          <w:lang w:val="en-US" w:eastAsia="zh-CN"/>
        </w:rPr>
        <w:t>黄</w:t>
      </w:r>
      <w:r>
        <w:rPr>
          <w:rFonts w:hint="eastAsia"/>
        </w:rPr>
        <w:t>烟生产】</w:t>
      </w:r>
    </w:p>
    <w:p w14:paraId="2C57F243">
      <w:r>
        <w:rPr>
          <w:rFonts w:hint="eastAsia"/>
        </w:rPr>
        <w:t>黄烟既是古市镇财政收重要组成部分，又是增加农民</w:t>
      </w:r>
      <w:r>
        <w:rPr>
          <w:rFonts w:hint="eastAsia"/>
          <w:lang w:eastAsia="zh-CN"/>
        </w:rPr>
        <w:t>收入</w:t>
      </w:r>
      <w:r>
        <w:rPr>
          <w:rFonts w:hint="eastAsia"/>
        </w:rPr>
        <w:t>最直接有效经济来源。通过大力宣传黄烟生产优惠政策，严格落实黄烟生产层级动态管理责任制，狠抓黄烟生产基础建设等措施，极大地提高农民种烟的积极性，在全镇镇试点的散烟收购政策更是进一步减轻烟农的劳动强度，提高工作效率。</w:t>
      </w:r>
      <w:r>
        <w:t>2013年，完成烟叶收购32900担</w:t>
      </w:r>
      <w:r>
        <w:rPr>
          <w:rFonts w:hint="eastAsia"/>
          <w:lang w:eastAsia="zh-CN"/>
        </w:rPr>
        <w:t>，</w:t>
      </w:r>
      <w:r>
        <w:rPr>
          <w:rFonts w:hint="eastAsia"/>
        </w:rPr>
        <w:t>均价达到</w:t>
      </w:r>
      <w:r>
        <w:t>12.45元/市斤，为农民增收4100万元。</w:t>
      </w:r>
    </w:p>
    <w:p w14:paraId="5EFDD76C">
      <w:pPr>
        <w:pStyle w:val="4"/>
        <w:bidi w:val="0"/>
        <w:rPr>
          <w:rFonts w:hint="eastAsia"/>
        </w:rPr>
      </w:pPr>
      <w:r>
        <w:rPr>
          <w:rFonts w:hint="eastAsia"/>
        </w:rPr>
        <w:t>【农业农村经济】</w:t>
      </w:r>
    </w:p>
    <w:p w14:paraId="00F1D7B9">
      <w:pPr>
        <w:rPr>
          <w:rFonts w:hint="eastAsia"/>
        </w:rPr>
      </w:pPr>
      <w:r>
        <w:rPr>
          <w:rFonts w:hint="eastAsia"/>
        </w:rPr>
        <w:t>重视科技，注重培训，大力推</w:t>
      </w:r>
      <w:r>
        <w:rPr>
          <w:rFonts w:hint="eastAsia"/>
          <w:lang w:val="en-US" w:eastAsia="zh-CN"/>
        </w:rPr>
        <w:t>广</w:t>
      </w:r>
      <w:r>
        <w:rPr>
          <w:rFonts w:hint="eastAsia"/>
        </w:rPr>
        <w:t>优质稻种植。</w:t>
      </w:r>
      <w:r>
        <w:t>2013年，古市镇粮食总产达13311</w:t>
      </w:r>
      <w:r>
        <w:rPr>
          <w:rFonts w:hint="eastAsia"/>
        </w:rPr>
        <w:t>吨，粮食产量同比增长</w:t>
      </w:r>
      <w:r>
        <w:t>7.14%。花生、大豆等经济</w:t>
      </w:r>
      <w:r>
        <w:rPr>
          <w:rFonts w:hint="eastAsia"/>
        </w:rPr>
        <w:t>作物也获得丰收，种养业发展迅速，养殖业向专业化、规模化发展，成为农村经济发展新的增长点。</w:t>
      </w:r>
    </w:p>
    <w:p w14:paraId="212FD751">
      <w:pPr>
        <w:pStyle w:val="4"/>
        <w:bidi w:val="0"/>
        <w:rPr>
          <w:rFonts w:hint="eastAsia"/>
        </w:rPr>
      </w:pPr>
      <w:r>
        <w:rPr>
          <w:rFonts w:hint="eastAsia"/>
        </w:rPr>
        <w:t>【</w:t>
      </w:r>
      <w:r>
        <w:rPr>
          <w:rFonts w:hint="eastAsia"/>
          <w:lang w:val="en-US" w:eastAsia="zh-CN"/>
        </w:rPr>
        <w:t>统</w:t>
      </w:r>
      <w:r>
        <w:rPr>
          <w:rFonts w:hint="eastAsia"/>
        </w:rPr>
        <w:t>计工作】</w:t>
      </w:r>
    </w:p>
    <w:p w14:paraId="38FFB42D">
      <w:r>
        <w:rPr>
          <w:rFonts w:hint="eastAsia"/>
        </w:rPr>
        <w:t>按照市统计部门要求，完成农业</w:t>
      </w:r>
      <w:r>
        <w:rPr>
          <w:rFonts w:hint="eastAsia"/>
          <w:lang w:eastAsia="zh-CN"/>
        </w:rPr>
        <w:t>、</w:t>
      </w:r>
      <w:r>
        <w:rPr>
          <w:rFonts w:hint="eastAsia"/>
        </w:rPr>
        <w:t>工业、固定资产以及劳动力的统计，进一步加强统计站基础建设工作，加强统计专用设备管理，古市镇按时完成年报、季报、月报的报送工作。固定资产投资增速明显，</w:t>
      </w:r>
      <w:r>
        <w:t>2013年，完成固定资产投资1.8426亿元，比2012年增加6000多万元，同比增</w:t>
      </w:r>
      <w:r>
        <w:rPr>
          <w:rFonts w:hint="eastAsia"/>
        </w:rPr>
        <w:t>长</w:t>
      </w:r>
      <w:r>
        <w:t>60.22%。</w:t>
      </w:r>
    </w:p>
    <w:p w14:paraId="74CEB3A3">
      <w:pPr>
        <w:pStyle w:val="4"/>
        <w:bidi w:val="0"/>
        <w:rPr>
          <w:rFonts w:hint="eastAsia"/>
        </w:rPr>
      </w:pPr>
      <w:r>
        <w:rPr>
          <w:rFonts w:hint="eastAsia"/>
          <w:lang w:eastAsia="zh-CN"/>
        </w:rPr>
        <w:t>【</w:t>
      </w:r>
      <w:r>
        <w:rPr>
          <w:rFonts w:hint="eastAsia"/>
          <w:lang w:val="en-US" w:eastAsia="zh-CN"/>
        </w:rPr>
        <w:t>重</w:t>
      </w:r>
      <w:r>
        <w:rPr>
          <w:rFonts w:hint="eastAsia"/>
        </w:rPr>
        <w:t>点项目建设】</w:t>
      </w:r>
    </w:p>
    <w:p w14:paraId="151B128A">
      <w:pPr>
        <w:rPr>
          <w:rFonts w:hint="eastAsia"/>
        </w:rPr>
      </w:pPr>
      <w:r>
        <w:t>2013年，韶赣铁路、烟基项</w:t>
      </w:r>
      <w:r>
        <w:rPr>
          <w:rFonts w:hint="eastAsia"/>
        </w:rPr>
        <w:t>目、水利节水工程、高标准农田建设等多个重点项目在古市镇实施，古市镇安排专职人员跟踪重点项目工程，及时协调解决碰到的问题和困难，使各项重点项目得以顺利推进，取得比较好成效。为韶赣铁路顺利铺轨和按期开通提供保证。</w:t>
      </w:r>
    </w:p>
    <w:p w14:paraId="7727281A">
      <w:pPr>
        <w:pStyle w:val="4"/>
        <w:bidi w:val="0"/>
        <w:rPr>
          <w:rFonts w:hint="eastAsia"/>
        </w:rPr>
      </w:pPr>
      <w:r>
        <w:rPr>
          <w:rFonts w:hint="eastAsia"/>
        </w:rPr>
        <w:t>【计划生育】</w:t>
      </w:r>
    </w:p>
    <w:p w14:paraId="42C6E024">
      <w:pPr>
        <w:rPr>
          <w:rFonts w:hint="eastAsia"/>
        </w:rPr>
      </w:pPr>
      <w:r>
        <w:rPr>
          <w:rFonts w:hint="eastAsia"/>
        </w:rPr>
        <w:t>古市镇按照一类镇的管理要求，大力开展计生优质服务活动，加大计生工作宣传力度，进一步加强流动人口管理，控制计划外生育，促进计生工作上新台阶。</w:t>
      </w:r>
      <w:r>
        <w:t>2013年新出生人口316</w:t>
      </w:r>
      <w:r>
        <w:rPr>
          <w:rFonts w:hint="eastAsia"/>
        </w:rPr>
        <w:t>人，落实四术</w:t>
      </w:r>
      <w:r>
        <w:t>361例，政策生育率88.29%。全面</w:t>
      </w:r>
      <w:r>
        <w:rPr>
          <w:rFonts w:hint="eastAsia"/>
        </w:rPr>
        <w:t>完成古市、柴岭村委会的计生综改工作，并顺利通过上级部门验收。</w:t>
      </w:r>
    </w:p>
    <w:p w14:paraId="64326E82">
      <w:pPr>
        <w:pStyle w:val="4"/>
        <w:bidi w:val="0"/>
        <w:rPr>
          <w:rFonts w:hint="eastAsia"/>
        </w:rPr>
      </w:pPr>
      <w:r>
        <w:rPr>
          <w:rFonts w:hint="eastAsia"/>
        </w:rPr>
        <w:t>【综治维稳】</w:t>
      </w:r>
    </w:p>
    <w:p w14:paraId="64FA78EF">
      <w:r>
        <w:t>2013年，古市镇排</w:t>
      </w:r>
      <w:r>
        <w:rPr>
          <w:rFonts w:hint="eastAsia"/>
          <w:lang w:eastAsia="zh-CN"/>
        </w:rPr>
        <w:t>查</w:t>
      </w:r>
      <w:r>
        <w:t>受理各类民事</w:t>
      </w:r>
      <w:r>
        <w:rPr>
          <w:rFonts w:hint="eastAsia"/>
        </w:rPr>
        <w:t>纠纷</w:t>
      </w:r>
      <w:r>
        <w:t>25件，涉及当事人83人，调解成功25件，成</w:t>
      </w:r>
      <w:r>
        <w:rPr>
          <w:rFonts w:hint="eastAsia"/>
        </w:rPr>
        <w:t>功率</w:t>
      </w:r>
      <w:r>
        <w:t>100%。确保重要节日和重要敏感时段的社会</w:t>
      </w:r>
      <w:r>
        <w:rPr>
          <w:rFonts w:hint="eastAsia"/>
        </w:rPr>
        <w:t>稳定，未发生到省进京非正常上访事件和群体性事件。同时，切实抓好安全生产工作。严格落实安全生产责任制，开展生产安全隐患排</w:t>
      </w:r>
      <w:r>
        <w:rPr>
          <w:rFonts w:hint="eastAsia"/>
          <w:lang w:eastAsia="zh-CN"/>
        </w:rPr>
        <w:t>查</w:t>
      </w:r>
      <w:r>
        <w:rPr>
          <w:rFonts w:hint="eastAsia"/>
        </w:rPr>
        <w:t>，及时消除安全隐患。</w:t>
      </w:r>
      <w:r>
        <w:t>2013年古市镇没有发生安全生产事故。</w:t>
      </w:r>
    </w:p>
    <w:p w14:paraId="6AF8653C">
      <w:pPr>
        <w:pStyle w:val="4"/>
        <w:bidi w:val="0"/>
        <w:rPr>
          <w:rFonts w:hint="eastAsia"/>
        </w:rPr>
      </w:pPr>
      <w:r>
        <w:rPr>
          <w:rFonts w:hint="eastAsia"/>
        </w:rPr>
        <w:t>【畜牧发展】</w:t>
      </w:r>
    </w:p>
    <w:p w14:paraId="2B33D5B8">
      <w:pPr>
        <w:rPr>
          <w:rFonts w:hint="eastAsia"/>
        </w:rPr>
      </w:pPr>
      <w:r>
        <w:rPr>
          <w:rFonts w:hint="eastAsia"/>
        </w:rPr>
        <w:t>古市镇大力开展动物防疫创“五无”活动，科学严谨的疾病防控体系逐步建立，牲畜存栏量</w:t>
      </w:r>
      <w:r>
        <w:t>8254头，家禽存栏量30295只，实免30295只，各项免疫率达到100%。2013年，全镇</w:t>
      </w:r>
      <w:r>
        <w:rPr>
          <w:rFonts w:hint="eastAsia"/>
        </w:rPr>
        <w:t>没有发生动物疫情，有效推动镇畜牧业的健康发展。</w:t>
      </w:r>
    </w:p>
    <w:p w14:paraId="223FE059">
      <w:pPr>
        <w:pStyle w:val="4"/>
        <w:bidi w:val="0"/>
        <w:rPr>
          <w:rFonts w:hint="eastAsia"/>
        </w:rPr>
      </w:pPr>
      <w:r>
        <w:rPr>
          <w:rFonts w:hint="eastAsia"/>
        </w:rPr>
        <w:t>【扶贫双到】</w:t>
      </w:r>
    </w:p>
    <w:p w14:paraId="7FFF2C9D">
      <w:pPr>
        <w:rPr>
          <w:rFonts w:hint="eastAsia"/>
        </w:rPr>
      </w:pPr>
      <w:r>
        <w:t>2013年，重点抓好柴岭、小坑、</w:t>
      </w:r>
      <w:r>
        <w:rPr>
          <w:rFonts w:hint="eastAsia"/>
        </w:rPr>
        <w:t>角岭等</w:t>
      </w:r>
      <w:r>
        <w:t>3个贫困村的扶贫工作，扶贫单位工作组已</w:t>
      </w:r>
      <w:r>
        <w:rPr>
          <w:rFonts w:hint="eastAsia"/>
        </w:rPr>
        <w:t>经进驻到各帮扶村，完成与贫困户的帮扶对接工作，并严格按照“因村制宜、一村一策”和“一户</w:t>
      </w:r>
      <w:r>
        <w:rPr>
          <w:rFonts w:hint="eastAsia"/>
          <w:lang w:val="en-US" w:eastAsia="zh-CN"/>
        </w:rPr>
        <w:t>一</w:t>
      </w:r>
      <w:r>
        <w:rPr>
          <w:rFonts w:hint="eastAsia"/>
        </w:rPr>
        <w:t>法、分类指导”的原则制定贫困村和贫困户的</w:t>
      </w:r>
      <w:r>
        <w:t>3</w:t>
      </w:r>
      <w:r>
        <w:rPr>
          <w:rFonts w:hint="eastAsia"/>
        </w:rPr>
        <w:t>年帮扶规划和年度帮扶规划，为</w:t>
      </w:r>
      <w:r>
        <w:t>3年帮扶工作打下</w:t>
      </w:r>
      <w:r>
        <w:rPr>
          <w:rFonts w:hint="eastAsia"/>
        </w:rPr>
        <w:t>坚实基础。目前，</w:t>
      </w:r>
      <w:r>
        <w:t>3个重点帮扶村都成立农民专业</w:t>
      </w:r>
      <w:r>
        <w:rPr>
          <w:rFonts w:hint="eastAsia"/>
        </w:rPr>
        <w:t>合作社、</w:t>
      </w:r>
      <w:r>
        <w:rPr>
          <w:rFonts w:hint="eastAsia"/>
          <w:lang w:val="en-US" w:eastAsia="zh-CN"/>
        </w:rPr>
        <w:t>入</w:t>
      </w:r>
      <w:r>
        <w:rPr>
          <w:rFonts w:hint="eastAsia"/>
        </w:rPr>
        <w:t>股南雄市</w:t>
      </w:r>
      <w:r>
        <w:rPr>
          <w:rFonts w:hint="eastAsia"/>
          <w:lang w:val="en-US" w:eastAsia="zh-CN"/>
        </w:rPr>
        <w:t>浈</w:t>
      </w:r>
      <w:r>
        <w:rPr>
          <w:rFonts w:hint="eastAsia"/>
        </w:rPr>
        <w:t>江电业股份；各项基础设施和扶贫产业稳步推进，完成柴岭村委会改造工程。</w:t>
      </w:r>
    </w:p>
    <w:p w14:paraId="47D447A9">
      <w:pPr>
        <w:pStyle w:val="4"/>
        <w:bidi w:val="0"/>
        <w:rPr>
          <w:rFonts w:hint="eastAsia"/>
        </w:rPr>
      </w:pPr>
      <w:r>
        <w:rPr>
          <w:rFonts w:hint="eastAsia"/>
        </w:rPr>
        <w:t>【农业农村基础设施建设】</w:t>
      </w:r>
    </w:p>
    <w:p w14:paraId="37321221">
      <w:r>
        <w:t>2013年，古市镇完成</w:t>
      </w:r>
      <w:r>
        <w:rPr>
          <w:rFonts w:hint="eastAsia"/>
        </w:rPr>
        <w:t>小坑、三角岭</w:t>
      </w:r>
      <w:r>
        <w:t>1.9公里村道硬底化建设，柴岭村委</w:t>
      </w:r>
      <w:r>
        <w:rPr>
          <w:rFonts w:hint="eastAsia"/>
        </w:rPr>
        <w:t>会至柴岭大桥</w:t>
      </w:r>
      <w:r>
        <w:t>2.2公里正在建设；争取资金1800</w:t>
      </w:r>
      <w:r>
        <w:rPr>
          <w:rFonts w:hint="eastAsia"/>
        </w:rPr>
        <w:t>多万建设修仁、丰源、丹布等村的节水灌溉工程，解决</w:t>
      </w:r>
      <w:r>
        <w:t>6000多亩农田长期灌溉难的问题；加大烟基</w:t>
      </w:r>
      <w:r>
        <w:rPr>
          <w:rFonts w:hint="eastAsia"/>
        </w:rPr>
        <w:t>设施建设力度，</w:t>
      </w:r>
      <w:r>
        <w:t>2013年新建烤房105间。</w:t>
      </w:r>
    </w:p>
    <w:p w14:paraId="3FA5516A">
      <w:pPr>
        <w:pStyle w:val="4"/>
        <w:bidi w:val="0"/>
        <w:rPr>
          <w:rFonts w:hint="eastAsia"/>
        </w:rPr>
      </w:pPr>
      <w:r>
        <w:rPr>
          <w:rFonts w:hint="eastAsia"/>
        </w:rPr>
        <w:t>【国土资源】</w:t>
      </w:r>
    </w:p>
    <w:p w14:paraId="0EEB8E6E">
      <w:pPr>
        <w:rPr>
          <w:rFonts w:hint="eastAsia"/>
          <w:lang w:eastAsia="zh-CN"/>
        </w:rPr>
      </w:pPr>
      <w:r>
        <w:rPr>
          <w:rFonts w:hint="eastAsia"/>
        </w:rPr>
        <w:t>古市镇抓住整治“两违”的有利时机，大力推进城镇化建设，加强对违法用地建房的巡</w:t>
      </w:r>
      <w:r>
        <w:rPr>
          <w:rFonts w:hint="eastAsia"/>
          <w:lang w:eastAsia="zh-CN"/>
        </w:rPr>
        <w:t>查</w:t>
      </w:r>
      <w:r>
        <w:rPr>
          <w:rFonts w:hint="eastAsia"/>
        </w:rPr>
        <w:t>力度，</w:t>
      </w:r>
      <w:r>
        <w:t>2013年制止62宗非法占地建房的行为，</w:t>
      </w:r>
      <w:r>
        <w:rPr>
          <w:rFonts w:hint="eastAsia"/>
        </w:rPr>
        <w:t>并发出</w:t>
      </w:r>
      <w:r>
        <w:t>55份《责令停止土地违法行为通知书》，有</w:t>
      </w:r>
      <w:r>
        <w:rPr>
          <w:rFonts w:hint="eastAsia"/>
        </w:rPr>
        <w:t>效制止违法占用耕地建房行为的发生。及时调处涉土类信访及土地纠纷处理工作，截止</w:t>
      </w:r>
      <w:r>
        <w:t>12月，全镇</w:t>
      </w:r>
      <w:r>
        <w:rPr>
          <w:rFonts w:hint="eastAsia"/>
        </w:rPr>
        <w:t>调处</w:t>
      </w:r>
      <w:r>
        <w:t>26宗涉土类纠纷</w:t>
      </w:r>
      <w:r>
        <w:rPr>
          <w:rFonts w:hint="eastAsia"/>
          <w:lang w:eastAsia="zh-CN"/>
        </w:rPr>
        <w:t>。</w:t>
      </w:r>
    </w:p>
    <w:p w14:paraId="12ACD5EB">
      <w:pPr>
        <w:pStyle w:val="4"/>
        <w:bidi w:val="0"/>
        <w:rPr>
          <w:rFonts w:hint="eastAsia"/>
        </w:rPr>
      </w:pPr>
      <w:r>
        <w:rPr>
          <w:rFonts w:hint="eastAsia"/>
        </w:rPr>
        <w:t>【林业生态发展】</w:t>
      </w:r>
    </w:p>
    <w:p w14:paraId="3EF70B1A">
      <w:r>
        <w:rPr>
          <w:rFonts w:hint="eastAsia"/>
        </w:rPr>
        <w:t>古市镇以创建“林业生态镇”为契机，抓住市委、市政府提出“绿化南雄”口号的有利时机，加大林政巡</w:t>
      </w:r>
      <w:r>
        <w:rPr>
          <w:rFonts w:hint="eastAsia"/>
          <w:lang w:eastAsia="zh-CN"/>
        </w:rPr>
        <w:t>查</w:t>
      </w:r>
      <w:r>
        <w:rPr>
          <w:rFonts w:hint="eastAsia"/>
        </w:rPr>
        <w:t>和管理力度，认真抓好封山育林和森林防火工作，确保辖区内森林资源的安全。进一步加大生态公益林补贴资金的发放，已完成</w:t>
      </w:r>
      <w:r>
        <w:t>2010年至2012年生态公益林资金发放。</w:t>
      </w:r>
    </w:p>
    <w:p w14:paraId="20467610">
      <w:pPr>
        <w:pStyle w:val="4"/>
        <w:bidi w:val="0"/>
        <w:rPr>
          <w:rFonts w:hint="eastAsia"/>
        </w:rPr>
      </w:pPr>
      <w:r>
        <w:rPr>
          <w:rFonts w:hint="eastAsia"/>
        </w:rPr>
        <w:t>【各</w:t>
      </w:r>
      <w:r>
        <w:rPr>
          <w:rFonts w:hint="eastAsia"/>
          <w:lang w:val="en-US" w:eastAsia="zh-CN"/>
        </w:rPr>
        <w:t>村</w:t>
      </w:r>
      <w:r>
        <w:rPr>
          <w:rFonts w:hint="eastAsia"/>
        </w:rPr>
        <w:t>基本情况】</w:t>
      </w:r>
    </w:p>
    <w:p w14:paraId="74EBC0F8">
      <w:pPr>
        <w:rPr>
          <w:rFonts w:hint="eastAsia"/>
        </w:rPr>
      </w:pPr>
      <w:r>
        <w:rPr>
          <w:rFonts w:hint="eastAsia"/>
          <w:b/>
          <w:bCs/>
        </w:rPr>
        <w:t>古市村</w:t>
      </w:r>
      <w:r>
        <w:rPr>
          <w:rFonts w:hint="eastAsia"/>
          <w:lang w:val="en-US" w:eastAsia="zh-CN"/>
        </w:rPr>
        <w:t xml:space="preserve">  </w:t>
      </w:r>
      <w:r>
        <w:rPr>
          <w:rFonts w:hint="eastAsia"/>
        </w:rPr>
        <w:t>位于古市镇政府西偏北</w:t>
      </w:r>
      <w:r>
        <w:t>10°，距离镇</w:t>
      </w:r>
      <w:r>
        <w:rPr>
          <w:rFonts w:hint="eastAsia"/>
        </w:rPr>
        <w:t>政府约</w:t>
      </w:r>
      <w:r>
        <w:t>2公里。辖区共31个村小组，人口总数3877人，共861户，其中劳动力总数为2266人。</w:t>
      </w:r>
      <w:r>
        <w:rPr>
          <w:rFonts w:hint="eastAsia"/>
        </w:rPr>
        <w:t>耕地面积</w:t>
      </w:r>
      <w:r>
        <w:t>362.8公顷。主要农作物有黄烟、水稻</w:t>
      </w:r>
      <w:r>
        <w:rPr>
          <w:rFonts w:hint="eastAsia"/>
          <w:lang w:eastAsia="zh-CN"/>
        </w:rPr>
        <w:t>、</w:t>
      </w:r>
      <w:r>
        <w:rPr>
          <w:rFonts w:hint="eastAsia"/>
        </w:rPr>
        <w:t>花生、番薯。主要牲畜为鸡、鸭、猪、牛。</w:t>
      </w:r>
    </w:p>
    <w:p w14:paraId="5966B4D9">
      <w:pPr>
        <w:rPr>
          <w:rFonts w:hint="eastAsia"/>
        </w:rPr>
      </w:pPr>
      <w:r>
        <w:rPr>
          <w:rFonts w:hint="eastAsia"/>
          <w:b/>
          <w:bCs/>
        </w:rPr>
        <w:t>丹布村</w:t>
      </w:r>
      <w:r>
        <w:rPr>
          <w:rFonts w:hint="eastAsia"/>
          <w:b/>
          <w:bCs/>
          <w:lang w:val="en-US" w:eastAsia="zh-CN"/>
        </w:rPr>
        <w:t xml:space="preserve">  </w:t>
      </w:r>
      <w:r>
        <w:rPr>
          <w:rFonts w:hint="eastAsia"/>
        </w:rPr>
        <w:t>位于古市镇政府正北方，距离镇政府约</w:t>
      </w:r>
      <w:r>
        <w:t>1公里。辖区共15个村小组，人口总数4034人，</w:t>
      </w:r>
      <w:r>
        <w:rPr>
          <w:rFonts w:hint="eastAsia"/>
        </w:rPr>
        <w:t>共</w:t>
      </w:r>
      <w:r>
        <w:t>896户，其中劳动力总数为2358人。耕地面积247.6公顷。主要农作物有黄烟、水稻、花生、番</w:t>
      </w:r>
      <w:r>
        <w:rPr>
          <w:rFonts w:hint="eastAsia"/>
        </w:rPr>
        <w:t>薯。主要牲畜为鸡、鸭、猪、牛。</w:t>
      </w:r>
    </w:p>
    <w:p w14:paraId="5D539F3C">
      <w:pPr>
        <w:rPr>
          <w:rFonts w:hint="eastAsia"/>
        </w:rPr>
      </w:pPr>
      <w:r>
        <w:rPr>
          <w:rFonts w:hint="eastAsia"/>
          <w:b/>
          <w:bCs/>
        </w:rPr>
        <w:t>溪口村</w:t>
      </w:r>
      <w:r>
        <w:rPr>
          <w:rFonts w:hint="eastAsia"/>
          <w:b/>
          <w:bCs/>
          <w:lang w:val="en-US" w:eastAsia="zh-CN"/>
        </w:rPr>
        <w:t xml:space="preserve">  </w:t>
      </w:r>
      <w:r>
        <w:rPr>
          <w:rFonts w:hint="eastAsia"/>
        </w:rPr>
        <w:t>位于古市镇政府北偏东</w:t>
      </w:r>
      <w:r>
        <w:t>40°，距离镇</w:t>
      </w:r>
      <w:r>
        <w:rPr>
          <w:rFonts w:hint="eastAsia"/>
        </w:rPr>
        <w:t>政府约</w:t>
      </w:r>
      <w:r>
        <w:t>3公里。辖区共20个村小组，人口总数3624人，共805户，其中劳动力总数为2119人。</w:t>
      </w:r>
      <w:r>
        <w:rPr>
          <w:rFonts w:hint="eastAsia"/>
        </w:rPr>
        <w:t>耕地面积</w:t>
      </w:r>
      <w:r>
        <w:t>258.67公顷。主要农作物有黄烟、水稻</w:t>
      </w:r>
      <w:r>
        <w:rPr>
          <w:rFonts w:hint="eastAsia"/>
          <w:lang w:eastAsia="zh-CN"/>
        </w:rPr>
        <w:t>、</w:t>
      </w:r>
      <w:r>
        <w:rPr>
          <w:rFonts w:hint="eastAsia"/>
        </w:rPr>
        <w:t>花生、番薯。主要牲畜为鸡、鸭、猪、牛。</w:t>
      </w:r>
    </w:p>
    <w:p w14:paraId="03241A33">
      <w:pPr>
        <w:rPr>
          <w:rFonts w:hint="eastAsia"/>
        </w:rPr>
      </w:pPr>
      <w:r>
        <w:rPr>
          <w:rFonts w:hint="eastAsia"/>
          <w:b/>
          <w:bCs/>
        </w:rPr>
        <w:t>修仁村</w:t>
      </w:r>
      <w:r>
        <w:rPr>
          <w:rFonts w:hint="eastAsia"/>
          <w:b/>
          <w:bCs/>
          <w:lang w:val="en-US" w:eastAsia="zh-CN"/>
        </w:rPr>
        <w:t xml:space="preserve">  </w:t>
      </w:r>
      <w:r>
        <w:rPr>
          <w:rFonts w:hint="eastAsia"/>
        </w:rPr>
        <w:t>位于古市镇政府北偏东</w:t>
      </w:r>
      <w:r>
        <w:t>15°，距离镇</w:t>
      </w:r>
      <w:r>
        <w:rPr>
          <w:rFonts w:hint="eastAsia"/>
        </w:rPr>
        <w:t>政府约</w:t>
      </w:r>
      <w:r>
        <w:t>5公里。辖区共14个村小组，人口总数2922人，共649户，其中劳动力总数为1708人。</w:t>
      </w:r>
      <w:r>
        <w:rPr>
          <w:rFonts w:hint="eastAsia"/>
        </w:rPr>
        <w:t>耕地面积</w:t>
      </w:r>
      <w:r>
        <w:t>183.33公顷。主要农作物有黄烟、水稻</w:t>
      </w:r>
      <w:r>
        <w:rPr>
          <w:rFonts w:hint="eastAsia"/>
          <w:lang w:eastAsia="zh-CN"/>
        </w:rPr>
        <w:t>、</w:t>
      </w:r>
      <w:r>
        <w:rPr>
          <w:rFonts w:hint="eastAsia"/>
        </w:rPr>
        <w:t>花生、番薯。主要牲畜为鸡、鸭、猪、牛。</w:t>
      </w:r>
    </w:p>
    <w:p w14:paraId="1A25CE83">
      <w:pPr>
        <w:rPr>
          <w:rFonts w:hint="eastAsia"/>
        </w:rPr>
      </w:pPr>
      <w:r>
        <w:rPr>
          <w:rFonts w:hint="eastAsia"/>
          <w:b/>
          <w:bCs/>
        </w:rPr>
        <w:t>丰源村</w:t>
      </w:r>
      <w:r>
        <w:rPr>
          <w:rFonts w:hint="eastAsia"/>
          <w:b/>
          <w:bCs/>
          <w:lang w:val="en-US" w:eastAsia="zh-CN"/>
        </w:rPr>
        <w:t xml:space="preserve">  </w:t>
      </w:r>
      <w:r>
        <w:rPr>
          <w:rFonts w:hint="eastAsia"/>
        </w:rPr>
        <w:t>位于古市镇政府北偏东</w:t>
      </w:r>
      <w:r>
        <w:t>15°，距离镇</w:t>
      </w:r>
      <w:r>
        <w:rPr>
          <w:rFonts w:hint="eastAsia"/>
        </w:rPr>
        <w:t>政府约</w:t>
      </w:r>
      <w:r>
        <w:t>7公里。辖区共14个村小组，人口总数2858人，共635户，其中劳动力总数为1671人。</w:t>
      </w:r>
      <w:r>
        <w:rPr>
          <w:rFonts w:hint="eastAsia"/>
        </w:rPr>
        <w:t>耕地面积</w:t>
      </w:r>
      <w:r>
        <w:t>173.3</w:t>
      </w:r>
      <w:r>
        <w:rPr>
          <w:rFonts w:hint="eastAsia"/>
          <w:lang w:val="en-US" w:eastAsia="zh-CN"/>
        </w:rPr>
        <w:t>3</w:t>
      </w:r>
      <w:r>
        <w:t>公顷。主要农作物有黄烟、水稻</w:t>
      </w:r>
      <w:r>
        <w:rPr>
          <w:rFonts w:hint="eastAsia"/>
          <w:lang w:eastAsia="zh-CN"/>
        </w:rPr>
        <w:t>、</w:t>
      </w:r>
      <w:r>
        <w:rPr>
          <w:rFonts w:hint="eastAsia"/>
        </w:rPr>
        <w:t>花生、番薯。主要牲畜为鸡、鸭、猪、牛。</w:t>
      </w:r>
    </w:p>
    <w:p w14:paraId="527ACC7E">
      <w:pPr>
        <w:rPr>
          <w:rFonts w:hint="eastAsia"/>
        </w:rPr>
      </w:pPr>
      <w:r>
        <w:rPr>
          <w:rFonts w:hint="eastAsia"/>
          <w:b/>
          <w:bCs/>
        </w:rPr>
        <w:t>柴岭村</w:t>
      </w:r>
      <w:r>
        <w:rPr>
          <w:rFonts w:hint="eastAsia"/>
          <w:b/>
          <w:bCs/>
          <w:lang w:val="en-US" w:eastAsia="zh-CN"/>
        </w:rPr>
        <w:t xml:space="preserve">  </w:t>
      </w:r>
      <w:r>
        <w:rPr>
          <w:rFonts w:hint="eastAsia"/>
        </w:rPr>
        <w:t>位于古市镇政府正北方，距离镇政府约</w:t>
      </w:r>
      <w:r>
        <w:t>6公里。辖区共13个村小组，人口总数1585人</w:t>
      </w:r>
      <w:r>
        <w:rPr>
          <w:rFonts w:hint="eastAsia"/>
          <w:lang w:eastAsia="zh-CN"/>
        </w:rPr>
        <w:t>，</w:t>
      </w:r>
      <w:r>
        <w:rPr>
          <w:rFonts w:hint="eastAsia"/>
        </w:rPr>
        <w:t>共</w:t>
      </w:r>
      <w:r>
        <w:t>352户，其中劳动力总数为926人。耕地面积178.4公顷。主要农作物有黄烟、水稻、花生、番</w:t>
      </w:r>
      <w:r>
        <w:rPr>
          <w:rFonts w:hint="eastAsia"/>
        </w:rPr>
        <w:t>薯。主要牲畜为鸡、鸭、猪、牛。</w:t>
      </w:r>
    </w:p>
    <w:p w14:paraId="25685591">
      <w:pPr>
        <w:rPr>
          <w:rFonts w:hint="eastAsia"/>
        </w:rPr>
      </w:pPr>
      <w:r>
        <w:rPr>
          <w:rFonts w:hint="eastAsia"/>
          <w:b/>
          <w:bCs/>
        </w:rPr>
        <w:t>小坑村</w:t>
      </w:r>
      <w:r>
        <w:rPr>
          <w:rFonts w:hint="eastAsia"/>
          <w:b/>
          <w:bCs/>
          <w:lang w:val="en-US" w:eastAsia="zh-CN"/>
        </w:rPr>
        <w:t xml:space="preserve">  </w:t>
      </w:r>
      <w:r>
        <w:rPr>
          <w:rFonts w:hint="eastAsia"/>
        </w:rPr>
        <w:t>位于古市镇政府南偏东</w:t>
      </w:r>
      <w:r>
        <w:t>20°，距离镇</w:t>
      </w:r>
      <w:r>
        <w:rPr>
          <w:rFonts w:hint="eastAsia"/>
        </w:rPr>
        <w:t>政府约</w:t>
      </w:r>
      <w:r>
        <w:t>17公里。辖区共11个村小组，人口总数1508人，共335户，其中劳动力总数为881人。耕</w:t>
      </w:r>
      <w:r>
        <w:rPr>
          <w:rFonts w:hint="eastAsia"/>
        </w:rPr>
        <w:t>地面积</w:t>
      </w:r>
      <w:r>
        <w:t>16</w:t>
      </w:r>
      <w:r>
        <w:rPr>
          <w:rFonts w:hint="eastAsia"/>
          <w:lang w:val="en-US" w:eastAsia="zh-CN"/>
        </w:rPr>
        <w:t>6</w:t>
      </w:r>
      <w:r>
        <w:t>.67公顷。主要农作物有黄烟、水稻、</w:t>
      </w:r>
      <w:r>
        <w:rPr>
          <w:rFonts w:hint="eastAsia"/>
        </w:rPr>
        <w:t>花生、番薯。主要牲畜为鸡、鸭、猪、牛。</w:t>
      </w:r>
    </w:p>
    <w:p w14:paraId="6C7F06E8">
      <w:pPr>
        <w:rPr>
          <w:rFonts w:hint="eastAsia"/>
        </w:rPr>
      </w:pPr>
      <w:r>
        <w:rPr>
          <w:rFonts w:hint="eastAsia"/>
          <w:b/>
          <w:bCs/>
        </w:rPr>
        <w:t>三角岭村</w:t>
      </w:r>
      <w:r>
        <w:rPr>
          <w:rFonts w:hint="eastAsia"/>
          <w:lang w:val="en-US" w:eastAsia="zh-CN"/>
        </w:rPr>
        <w:t xml:space="preserve">  </w:t>
      </w:r>
      <w:r>
        <w:rPr>
          <w:rFonts w:hint="eastAsia"/>
        </w:rPr>
        <w:t>位于古市镇政府南偏东</w:t>
      </w:r>
      <w:r>
        <w:t>20°，距离</w:t>
      </w:r>
      <w:r>
        <w:rPr>
          <w:rFonts w:hint="eastAsia"/>
        </w:rPr>
        <w:t>镇政府约</w:t>
      </w:r>
      <w:r>
        <w:t>15公里。辖区共5个村小组，人口总数923人，共205户，其中劳动力总数为540人。耕</w:t>
      </w:r>
      <w:r>
        <w:rPr>
          <w:rFonts w:hint="eastAsia"/>
        </w:rPr>
        <w:t>地面积</w:t>
      </w:r>
      <w:r>
        <w:t>125.13公顷。主要农作物有黄烟、水稻</w:t>
      </w:r>
      <w:r>
        <w:rPr>
          <w:rFonts w:hint="eastAsia"/>
          <w:lang w:eastAsia="zh-CN"/>
        </w:rPr>
        <w:t>、</w:t>
      </w:r>
      <w:r>
        <w:rPr>
          <w:rFonts w:hint="eastAsia"/>
        </w:rPr>
        <w:t>花生、番薯。主要牲畜为鸡、鸭、猪、牛。</w:t>
      </w:r>
    </w:p>
    <w:p w14:paraId="7FE22585">
      <w:pPr>
        <w:pStyle w:val="10"/>
        <w:bidi w:val="0"/>
        <w:rPr>
          <w:b/>
          <w:bCs/>
        </w:rPr>
      </w:pPr>
      <w:r>
        <w:rPr>
          <w:rFonts w:hint="eastAsia"/>
          <w:b/>
          <w:bCs/>
        </w:rPr>
        <w:t>附：</w:t>
      </w:r>
      <w:r>
        <w:rPr>
          <w:b/>
          <w:bCs/>
        </w:rPr>
        <w:t>2013年古市镇领导班子成员名单</w:t>
      </w:r>
    </w:p>
    <w:p w14:paraId="43A5CEAC">
      <w:pPr>
        <w:pStyle w:val="10"/>
        <w:bidi w:val="0"/>
        <w:rPr>
          <w:rFonts w:hint="eastAsia"/>
        </w:rPr>
      </w:pPr>
      <w:r>
        <w:rPr>
          <w:rFonts w:hint="eastAsia"/>
          <w:b/>
          <w:bCs/>
        </w:rPr>
        <w:t>党委书记、人大主席：</w:t>
      </w:r>
      <w:r>
        <w:rPr>
          <w:rFonts w:hint="eastAsia"/>
        </w:rPr>
        <w:t>李卫兰</w:t>
      </w:r>
    </w:p>
    <w:p w14:paraId="16B21242">
      <w:pPr>
        <w:pStyle w:val="10"/>
        <w:bidi w:val="0"/>
      </w:pPr>
      <w:r>
        <w:rPr>
          <w:rFonts w:hint="eastAsia"/>
          <w:b/>
          <w:bCs/>
        </w:rPr>
        <w:t>党委副书记、镇长：</w:t>
      </w:r>
      <w:r>
        <w:rPr>
          <w:rFonts w:hint="eastAsia"/>
        </w:rPr>
        <w:t>曾</w:t>
      </w:r>
      <w:r>
        <w:rPr>
          <w:rFonts w:hint="eastAsia"/>
          <w:lang w:val="en-US" w:eastAsia="zh-CN"/>
        </w:rPr>
        <w:t xml:space="preserve">  </w:t>
      </w:r>
      <w:r>
        <w:rPr>
          <w:rFonts w:hint="eastAsia"/>
        </w:rPr>
        <w:t>智（任至</w:t>
      </w:r>
      <w:r>
        <w:t>9月）</w:t>
      </w:r>
    </w:p>
    <w:p w14:paraId="46709C55">
      <w:pPr>
        <w:pStyle w:val="10"/>
        <w:bidi w:val="0"/>
        <w:ind w:firstLine="1890" w:firstLineChars="900"/>
      </w:pPr>
      <w:r>
        <w:rPr>
          <w:rFonts w:hint="eastAsia"/>
        </w:rPr>
        <w:t>朱世平（</w:t>
      </w:r>
      <w:r>
        <w:t>9月任）</w:t>
      </w:r>
    </w:p>
    <w:p w14:paraId="574F7D34">
      <w:pPr>
        <w:pStyle w:val="10"/>
        <w:bidi w:val="0"/>
        <w:rPr>
          <w:rFonts w:hint="eastAsia"/>
        </w:rPr>
      </w:pPr>
      <w:r>
        <w:rPr>
          <w:rFonts w:hint="eastAsia"/>
          <w:b/>
          <w:bCs/>
        </w:rPr>
        <w:t>党委副书记</w:t>
      </w:r>
      <w:r>
        <w:rPr>
          <w:rFonts w:hint="eastAsia"/>
        </w:rPr>
        <w:t>：夏新坤</w:t>
      </w:r>
    </w:p>
    <w:p w14:paraId="2F3E636B">
      <w:pPr>
        <w:pStyle w:val="10"/>
        <w:bidi w:val="0"/>
        <w:rPr>
          <w:rFonts w:hint="eastAsia"/>
        </w:rPr>
      </w:pPr>
      <w:r>
        <w:rPr>
          <w:rFonts w:hint="eastAsia"/>
          <w:b/>
          <w:bCs/>
        </w:rPr>
        <w:t>纪委书记：</w:t>
      </w:r>
      <w:r>
        <w:rPr>
          <w:rFonts w:hint="eastAsia"/>
        </w:rPr>
        <w:t>何腾林</w:t>
      </w:r>
    </w:p>
    <w:p w14:paraId="221E712A">
      <w:pPr>
        <w:pStyle w:val="10"/>
        <w:bidi w:val="0"/>
        <w:rPr>
          <w:rFonts w:hint="eastAsia"/>
        </w:rPr>
      </w:pPr>
      <w:r>
        <w:rPr>
          <w:rFonts w:hint="eastAsia"/>
          <w:b/>
          <w:bCs/>
        </w:rPr>
        <w:t>组织委员：</w:t>
      </w:r>
      <w:r>
        <w:rPr>
          <w:rFonts w:hint="eastAsia"/>
        </w:rPr>
        <w:t>周晓飞</w:t>
      </w:r>
    </w:p>
    <w:p w14:paraId="15E1ECCD">
      <w:pPr>
        <w:pStyle w:val="10"/>
        <w:bidi w:val="0"/>
        <w:rPr>
          <w:rFonts w:hint="eastAsia"/>
        </w:rPr>
      </w:pPr>
      <w:r>
        <w:rPr>
          <w:rFonts w:hint="eastAsia"/>
          <w:b/>
          <w:bCs/>
        </w:rPr>
        <w:t>宣传委员：</w:t>
      </w:r>
      <w:r>
        <w:rPr>
          <w:rFonts w:hint="eastAsia"/>
        </w:rPr>
        <w:t>吴道连</w:t>
      </w:r>
    </w:p>
    <w:p w14:paraId="22603A6A">
      <w:pPr>
        <w:pStyle w:val="10"/>
        <w:bidi w:val="0"/>
        <w:rPr>
          <w:rFonts w:hint="eastAsia"/>
        </w:rPr>
      </w:pPr>
      <w:r>
        <w:rPr>
          <w:rFonts w:hint="eastAsia"/>
          <w:b/>
          <w:bCs/>
        </w:rPr>
        <w:t>人大副主席：</w:t>
      </w:r>
      <w:r>
        <w:rPr>
          <w:rFonts w:hint="eastAsia"/>
        </w:rPr>
        <w:t>刘光龙</w:t>
      </w:r>
    </w:p>
    <w:p w14:paraId="57339BCE">
      <w:pPr>
        <w:pStyle w:val="10"/>
        <w:bidi w:val="0"/>
        <w:rPr>
          <w:rFonts w:hint="eastAsia"/>
        </w:rPr>
      </w:pPr>
      <w:r>
        <w:rPr>
          <w:rFonts w:hint="eastAsia"/>
          <w:b/>
          <w:bCs/>
        </w:rPr>
        <w:t>武装部长：</w:t>
      </w:r>
      <w:r>
        <w:rPr>
          <w:rFonts w:hint="eastAsia"/>
        </w:rPr>
        <w:t>李祥宏</w:t>
      </w:r>
    </w:p>
    <w:p w14:paraId="46C588E1">
      <w:pPr>
        <w:pStyle w:val="10"/>
        <w:bidi w:val="0"/>
        <w:rPr>
          <w:rFonts w:hint="eastAsia"/>
        </w:rPr>
      </w:pPr>
      <w:r>
        <w:rPr>
          <w:rFonts w:hint="eastAsia"/>
          <w:b/>
          <w:bCs/>
        </w:rPr>
        <w:t>综治办专职副主任：</w:t>
      </w:r>
      <w:r>
        <w:rPr>
          <w:rFonts w:hint="eastAsia"/>
        </w:rPr>
        <w:t>钟</w:t>
      </w:r>
      <w:r>
        <w:rPr>
          <w:rFonts w:hint="eastAsia"/>
          <w:lang w:val="en-US" w:eastAsia="zh-CN"/>
        </w:rPr>
        <w:t xml:space="preserve">  </w:t>
      </w:r>
      <w:r>
        <w:rPr>
          <w:rFonts w:hint="eastAsia"/>
        </w:rPr>
        <w:t>华</w:t>
      </w:r>
    </w:p>
    <w:p w14:paraId="28908BFB">
      <w:pPr>
        <w:pStyle w:val="10"/>
        <w:bidi w:val="0"/>
        <w:rPr>
          <w:rFonts w:hint="eastAsia"/>
        </w:rPr>
      </w:pPr>
      <w:r>
        <w:rPr>
          <w:rFonts w:hint="eastAsia"/>
          <w:b/>
          <w:bCs/>
        </w:rPr>
        <w:t>副镇长：</w:t>
      </w:r>
      <w:r>
        <w:rPr>
          <w:rFonts w:hint="eastAsia"/>
        </w:rPr>
        <w:t>钟炎山</w:t>
      </w:r>
      <w:r>
        <w:rPr>
          <w:rFonts w:hint="eastAsia"/>
          <w:lang w:val="en-US" w:eastAsia="zh-CN"/>
        </w:rPr>
        <w:t xml:space="preserve">   </w:t>
      </w:r>
      <w:r>
        <w:rPr>
          <w:rFonts w:hint="eastAsia"/>
        </w:rPr>
        <w:t>陈于军</w:t>
      </w:r>
    </w:p>
    <w:p w14:paraId="27BF42F9">
      <w:pPr>
        <w:pStyle w:val="3"/>
        <w:bidi w:val="0"/>
        <w:rPr>
          <w:rFonts w:hint="eastAsia"/>
          <w:lang w:val="en-US" w:eastAsia="zh-CN"/>
        </w:rPr>
      </w:pPr>
      <w:r>
        <w:rPr>
          <w:rFonts w:hint="eastAsia"/>
        </w:rPr>
        <w:t>黄坑</w:t>
      </w:r>
      <w:r>
        <w:rPr>
          <w:rFonts w:hint="eastAsia"/>
          <w:lang w:val="en-US" w:eastAsia="zh-CN"/>
        </w:rPr>
        <w:t>镇</w:t>
      </w:r>
    </w:p>
    <w:p w14:paraId="4029EBEF">
      <w:pPr>
        <w:pStyle w:val="4"/>
        <w:bidi w:val="0"/>
        <w:rPr>
          <w:rFonts w:hint="eastAsia"/>
        </w:rPr>
      </w:pPr>
      <w:r>
        <w:rPr>
          <w:rFonts w:hint="eastAsia"/>
        </w:rPr>
        <w:t>【概况】</w:t>
      </w:r>
    </w:p>
    <w:p w14:paraId="65D2C57E">
      <w:pPr>
        <w:rPr>
          <w:rFonts w:hint="eastAsia"/>
        </w:rPr>
      </w:pPr>
      <w:r>
        <w:rPr>
          <w:rFonts w:hint="eastAsia"/>
        </w:rPr>
        <w:t>黄坑因黄泥土多而得名，明代属望检乡杨律都。清咸丰四年（</w:t>
      </w:r>
      <w:r>
        <w:t>1854年）废都建约。民国</w:t>
      </w:r>
      <w:r>
        <w:rPr>
          <w:rFonts w:hint="eastAsia"/>
        </w:rPr>
        <w:t>初期沿清制。民国</w:t>
      </w:r>
      <w:r>
        <w:t>21年（1932年）属第六区黄平</w:t>
      </w:r>
      <w:r>
        <w:rPr>
          <w:rFonts w:hint="eastAsia"/>
        </w:rPr>
        <w:t>乡。民国</w:t>
      </w:r>
      <w:r>
        <w:t>29年（1940年）属第二区黄平乡。1951</w:t>
      </w:r>
      <w:r>
        <w:rPr>
          <w:rFonts w:hint="eastAsia"/>
        </w:rPr>
        <w:t>年建立黄坑乡。</w:t>
      </w:r>
      <w:r>
        <w:t>1958年属火箭（黄坑）人民公社1962年建立黄坑人民公社。1984年改为区，1986</w:t>
      </w:r>
      <w:r>
        <w:rPr>
          <w:rFonts w:hint="eastAsia"/>
        </w:rPr>
        <w:t>年改为镇。镇政府驻地黄坑墟。黄坑镇辖黄坑、社前、小陂、塘源、溪塘、许村、上象、耶溪、中心、园岭</w:t>
      </w:r>
      <w:r>
        <w:t>10个村委会和黄坑社区居委会，124个村</w:t>
      </w:r>
      <w:r>
        <w:rPr>
          <w:rFonts w:hint="eastAsia"/>
        </w:rPr>
        <w:t>民小组，总户数</w:t>
      </w:r>
      <w:r>
        <w:t>6178户，常住人口25009人，绝大</w:t>
      </w:r>
      <w:r>
        <w:rPr>
          <w:rFonts w:hint="eastAsia"/>
        </w:rPr>
        <w:t>多数为汉族，有</w:t>
      </w:r>
      <w:r>
        <w:t>1个少数民族（畲族）。黄坑镇人</w:t>
      </w:r>
      <w:r>
        <w:rPr>
          <w:rFonts w:hint="eastAsia"/>
        </w:rPr>
        <w:t>民政府是属于正科级行政建制单位，是乡镇一级国家权力机关的执行机关，是乡镇一级国家行政机关。设五大办：党政办公室、经济发展办公室、社会事务办公室、农业办公室、计划生育办公室。行政编制人员</w:t>
      </w:r>
      <w:r>
        <w:t>27人，事业编制16人。黄坑镇人民政</w:t>
      </w:r>
      <w:r>
        <w:rPr>
          <w:rFonts w:hint="eastAsia"/>
        </w:rPr>
        <w:t>府</w:t>
      </w:r>
      <w:r>
        <w:t>2013年先后被列为“南雄市2013年度民政工作</w:t>
      </w:r>
      <w:r>
        <w:rPr>
          <w:rFonts w:hint="eastAsia"/>
        </w:rPr>
        <w:t>先进单位”、“韶关市</w:t>
      </w:r>
      <w:r>
        <w:t>2013年度人口与计划生育先</w:t>
      </w:r>
      <w:r>
        <w:rPr>
          <w:rFonts w:hint="eastAsia"/>
        </w:rPr>
        <w:t>进单位”等，荣获南雄市</w:t>
      </w:r>
      <w:r>
        <w:t>2013年度镇（街道）经</w:t>
      </w:r>
      <w:r>
        <w:rPr>
          <w:rFonts w:hint="eastAsia"/>
        </w:rPr>
        <w:t>济社会科学发展考核二等奖。</w:t>
      </w:r>
    </w:p>
    <w:p w14:paraId="578BF61B">
      <w:pPr>
        <w:pStyle w:val="4"/>
        <w:bidi w:val="0"/>
        <w:rPr>
          <w:rFonts w:hint="eastAsia"/>
        </w:rPr>
      </w:pPr>
      <w:r>
        <w:rPr>
          <w:rFonts w:hint="eastAsia"/>
        </w:rPr>
        <w:t>【人文名胜】</w:t>
      </w:r>
    </w:p>
    <w:p w14:paraId="7DFC0358">
      <w:pPr>
        <w:rPr>
          <w:rFonts w:hint="eastAsia"/>
        </w:rPr>
      </w:pPr>
      <w:r>
        <w:rPr>
          <w:rFonts w:hint="eastAsia"/>
        </w:rPr>
        <w:t>黄坑人文历史源远流长，始建于公元</w:t>
      </w:r>
      <w:r>
        <w:t>920年的雄州第一城古溪塘村2009年被评为</w:t>
      </w:r>
      <w:r>
        <w:rPr>
          <w:rFonts w:hint="eastAsia"/>
          <w:lang w:val="en-US" w:eastAsia="zh-CN"/>
        </w:rPr>
        <w:t>广</w:t>
      </w:r>
      <w:r>
        <w:rPr>
          <w:rFonts w:hint="eastAsia"/>
        </w:rPr>
        <w:t>东省古村落，村内至今保留了许多古建筑、古雕刻</w:t>
      </w:r>
      <w:r>
        <w:rPr>
          <w:rFonts w:hint="eastAsia"/>
          <w:lang w:eastAsia="zh-CN"/>
        </w:rPr>
        <w:t>等</w:t>
      </w:r>
      <w:r>
        <w:rPr>
          <w:rFonts w:hint="eastAsia"/>
        </w:rPr>
        <w:t>文化遗产。杨梅坑恐龙化石遗址是省自然保护区。</w:t>
      </w:r>
      <w:r>
        <w:t>1928年2月，南雄第一届苏维埃政府成立万人</w:t>
      </w:r>
      <w:r>
        <w:rPr>
          <w:rFonts w:hint="eastAsia"/>
        </w:rPr>
        <w:t>大会在黄坑墟召开。镇内</w:t>
      </w:r>
      <w:r>
        <w:t>18个村落至今保留完好</w:t>
      </w:r>
      <w:r>
        <w:rPr>
          <w:rFonts w:hint="eastAsia"/>
        </w:rPr>
        <w:t>的进</w:t>
      </w:r>
      <w:r>
        <w:rPr>
          <w:rFonts w:hint="eastAsia"/>
          <w:lang w:val="en-US" w:eastAsia="zh-CN"/>
        </w:rPr>
        <w:t>士</w:t>
      </w:r>
      <w:r>
        <w:rPr>
          <w:rFonts w:hint="eastAsia"/>
        </w:rPr>
        <w:t>拴马石、板桥文化节、墟镇骄阳采茶剧团、</w:t>
      </w:r>
      <w:r>
        <w:t>10间农家书屋等见证了黄坑镇崇文尚学的深厚文化</w:t>
      </w:r>
      <w:r>
        <w:rPr>
          <w:rFonts w:hint="eastAsia"/>
        </w:rPr>
        <w:t>底蕴。</w:t>
      </w:r>
    </w:p>
    <w:p w14:paraId="034DF588">
      <w:pPr>
        <w:pStyle w:val="4"/>
        <w:bidi w:val="0"/>
        <w:rPr>
          <w:rFonts w:hint="eastAsia"/>
        </w:rPr>
      </w:pPr>
      <w:r>
        <w:rPr>
          <w:rFonts w:hint="eastAsia"/>
        </w:rPr>
        <w:t>【经济发展】</w:t>
      </w:r>
    </w:p>
    <w:p w14:paraId="201ABEDF">
      <w:r>
        <w:t>2013年全镇工农业总产值5</w:t>
      </w:r>
      <w:r>
        <w:rPr>
          <w:rFonts w:hint="eastAsia"/>
          <w:lang w:val="en-US" w:eastAsia="zh-CN"/>
        </w:rPr>
        <w:t>.</w:t>
      </w:r>
      <w:r>
        <w:t>09亿</w:t>
      </w:r>
      <w:r>
        <w:rPr>
          <w:rFonts w:hint="eastAsia"/>
        </w:rPr>
        <w:t>元，财政收入</w:t>
      </w:r>
      <w:r>
        <w:t>495.7万元，农村人均收入8140元</w:t>
      </w:r>
      <w:r>
        <w:rPr>
          <w:rFonts w:hint="eastAsia"/>
          <w:lang w:eastAsia="zh-CN"/>
        </w:rPr>
        <w:t>，</w:t>
      </w:r>
      <w:r>
        <w:rPr>
          <w:rFonts w:hint="eastAsia"/>
        </w:rPr>
        <w:t>比</w:t>
      </w:r>
      <w:r>
        <w:t>2012年分别增长11.62%，14.4%和11.52%。</w:t>
      </w:r>
    </w:p>
    <w:p w14:paraId="3E82DF1D">
      <w:pPr>
        <w:pStyle w:val="4"/>
        <w:bidi w:val="0"/>
        <w:rPr>
          <w:rFonts w:hint="eastAsia"/>
        </w:rPr>
      </w:pPr>
      <w:r>
        <w:rPr>
          <w:rFonts w:hint="eastAsia"/>
        </w:rPr>
        <w:t>【黄烟生产】</w:t>
      </w:r>
    </w:p>
    <w:p w14:paraId="094C0766">
      <w:r>
        <w:rPr>
          <w:rFonts w:hint="eastAsia"/>
        </w:rPr>
        <w:t>全镇种植黄烟</w:t>
      </w:r>
      <w:r>
        <w:t>13000亩，完成黄烟</w:t>
      </w:r>
      <w:r>
        <w:rPr>
          <w:rFonts w:hint="eastAsia"/>
        </w:rPr>
        <w:t>收购</w:t>
      </w:r>
      <w:r>
        <w:t>33059担；投资900万元对烟站升级改造建设，</w:t>
      </w:r>
      <w:r>
        <w:rPr>
          <w:rFonts w:hint="eastAsia"/>
        </w:rPr>
        <w:t>投资</w:t>
      </w:r>
      <w:r>
        <w:t>500万元完成塘源育苗场、中心育苗场建设。</w:t>
      </w:r>
    </w:p>
    <w:p w14:paraId="50FB8A3D">
      <w:pPr>
        <w:pStyle w:val="4"/>
        <w:bidi w:val="0"/>
        <w:rPr>
          <w:rFonts w:hint="eastAsia"/>
        </w:rPr>
      </w:pPr>
      <w:r>
        <w:rPr>
          <w:rFonts w:hint="eastAsia"/>
        </w:rPr>
        <w:t>【优稻种植】</w:t>
      </w:r>
    </w:p>
    <w:p w14:paraId="1CBADEFE">
      <w:pPr>
        <w:rPr>
          <w:rFonts w:hint="eastAsia"/>
        </w:rPr>
      </w:pPr>
      <w:r>
        <w:t>2013年全镇优质稻种植面积达2</w:t>
      </w:r>
      <w:r>
        <w:rPr>
          <w:rFonts w:hint="eastAsia"/>
          <w:lang w:val="en-US" w:eastAsia="zh-CN"/>
        </w:rPr>
        <w:t>.</w:t>
      </w:r>
      <w:r>
        <w:t>3</w:t>
      </w:r>
      <w:r>
        <w:rPr>
          <w:rFonts w:hint="eastAsia"/>
        </w:rPr>
        <w:t>万多亩。</w:t>
      </w:r>
      <w:r>
        <w:t>10个村分别创办200亩以上的优质稻高产</w:t>
      </w:r>
      <w:r>
        <w:rPr>
          <w:rFonts w:hint="eastAsia"/>
        </w:rPr>
        <w:t>示范基地，统一品种、统一植保。以香溢公司为依托，逐步打造黄坑生态米、有机米，形成“公司</w:t>
      </w:r>
      <w:r>
        <w:t>+</w:t>
      </w:r>
      <w:r>
        <w:rPr>
          <w:rFonts w:hint="eastAsia"/>
        </w:rPr>
        <w:t>基地</w:t>
      </w:r>
      <w:r>
        <w:t>+大户”的模式，创品牌，带民富，提高农民</w:t>
      </w:r>
      <w:r>
        <w:rPr>
          <w:rFonts w:hint="eastAsia"/>
        </w:rPr>
        <w:t>的积极性。</w:t>
      </w:r>
      <w:r>
        <w:t>2013年晚稻，镇农技站在小陂村实施了800亩优质水稻病虫统防统治示范工作，实现了生</w:t>
      </w:r>
      <w:r>
        <w:rPr>
          <w:rFonts w:hint="eastAsia"/>
        </w:rPr>
        <w:t>产效益、生态效益、社会效益协调发展。</w:t>
      </w:r>
      <w:r>
        <w:t>2013年</w:t>
      </w:r>
      <w:r>
        <w:rPr>
          <w:rFonts w:hint="eastAsia"/>
          <w:lang w:eastAsia="zh-CN"/>
        </w:rPr>
        <w:t>示</w:t>
      </w:r>
      <w:r>
        <w:rPr>
          <w:rFonts w:hint="eastAsia"/>
        </w:rPr>
        <w:t>范片所产稻谷经上级有关部门检定，获得《无公害稻谷》认证。</w:t>
      </w:r>
    </w:p>
    <w:p w14:paraId="3E1CAF0C">
      <w:pPr>
        <w:pStyle w:val="4"/>
        <w:bidi w:val="0"/>
        <w:rPr>
          <w:rFonts w:hint="eastAsia"/>
        </w:rPr>
      </w:pPr>
      <w:r>
        <w:rPr>
          <w:rFonts w:hint="eastAsia"/>
        </w:rPr>
        <w:t>【养殖产业】</w:t>
      </w:r>
    </w:p>
    <w:p w14:paraId="39E82A30">
      <w:pPr>
        <w:rPr>
          <w:rFonts w:hint="eastAsia"/>
        </w:rPr>
      </w:pPr>
      <w:r>
        <w:rPr>
          <w:rFonts w:hint="eastAsia"/>
        </w:rPr>
        <w:t>生猪养殖注重规范化管理，推进标准化生猪养殖场的节能减排工作。推行村防员责任制，抓好畜禽养殖防疫工作。在围背水库、月亮水库、大门口等山塘积极推进生态养鱼，水产养殖面积达</w:t>
      </w:r>
      <w:r>
        <w:t>2500多亩。充分利用丘陵地段较多的优势，</w:t>
      </w:r>
      <w:r>
        <w:rPr>
          <w:rFonts w:hint="eastAsia"/>
        </w:rPr>
        <w:t>采取农户与公司签定销售合同，公司提供技术服务的形式，积极引导发展养牛业。</w:t>
      </w:r>
    </w:p>
    <w:p w14:paraId="1890317D">
      <w:pPr>
        <w:pStyle w:val="4"/>
        <w:bidi w:val="0"/>
        <w:rPr>
          <w:rFonts w:hint="eastAsia"/>
        </w:rPr>
      </w:pPr>
      <w:r>
        <w:rPr>
          <w:rFonts w:hint="eastAsia"/>
        </w:rPr>
        <w:t>【林业生产】</w:t>
      </w:r>
    </w:p>
    <w:p w14:paraId="0759CF6A">
      <w:pPr>
        <w:rPr>
          <w:rFonts w:hint="eastAsia"/>
        </w:rPr>
      </w:pPr>
      <w:r>
        <w:rPr>
          <w:rFonts w:hint="eastAsia"/>
        </w:rPr>
        <w:t>在</w:t>
      </w:r>
      <w:r>
        <w:t>2013年的万村绿工作中，该镇为</w:t>
      </w:r>
      <w:r>
        <w:rPr>
          <w:rFonts w:hint="eastAsia"/>
        </w:rPr>
        <w:t>耶溪村委会新四方坑村道村庄的两侧种植造林树苗</w:t>
      </w:r>
      <w:r>
        <w:t>500株，同时对溪塘村委会麻箕塘、黄坪村小组，</w:t>
      </w:r>
      <w:r>
        <w:rPr>
          <w:rFonts w:hint="eastAsia"/>
        </w:rPr>
        <w:t>中心村委会旱楼下等</w:t>
      </w:r>
      <w:r>
        <w:t>2个村委会3个村小组山岭的</w:t>
      </w:r>
      <w:r>
        <w:rPr>
          <w:rFonts w:hint="eastAsia"/>
        </w:rPr>
        <w:t>生态公益林的森林碳汇重点生态工程造林补种套种荷树和枫树等</w:t>
      </w:r>
      <w:r>
        <w:t>2500亩，从而大大增加了该镇的森</w:t>
      </w:r>
      <w:r>
        <w:rPr>
          <w:rFonts w:hint="eastAsia"/>
        </w:rPr>
        <w:t>林覆盖率。全面完成生态公益林林分改造、工程造林任务，辖区内无采伐迹地，无生态景观带建设任务。</w:t>
      </w:r>
    </w:p>
    <w:p w14:paraId="6E713B4A">
      <w:pPr>
        <w:pStyle w:val="4"/>
        <w:bidi w:val="0"/>
        <w:rPr>
          <w:rFonts w:hint="eastAsia"/>
        </w:rPr>
      </w:pPr>
      <w:r>
        <w:rPr>
          <w:rFonts w:hint="eastAsia"/>
        </w:rPr>
        <w:t>【企业生产】</w:t>
      </w:r>
    </w:p>
    <w:p w14:paraId="47B4EFD0">
      <w:r>
        <w:rPr>
          <w:rFonts w:hint="eastAsia"/>
        </w:rPr>
        <w:t>乡镇企业主要经济指标较快增长。</w:t>
      </w:r>
      <w:r>
        <w:t>2013年企业实现总产值3500多万元。固定资产投</w:t>
      </w:r>
      <w:r>
        <w:rPr>
          <w:rFonts w:hint="eastAsia"/>
        </w:rPr>
        <w:t>资加快发展，企业固定资产投资项目增加到</w:t>
      </w:r>
      <w:r>
        <w:t>6个，</w:t>
      </w:r>
      <w:r>
        <w:rPr>
          <w:rFonts w:hint="eastAsia"/>
        </w:rPr>
        <w:t>总投资额</w:t>
      </w:r>
      <w:r>
        <w:t>2.52亿元，对比2012年增长176%。</w:t>
      </w:r>
    </w:p>
    <w:p w14:paraId="6419004A">
      <w:pPr>
        <w:pStyle w:val="4"/>
        <w:bidi w:val="0"/>
        <w:rPr>
          <w:rFonts w:hint="eastAsia"/>
        </w:rPr>
      </w:pPr>
      <w:r>
        <w:rPr>
          <w:rFonts w:hint="eastAsia"/>
        </w:rPr>
        <w:t>【重点项目建设】</w:t>
      </w:r>
    </w:p>
    <w:p w14:paraId="7BB9FF5E">
      <w:r>
        <w:rPr>
          <w:rFonts w:hint="eastAsia"/>
        </w:rPr>
        <w:t>香溢粮食现代物流项目，为南雄市重点项目工程，</w:t>
      </w:r>
      <w:r>
        <w:t>2013年投入1000万元建设资</w:t>
      </w:r>
      <w:r>
        <w:rPr>
          <w:rFonts w:hint="eastAsia"/>
        </w:rPr>
        <w:t>金。自来水工程顺利推进，总投资</w:t>
      </w:r>
      <w:r>
        <w:t>1300多万元，</w:t>
      </w:r>
      <w:r>
        <w:rPr>
          <w:rFonts w:hint="eastAsia"/>
        </w:rPr>
        <w:t>自</w:t>
      </w:r>
      <w:r>
        <w:t>2012年5月31日镇村贯通安全饮用水正式启动，2013年底全面实现镇村组通水目标。商务休闲广场</w:t>
      </w:r>
      <w:r>
        <w:rPr>
          <w:rFonts w:hint="eastAsia"/>
        </w:rPr>
        <w:t>项目、环保砖厂、污水处理厂已完成征地、规划设计工作。总投资达</w:t>
      </w:r>
      <w:r>
        <w:t>1375万元的黄坑田间工程是南</w:t>
      </w:r>
      <w:r>
        <w:rPr>
          <w:rFonts w:hint="eastAsia"/>
        </w:rPr>
        <w:t>雄市</w:t>
      </w:r>
      <w:r>
        <w:t>2013年十大重点民生工程之一，已完工。</w:t>
      </w:r>
    </w:p>
    <w:p w14:paraId="525A2306">
      <w:pPr>
        <w:pStyle w:val="4"/>
        <w:bidi w:val="0"/>
        <w:rPr>
          <w:rFonts w:hint="eastAsia"/>
        </w:rPr>
      </w:pPr>
      <w:r>
        <w:rPr>
          <w:rFonts w:hint="eastAsia"/>
        </w:rPr>
        <w:t>【精神文明】</w:t>
      </w:r>
    </w:p>
    <w:p w14:paraId="56DEFB85">
      <w:pPr>
        <w:rPr>
          <w:rFonts w:hint="eastAsia"/>
        </w:rPr>
      </w:pPr>
      <w:r>
        <w:rPr>
          <w:rFonts w:hint="eastAsia"/>
        </w:rPr>
        <w:t>整合“一事一议项目”和农民体育健身工程，推进文体设施建设。投入</w:t>
      </w:r>
      <w:r>
        <w:t>100万元完善</w:t>
      </w:r>
      <w:r>
        <w:rPr>
          <w:rFonts w:hint="eastAsia"/>
        </w:rPr>
        <w:t>村级健身文体设施；投入</w:t>
      </w:r>
      <w:r>
        <w:t>140万元建设村级广场，</w:t>
      </w:r>
      <w:r>
        <w:rPr>
          <w:rFonts w:hint="eastAsia"/>
        </w:rPr>
        <w:t>并添置各类体育器材；投入</w:t>
      </w:r>
      <w:r>
        <w:t>30多万元，加快四方</w:t>
      </w:r>
      <w:r>
        <w:rPr>
          <w:rFonts w:hint="eastAsia"/>
        </w:rPr>
        <w:t>坑的新农村建设；投入</w:t>
      </w:r>
      <w:r>
        <w:t>85万建成黄坑老年人文化</w:t>
      </w:r>
      <w:r>
        <w:rPr>
          <w:rFonts w:hint="eastAsia"/>
        </w:rPr>
        <w:t>活动中心；</w:t>
      </w:r>
      <w:r>
        <w:rPr>
          <w:rFonts w:hint="eastAsia"/>
          <w:lang w:eastAsia="zh-CN"/>
        </w:rPr>
        <w:t>投入</w:t>
      </w:r>
      <w:r>
        <w:rPr>
          <w:rFonts w:hint="eastAsia"/>
        </w:rPr>
        <w:t>近</w:t>
      </w:r>
      <w:r>
        <w:t>10万元完善镇电子阅览室的</w:t>
      </w:r>
      <w:r>
        <w:rPr>
          <w:rFonts w:hint="eastAsia"/>
        </w:rPr>
        <w:t>设备。</w:t>
      </w:r>
    </w:p>
    <w:p w14:paraId="69408BA5">
      <w:pPr>
        <w:pStyle w:val="4"/>
        <w:bidi w:val="0"/>
        <w:rPr>
          <w:rFonts w:hint="eastAsia"/>
        </w:rPr>
      </w:pPr>
      <w:r>
        <w:rPr>
          <w:rFonts w:hint="eastAsia"/>
        </w:rPr>
        <w:t>【墟镇建设】</w:t>
      </w:r>
    </w:p>
    <w:p w14:paraId="7AAC7949">
      <w:pPr>
        <w:rPr>
          <w:rFonts w:hint="eastAsia"/>
        </w:rPr>
      </w:pPr>
      <w:r>
        <w:rPr>
          <w:rFonts w:hint="eastAsia"/>
        </w:rPr>
        <w:t>该镇墟镇和</w:t>
      </w:r>
      <w:r>
        <w:t>10个村全面实现通水目</w:t>
      </w:r>
      <w:r>
        <w:rPr>
          <w:rFonts w:hint="eastAsia"/>
        </w:rPr>
        <w:t>标，并完成垃圾收集池建设。生活垃圾转运站于</w:t>
      </w:r>
      <w:r>
        <w:t>2013年11月底完工，建筑面积达160平方。抓实</w:t>
      </w:r>
      <w:r>
        <w:rPr>
          <w:rFonts w:hint="eastAsia"/>
        </w:rPr>
        <w:t>污水处理厂的建设，目前征地工作已顺利完成，建成后日污水处理量可达到</w:t>
      </w:r>
      <w:r>
        <w:t>3000m/d。加大国土管理</w:t>
      </w:r>
      <w:r>
        <w:rPr>
          <w:rFonts w:hint="eastAsia"/>
        </w:rPr>
        <w:t>和违章违法建筑</w:t>
      </w:r>
      <w:r>
        <w:rPr>
          <w:rFonts w:hint="eastAsia"/>
          <w:lang w:eastAsia="zh-CN"/>
        </w:rPr>
        <w:t>查</w:t>
      </w:r>
      <w:r>
        <w:rPr>
          <w:rFonts w:hint="eastAsia"/>
        </w:rPr>
        <w:t>处力度，维护建筑市场秩序，依法拆除私搭乱建违法建筑近</w:t>
      </w:r>
      <w:r>
        <w:t>200宗，涉及面积近3000平方米。以墟镇的环境整治为突破口，充分发</w:t>
      </w:r>
      <w:r>
        <w:rPr>
          <w:rFonts w:hint="eastAsia"/>
        </w:rPr>
        <w:t>挥示范带动作用，重点解决存在的脏、乱、差现象。重视墟镇卫生清洁工作，加大环卫清扫力度，营造干净、卫生、整洁的镇容镇貌。</w:t>
      </w:r>
    </w:p>
    <w:p w14:paraId="73BA80B5">
      <w:pPr>
        <w:pStyle w:val="4"/>
        <w:bidi w:val="0"/>
        <w:rPr>
          <w:rFonts w:hint="eastAsia"/>
        </w:rPr>
      </w:pPr>
      <w:r>
        <w:rPr>
          <w:rFonts w:hint="eastAsia"/>
        </w:rPr>
        <w:t>【新农村建设】</w:t>
      </w:r>
    </w:p>
    <w:p w14:paraId="7A8A1F22">
      <w:pPr>
        <w:rPr>
          <w:rFonts w:hint="eastAsia"/>
        </w:rPr>
      </w:pPr>
      <w:r>
        <w:rPr>
          <w:rFonts w:hint="eastAsia"/>
        </w:rPr>
        <w:t>该镇建设小陂村委会到孔坑自然村道路水泥硬化</w:t>
      </w:r>
      <w:r>
        <w:t>1公里，塘源村委会至下槎自然村</w:t>
      </w:r>
      <w:r>
        <w:rPr>
          <w:rFonts w:hint="eastAsia"/>
        </w:rPr>
        <w:t>道路水泥硬化</w:t>
      </w:r>
      <w:r>
        <w:t>3.5公里。规划并报国土部门审批塘</w:t>
      </w:r>
      <w:r>
        <w:rPr>
          <w:rFonts w:hint="eastAsia"/>
        </w:rPr>
        <w:t>源坑、里河陂等共</w:t>
      </w:r>
      <w:r>
        <w:t>10个村小组，共计66.23亩</w:t>
      </w:r>
      <w:r>
        <w:rPr>
          <w:rFonts w:hint="eastAsia"/>
        </w:rPr>
        <w:t>心村进行拆旧复垦，另规划里和陂、围背等</w:t>
      </w:r>
      <w:r>
        <w:t>6个新</w:t>
      </w:r>
      <w:r>
        <w:rPr>
          <w:rFonts w:hint="eastAsia"/>
        </w:rPr>
        <w:t>农村建设点。</w:t>
      </w:r>
    </w:p>
    <w:p w14:paraId="158C0B48">
      <w:pPr>
        <w:pStyle w:val="4"/>
        <w:bidi w:val="0"/>
        <w:rPr>
          <w:rFonts w:hint="eastAsia"/>
        </w:rPr>
      </w:pPr>
      <w:r>
        <w:rPr>
          <w:rFonts w:hint="eastAsia"/>
        </w:rPr>
        <w:t>【旅游产业】</w:t>
      </w:r>
    </w:p>
    <w:p w14:paraId="6E6B23E3">
      <w:pPr>
        <w:rPr>
          <w:rFonts w:hint="eastAsia"/>
        </w:rPr>
      </w:pPr>
      <w:r>
        <w:rPr>
          <w:rFonts w:hint="eastAsia"/>
        </w:rPr>
        <w:t>整合镇、村旅游资源，着重开发围背水库景点。围背水库距墟镇</w:t>
      </w:r>
      <w:r>
        <w:t>2公里，为天然水库</w:t>
      </w:r>
      <w:r>
        <w:rPr>
          <w:rFonts w:hint="eastAsia"/>
        </w:rPr>
        <w:t>（通过</w:t>
      </w:r>
      <w:r>
        <w:t>40多年来的努力改造建设，水面面积121.1</w:t>
      </w:r>
      <w:r>
        <w:rPr>
          <w:rFonts w:hint="eastAsia"/>
        </w:rPr>
        <w:t>公顷，年蓄水量</w:t>
      </w:r>
      <w:r>
        <w:t>714万方），可利用水库的有效水</w:t>
      </w:r>
      <w:r>
        <w:rPr>
          <w:rFonts w:hint="eastAsia"/>
        </w:rPr>
        <w:t>面和周边的山林，建设水上乐园，开发水上观光旅游和休闲垂钓区以及果园花圃等。此外，溪塘古村落、恐龙化石教育基地等已成为黄坑的旅游景点。</w:t>
      </w:r>
    </w:p>
    <w:p w14:paraId="18F4C6CB">
      <w:pPr>
        <w:pStyle w:val="4"/>
        <w:bidi w:val="0"/>
        <w:rPr>
          <w:rFonts w:hint="eastAsia"/>
        </w:rPr>
      </w:pPr>
      <w:r>
        <w:rPr>
          <w:rFonts w:hint="eastAsia"/>
        </w:rPr>
        <w:t>【综治维稳】</w:t>
      </w:r>
    </w:p>
    <w:p w14:paraId="53C2DA97">
      <w:r>
        <w:rPr>
          <w:rFonts w:hint="eastAsia"/>
        </w:rPr>
        <w:t>畅通群众诉求渠道，健全镇村组三级联动网络，坚持执行“小事不出组、大事不出村、难事不出镇”的工作机制，推行月例会、值班制、首办责任制、限时办结制、领导包案制等制度，有效地将信访不稳定因素化解在基层，解决在</w:t>
      </w:r>
      <w:r>
        <w:rPr>
          <w:rFonts w:hint="eastAsia"/>
          <w:lang w:val="en-US" w:eastAsia="zh-CN"/>
        </w:rPr>
        <w:t>一</w:t>
      </w:r>
      <w:r>
        <w:rPr>
          <w:rFonts w:hint="eastAsia"/>
        </w:rPr>
        <w:t>线，推动了依法治镇、信访维稳、平安建设、人民调解等工作。</w:t>
      </w:r>
      <w:r>
        <w:t>2013年，全镇排</w:t>
      </w:r>
      <w:r>
        <w:rPr>
          <w:rFonts w:hint="eastAsia"/>
          <w:lang w:eastAsia="zh-CN"/>
        </w:rPr>
        <w:t>查</w:t>
      </w:r>
      <w:r>
        <w:t>矛盾纠纷79宗，</w:t>
      </w:r>
      <w:r>
        <w:rPr>
          <w:rFonts w:hint="eastAsia"/>
        </w:rPr>
        <w:t>发生信访案件</w:t>
      </w:r>
      <w:r>
        <w:t>103宗，已调结100宗，结案率</w:t>
      </w:r>
      <w:r>
        <w:rPr>
          <w:rFonts w:hint="eastAsia"/>
        </w:rPr>
        <w:t>为</w:t>
      </w:r>
      <w:r>
        <w:t>98%。</w:t>
      </w:r>
    </w:p>
    <w:p w14:paraId="42AC0FC3">
      <w:pPr>
        <w:pStyle w:val="4"/>
        <w:bidi w:val="0"/>
        <w:rPr>
          <w:rFonts w:hint="eastAsia"/>
        </w:rPr>
      </w:pPr>
      <w:r>
        <w:rPr>
          <w:rFonts w:hint="eastAsia"/>
        </w:rPr>
        <w:t>【教育事业】</w:t>
      </w:r>
    </w:p>
    <w:p w14:paraId="6A3B8DED">
      <w:pPr>
        <w:rPr>
          <w:rFonts w:hint="eastAsia"/>
        </w:rPr>
      </w:pPr>
      <w:r>
        <w:rPr>
          <w:rFonts w:hint="eastAsia"/>
        </w:rPr>
        <w:t>该镇依法落实“防流控辍”责任，中小学入学率达</w:t>
      </w:r>
      <w:r>
        <w:t>100%，辍学率为零%。投入近50</w:t>
      </w:r>
      <w:r>
        <w:rPr>
          <w:rFonts w:hint="eastAsia"/>
        </w:rPr>
        <w:t>多万元教育资金，完善学校的教学设备，进一步巩固教育创强成果。</w:t>
      </w:r>
      <w:r>
        <w:t>2013年，全镇小升初考试中，取</w:t>
      </w:r>
      <w:r>
        <w:rPr>
          <w:rFonts w:hint="eastAsia"/>
        </w:rPr>
        <w:t>得骄人成绩，有</w:t>
      </w:r>
      <w:r>
        <w:t>8名学生顺利考上南雄中学，南雄</w:t>
      </w:r>
      <w:r>
        <w:rPr>
          <w:rFonts w:hint="eastAsia"/>
        </w:rPr>
        <w:t>中等重点中学。</w:t>
      </w:r>
    </w:p>
    <w:p w14:paraId="7318F86D">
      <w:pPr>
        <w:pStyle w:val="4"/>
        <w:bidi w:val="0"/>
        <w:rPr>
          <w:rFonts w:hint="eastAsia"/>
        </w:rPr>
      </w:pPr>
      <w:r>
        <w:rPr>
          <w:rFonts w:hint="eastAsia"/>
        </w:rPr>
        <w:t>【新农保、新农合】</w:t>
      </w:r>
    </w:p>
    <w:p w14:paraId="55224364">
      <w:pPr>
        <w:rPr>
          <w:rFonts w:hint="eastAsia"/>
          <w:lang w:eastAsia="zh-CN"/>
        </w:rPr>
      </w:pPr>
      <w:r>
        <w:rPr>
          <w:rFonts w:hint="eastAsia"/>
        </w:rPr>
        <w:t>稳步推进新农保、新农合、城镇居民养老保险、城居医疗保险工作，将目标任务细分到每个镇、村干部身上，做到人人有责任，月月有进度，取得显著成绩。其中，该镇新农保完成率为</w:t>
      </w:r>
      <w:r>
        <w:t>107.8%，居全市第一；新农合完成率为99.4%；城镇居民养老保险完成率为100%；城居</w:t>
      </w:r>
      <w:r>
        <w:rPr>
          <w:rFonts w:hint="eastAsia"/>
        </w:rPr>
        <w:t>医疗保险完成率为</w:t>
      </w:r>
      <w:r>
        <w:t>137.2%。该镇人社工作在2013</w:t>
      </w:r>
      <w:r>
        <w:rPr>
          <w:rFonts w:hint="eastAsia"/>
        </w:rPr>
        <w:t>年全市综合考评中被评为一等奖</w:t>
      </w:r>
      <w:r>
        <w:rPr>
          <w:rFonts w:hint="eastAsia"/>
          <w:lang w:eastAsia="zh-CN"/>
        </w:rPr>
        <w:t>。</w:t>
      </w:r>
    </w:p>
    <w:p w14:paraId="34F41F11">
      <w:pPr>
        <w:pStyle w:val="4"/>
        <w:bidi w:val="0"/>
        <w:rPr>
          <w:rFonts w:hint="eastAsia"/>
        </w:rPr>
      </w:pPr>
      <w:r>
        <w:rPr>
          <w:rFonts w:hint="eastAsia"/>
        </w:rPr>
        <w:t>【扶贫“双到”】</w:t>
      </w:r>
    </w:p>
    <w:p w14:paraId="39213FC4">
      <w:pPr>
        <w:rPr>
          <w:rFonts w:hint="eastAsia"/>
        </w:rPr>
      </w:pPr>
      <w:r>
        <w:t>2013年是新一轮扶贫开发“双</w:t>
      </w:r>
      <w:r>
        <w:rPr>
          <w:rFonts w:hint="eastAsia"/>
        </w:rPr>
        <w:t>到”工作的开局之年，在各帮扶单位的帮助下，该镇各村尤其是上象、中心、园岭</w:t>
      </w:r>
      <w:r>
        <w:t>3个重点贫困村的</w:t>
      </w:r>
      <w:r>
        <w:rPr>
          <w:rFonts w:hint="eastAsia"/>
        </w:rPr>
        <w:t>基础设施已总体完成，各项帮扶措施正紧张有序实施中，村委会的办公场所、办公设备、办公环境得到进一步的完善。</w:t>
      </w:r>
    </w:p>
    <w:p w14:paraId="3BA5F393">
      <w:pPr>
        <w:pStyle w:val="4"/>
        <w:bidi w:val="0"/>
        <w:rPr>
          <w:rFonts w:hint="eastAsia"/>
        </w:rPr>
      </w:pPr>
      <w:r>
        <w:rPr>
          <w:rFonts w:hint="eastAsia"/>
        </w:rPr>
        <w:t>【优抚政策】</w:t>
      </w:r>
    </w:p>
    <w:p w14:paraId="686C585B">
      <w:pPr>
        <w:rPr>
          <w:rFonts w:hint="eastAsia"/>
        </w:rPr>
      </w:pPr>
      <w:r>
        <w:rPr>
          <w:rFonts w:hint="eastAsia"/>
        </w:rPr>
        <w:t>抓实优抚政策的</w:t>
      </w:r>
      <w:r>
        <w:rPr>
          <w:rFonts w:hint="eastAsia"/>
          <w:lang w:val="en-US" w:eastAsia="zh-CN"/>
        </w:rPr>
        <w:t>宣</w:t>
      </w:r>
      <w:r>
        <w:rPr>
          <w:rFonts w:hint="eastAsia"/>
        </w:rPr>
        <w:t>传发动以及摸底调</w:t>
      </w:r>
      <w:r>
        <w:rPr>
          <w:rFonts w:hint="eastAsia"/>
          <w:lang w:eastAsia="zh-CN"/>
        </w:rPr>
        <w:t>查</w:t>
      </w:r>
      <w:r>
        <w:rPr>
          <w:rFonts w:hint="eastAsia"/>
        </w:rPr>
        <w:t>统计工作，确保需要帮助的群众得到及时有效的帮助。落实种粮补贴户数</w:t>
      </w:r>
      <w:r>
        <w:t>4998户，补贴面积2.9</w:t>
      </w:r>
      <w:r>
        <w:rPr>
          <w:rFonts w:hint="eastAsia"/>
        </w:rPr>
        <w:t>万亩，补贴近</w:t>
      </w:r>
      <w:r>
        <w:t>235万元；落实生态林补贴近24万</w:t>
      </w:r>
      <w:r>
        <w:rPr>
          <w:rFonts w:hint="eastAsia"/>
        </w:rPr>
        <w:t>元。申请</w:t>
      </w:r>
      <w:r>
        <w:t>15万元财政贴息贷款帮助妇女创业，发</w:t>
      </w:r>
      <w:r>
        <w:rPr>
          <w:rFonts w:hint="eastAsia"/>
        </w:rPr>
        <w:t>展生产。发放民政各类补助</w:t>
      </w:r>
      <w:r>
        <w:t>57万元，对各类优抚</w:t>
      </w:r>
      <w:r>
        <w:rPr>
          <w:rFonts w:hint="eastAsia"/>
        </w:rPr>
        <w:t>对象、农村低保户、弱势群体和特困户进行帮扶。</w:t>
      </w:r>
    </w:p>
    <w:p w14:paraId="738E7E40">
      <w:pPr>
        <w:pStyle w:val="4"/>
        <w:bidi w:val="0"/>
        <w:rPr>
          <w:rFonts w:hint="eastAsia"/>
        </w:rPr>
      </w:pPr>
      <w:r>
        <w:rPr>
          <w:rFonts w:hint="eastAsia"/>
          <w:lang w:eastAsia="zh-CN"/>
        </w:rPr>
        <w:t>【</w:t>
      </w:r>
      <w:r>
        <w:rPr>
          <w:rFonts w:hint="eastAsia"/>
        </w:rPr>
        <w:t>人口计生工作】</w:t>
      </w:r>
    </w:p>
    <w:p w14:paraId="130221DA">
      <w:pPr>
        <w:rPr>
          <w:rFonts w:hint="eastAsia"/>
        </w:rPr>
      </w:pPr>
      <w:r>
        <w:rPr>
          <w:rFonts w:hint="eastAsia"/>
        </w:rPr>
        <w:t>该镇计生不断加大投入，切实加快硬件建设，投入</w:t>
      </w:r>
      <w:r>
        <w:t>30多万元改建了计生办公室</w:t>
      </w:r>
      <w:r>
        <w:rPr>
          <w:rFonts w:hint="eastAsia"/>
        </w:rPr>
        <w:t>及添置办公设备，投资近</w:t>
      </w:r>
      <w:r>
        <w:t>15万元打造了计生文化</w:t>
      </w:r>
      <w:r>
        <w:rPr>
          <w:rFonts w:hint="eastAsia"/>
        </w:rPr>
        <w:t>园。多管齐下，强化了</w:t>
      </w:r>
      <w:r>
        <w:rPr>
          <w:rFonts w:hint="eastAsia"/>
          <w:lang w:eastAsia="zh-CN"/>
        </w:rPr>
        <w:t>查</w:t>
      </w:r>
      <w:r>
        <w:rPr>
          <w:rFonts w:hint="eastAsia"/>
        </w:rPr>
        <w:t>环</w:t>
      </w:r>
      <w:r>
        <w:rPr>
          <w:rFonts w:hint="eastAsia"/>
          <w:lang w:eastAsia="zh-CN"/>
        </w:rPr>
        <w:t>查</w:t>
      </w:r>
      <w:r>
        <w:rPr>
          <w:rFonts w:hint="eastAsia"/>
        </w:rPr>
        <w:t>孕工作，力促四术库存清理，各项计生工作指标走在全市的前列，多次受到市里通报表彰。计生档案资料规范化，韶关各县（区）分批到该镇交流学习档案整理工作。</w:t>
      </w:r>
      <w:r>
        <w:t>2013</w:t>
      </w:r>
      <w:r>
        <w:rPr>
          <w:rFonts w:hint="eastAsia"/>
        </w:rPr>
        <w:t>年，该镇被评为“南雄市计划生育先进单位”、“韶关市计划生育先进单位”。</w:t>
      </w:r>
    </w:p>
    <w:p w14:paraId="54A7AC4E">
      <w:pPr>
        <w:pStyle w:val="4"/>
        <w:bidi w:val="0"/>
        <w:rPr>
          <w:rFonts w:hint="eastAsia"/>
        </w:rPr>
      </w:pPr>
      <w:r>
        <w:rPr>
          <w:rFonts w:hint="eastAsia"/>
        </w:rPr>
        <w:t>【武装工作】</w:t>
      </w:r>
    </w:p>
    <w:p w14:paraId="1EFC3A17">
      <w:r>
        <w:rPr>
          <w:rFonts w:hint="eastAsia"/>
        </w:rPr>
        <w:t>多措并举，推进武装工作。顺利完成年度民兵组织调整工作，新组建</w:t>
      </w:r>
      <w:r>
        <w:t>40人的应急分</w:t>
      </w:r>
      <w:r>
        <w:rPr>
          <w:rFonts w:hint="eastAsia"/>
        </w:rPr>
        <w:t>队和</w:t>
      </w:r>
      <w:r>
        <w:t>50人的储备分队；组织各村民兵营长参加市</w:t>
      </w:r>
      <w:r>
        <w:rPr>
          <w:rFonts w:hint="eastAsia"/>
        </w:rPr>
        <w:t>武装部举办的技能训练，强化民兵队伍的军事技能；完成年度退伍军人预备役登记统计工作，有</w:t>
      </w:r>
      <w:r>
        <w:t>5</w:t>
      </w:r>
      <w:r>
        <w:rPr>
          <w:rFonts w:hint="eastAsia"/>
        </w:rPr>
        <w:t>名退伍军人转服预备役；圆满完成夏季征兵任务，有</w:t>
      </w:r>
      <w:r>
        <w:t>9人应征入伍。</w:t>
      </w:r>
    </w:p>
    <w:p w14:paraId="6E88F1B3">
      <w:pPr>
        <w:pStyle w:val="4"/>
        <w:bidi w:val="0"/>
        <w:rPr>
          <w:rFonts w:hint="eastAsia"/>
        </w:rPr>
      </w:pPr>
      <w:r>
        <w:rPr>
          <w:rFonts w:hint="eastAsia"/>
        </w:rPr>
        <w:t>【各村基本情况】</w:t>
      </w:r>
    </w:p>
    <w:p w14:paraId="1FA25C65">
      <w:r>
        <w:rPr>
          <w:rFonts w:hint="eastAsia"/>
          <w:b/>
          <w:bCs/>
        </w:rPr>
        <w:t>黄坑村</w:t>
      </w:r>
      <w:r>
        <w:rPr>
          <w:rFonts w:hint="eastAsia"/>
          <w:b/>
          <w:bCs/>
          <w:lang w:val="en-US" w:eastAsia="zh-CN"/>
        </w:rPr>
        <w:t xml:space="preserve"> </w:t>
      </w:r>
      <w:r>
        <w:rPr>
          <w:rFonts w:hint="eastAsia"/>
          <w:lang w:val="en-US" w:eastAsia="zh-CN"/>
        </w:rPr>
        <w:t xml:space="preserve"> </w:t>
      </w:r>
      <w:r>
        <w:rPr>
          <w:rFonts w:hint="eastAsia"/>
        </w:rPr>
        <w:t>位于南雄市黄坑镇西部，距离市区</w:t>
      </w:r>
      <w:r>
        <w:t>23</w:t>
      </w:r>
      <w:r>
        <w:rPr>
          <w:rFonts w:hint="eastAsia"/>
        </w:rPr>
        <w:t>公里，有</w:t>
      </w:r>
      <w:r>
        <w:t>7个自然村、14个村小组，有沈、何、余</w:t>
      </w:r>
      <w:r>
        <w:rPr>
          <w:rFonts w:hint="eastAsia"/>
        </w:rPr>
        <w:t>等</w:t>
      </w:r>
      <w:r>
        <w:t>5个姓氏。村集体经济</w:t>
      </w:r>
      <w:r>
        <w:rPr>
          <w:rFonts w:hint="eastAsia"/>
          <w:lang w:eastAsia="zh-CN"/>
        </w:rPr>
        <w:t>收入</w:t>
      </w:r>
      <w:r>
        <w:t>4.5万元，人均纯收</w:t>
      </w:r>
      <w:r>
        <w:rPr>
          <w:rFonts w:hint="eastAsia"/>
        </w:rPr>
        <w:t>入</w:t>
      </w:r>
      <w:r>
        <w:t>8252元。全村共有农户576户，总人口2409人，</w:t>
      </w:r>
      <w:r>
        <w:rPr>
          <w:rFonts w:hint="eastAsia"/>
        </w:rPr>
        <w:t>耕地面积</w:t>
      </w:r>
      <w:r>
        <w:t>2540亩，其中水田面积1227亩，旱地1313亩。农业以种植黄烟、水稻、花生为主。</w:t>
      </w:r>
    </w:p>
    <w:p w14:paraId="333704D7">
      <w:pPr>
        <w:rPr>
          <w:rFonts w:hint="eastAsia"/>
        </w:rPr>
      </w:pPr>
      <w:r>
        <w:rPr>
          <w:rFonts w:hint="eastAsia"/>
          <w:b/>
          <w:bCs/>
        </w:rPr>
        <w:t>社前村</w:t>
      </w:r>
      <w:r>
        <w:rPr>
          <w:rFonts w:hint="eastAsia"/>
          <w:lang w:val="en-US" w:eastAsia="zh-CN"/>
        </w:rPr>
        <w:t xml:space="preserve">  </w:t>
      </w:r>
      <w:r>
        <w:rPr>
          <w:rFonts w:hint="eastAsia"/>
        </w:rPr>
        <w:t>位于南雄市黄坑镇北部，距离市区</w:t>
      </w:r>
      <w:r>
        <w:t>25</w:t>
      </w:r>
      <w:r>
        <w:rPr>
          <w:rFonts w:hint="eastAsia"/>
        </w:rPr>
        <w:t>公里，与镇政府所在地相距</w:t>
      </w:r>
      <w:r>
        <w:t>2公里，有8个自然</w:t>
      </w:r>
      <w:r>
        <w:rPr>
          <w:rFonts w:hint="eastAsia"/>
        </w:rPr>
        <w:t>村、</w:t>
      </w:r>
      <w:r>
        <w:t>8个村小组，有何、黄、杨、雷、卢、李6个</w:t>
      </w:r>
      <w:r>
        <w:rPr>
          <w:rFonts w:hint="eastAsia"/>
        </w:rPr>
        <w:t>姓氏。村集体经济收入</w:t>
      </w:r>
      <w:r>
        <w:t>4.7万元，人均纯收入8199</w:t>
      </w:r>
      <w:r>
        <w:rPr>
          <w:rFonts w:hint="eastAsia"/>
        </w:rPr>
        <w:t>元。全村共有农户</w:t>
      </w:r>
      <w:r>
        <w:t>585户，总人口2126人，耕地</w:t>
      </w:r>
      <w:r>
        <w:rPr>
          <w:rFonts w:hint="eastAsia"/>
        </w:rPr>
        <w:t>面积</w:t>
      </w:r>
      <w:r>
        <w:t>2632亩，其中水田面积1072亩，旱地1560</w:t>
      </w:r>
      <w:r>
        <w:rPr>
          <w:rFonts w:hint="eastAsia"/>
        </w:rPr>
        <w:t>亩。农业以种植黄烟、水稻、花生为主。</w:t>
      </w:r>
    </w:p>
    <w:p w14:paraId="03738A65">
      <w:r>
        <w:rPr>
          <w:rFonts w:hint="eastAsia"/>
          <w:b/>
          <w:bCs/>
        </w:rPr>
        <w:t>小陂村</w:t>
      </w:r>
      <w:r>
        <w:rPr>
          <w:rFonts w:hint="eastAsia"/>
          <w:b/>
          <w:bCs/>
          <w:lang w:val="en-US" w:eastAsia="zh-CN"/>
        </w:rPr>
        <w:t xml:space="preserve"> </w:t>
      </w:r>
      <w:r>
        <w:rPr>
          <w:rFonts w:hint="eastAsia"/>
          <w:lang w:val="en-US" w:eastAsia="zh-CN"/>
        </w:rPr>
        <w:t xml:space="preserve"> </w:t>
      </w:r>
      <w:r>
        <w:rPr>
          <w:rFonts w:hint="eastAsia"/>
        </w:rPr>
        <w:t>位于南雄市黄坑镇东北方向，距离市区</w:t>
      </w:r>
      <w:r>
        <w:t>26公里，与镇政府所在地相距2.5公里，有8个</w:t>
      </w:r>
      <w:r>
        <w:rPr>
          <w:rFonts w:hint="eastAsia"/>
        </w:rPr>
        <w:t>自然村、</w:t>
      </w:r>
      <w:r>
        <w:t>10个村小组，有沈、张、雷、刘、陈、卢6个姓氏。村集体经济收入3.2万元，人均纯收入8238元。全村共有农户510户，总人口2231人，</w:t>
      </w:r>
      <w:r>
        <w:rPr>
          <w:rFonts w:hint="eastAsia"/>
        </w:rPr>
        <w:t>耕地面积</w:t>
      </w:r>
      <w:r>
        <w:t>3479亩，其中水田面积1633亩，旱地1846亩。农业以种植黄烟、水稻、花生为主。</w:t>
      </w:r>
    </w:p>
    <w:p w14:paraId="71352C7B">
      <w:pPr>
        <w:rPr>
          <w:rFonts w:hint="eastAsia"/>
        </w:rPr>
      </w:pPr>
      <w:r>
        <w:rPr>
          <w:rFonts w:hint="eastAsia"/>
          <w:b/>
          <w:bCs/>
        </w:rPr>
        <w:t>塘源村</w:t>
      </w:r>
      <w:r>
        <w:rPr>
          <w:rFonts w:hint="eastAsia"/>
          <w:lang w:val="en-US" w:eastAsia="zh-CN"/>
        </w:rPr>
        <w:t xml:space="preserve">  </w:t>
      </w:r>
      <w:r>
        <w:rPr>
          <w:rFonts w:hint="eastAsia"/>
        </w:rPr>
        <w:t>位于南雄市黄坑镇东部，距离市区</w:t>
      </w:r>
      <w:r>
        <w:t>25</w:t>
      </w:r>
      <w:r>
        <w:rPr>
          <w:rFonts w:hint="eastAsia"/>
        </w:rPr>
        <w:t>公里，与镇政府所在地相距</w:t>
      </w:r>
      <w:r>
        <w:t>1公里，是黄坑镇的人</w:t>
      </w:r>
      <w:r>
        <w:rPr>
          <w:rFonts w:hint="eastAsia"/>
        </w:rPr>
        <w:t>口大村，有</w:t>
      </w:r>
      <w:r>
        <w:t>13个自然村、18个村小组，有沈、蓝</w:t>
      </w:r>
      <w:r>
        <w:rPr>
          <w:rFonts w:hint="eastAsia"/>
          <w:lang w:eastAsia="zh-CN"/>
        </w:rPr>
        <w:t>、</w:t>
      </w:r>
      <w:r>
        <w:rPr>
          <w:rFonts w:hint="eastAsia"/>
        </w:rPr>
        <w:t>马、叶、陈、李、廖、温、吴等</w:t>
      </w:r>
      <w:r>
        <w:t>11个姓氏。村集</w:t>
      </w:r>
      <w:r>
        <w:rPr>
          <w:rFonts w:hint="eastAsia"/>
        </w:rPr>
        <w:t>体经济收入</w:t>
      </w:r>
      <w:r>
        <w:t>6万元，人均纯收入8185元。全村共</w:t>
      </w:r>
      <w:r>
        <w:rPr>
          <w:rFonts w:hint="eastAsia"/>
        </w:rPr>
        <w:t>有农户</w:t>
      </w:r>
      <w:r>
        <w:t>786户，总人口3136人，耕地面积4841亩，</w:t>
      </w:r>
      <w:r>
        <w:rPr>
          <w:rFonts w:hint="eastAsia"/>
        </w:rPr>
        <w:t>其中水田面积</w:t>
      </w:r>
      <w:r>
        <w:t>2258亩，旱地2583亩。农业以种植</w:t>
      </w:r>
      <w:r>
        <w:rPr>
          <w:rFonts w:hint="eastAsia"/>
        </w:rPr>
        <w:t>黄烟、水稻、花生为主。</w:t>
      </w:r>
    </w:p>
    <w:p w14:paraId="70E9AE57">
      <w:pPr>
        <w:rPr>
          <w:rFonts w:hint="eastAsia"/>
        </w:rPr>
      </w:pPr>
      <w:r>
        <w:rPr>
          <w:rFonts w:hint="eastAsia"/>
          <w:b/>
          <w:bCs/>
        </w:rPr>
        <w:t>溪塘村</w:t>
      </w:r>
      <w:r>
        <w:rPr>
          <w:rFonts w:hint="eastAsia"/>
          <w:lang w:val="en-US" w:eastAsia="zh-CN"/>
        </w:rPr>
        <w:t xml:space="preserve">  </w:t>
      </w:r>
      <w:r>
        <w:rPr>
          <w:rFonts w:hint="eastAsia"/>
        </w:rPr>
        <w:t>位于南雄市黄坑镇东南方向，距离市区</w:t>
      </w:r>
      <w:r>
        <w:t>28公里，与镇政府所在地相距5公里，是黄坑</w:t>
      </w:r>
      <w:r>
        <w:rPr>
          <w:rFonts w:hint="eastAsia"/>
        </w:rPr>
        <w:t>镇的人口大村，有</w:t>
      </w:r>
      <w:r>
        <w:t>6个自然村、15个村小组，有</w:t>
      </w:r>
      <w:r>
        <w:rPr>
          <w:rFonts w:hint="eastAsia"/>
        </w:rPr>
        <w:t>陈、范、周、李、董、阳、郭、沈、张等</w:t>
      </w:r>
      <w:r>
        <w:t>11个姓</w:t>
      </w:r>
      <w:r>
        <w:rPr>
          <w:rFonts w:hint="eastAsia"/>
        </w:rPr>
        <w:t>氏。村集体经济收入</w:t>
      </w:r>
      <w:r>
        <w:t>6.8万元，人均纯收入8203</w:t>
      </w:r>
      <w:r>
        <w:rPr>
          <w:rFonts w:hint="eastAsia"/>
        </w:rPr>
        <w:t>元。全村共有农户</w:t>
      </w:r>
      <w:r>
        <w:t>681户，总人口2916人，耕地</w:t>
      </w:r>
      <w:r>
        <w:rPr>
          <w:rFonts w:hint="eastAsia"/>
        </w:rPr>
        <w:t>面积</w:t>
      </w:r>
      <w:r>
        <w:t>3714亩，其中水田面积2036亩，旱地1678</w:t>
      </w:r>
      <w:r>
        <w:rPr>
          <w:rFonts w:hint="eastAsia"/>
        </w:rPr>
        <w:t>亩。农业以种植黄烟、水稻、花生、柿子为主，淡水鱼塘养殖初具规模。</w:t>
      </w:r>
    </w:p>
    <w:p w14:paraId="56DE4AC8">
      <w:pPr>
        <w:rPr>
          <w:rFonts w:hint="eastAsia"/>
        </w:rPr>
      </w:pPr>
      <w:r>
        <w:rPr>
          <w:rFonts w:hint="eastAsia"/>
          <w:b/>
          <w:bCs/>
        </w:rPr>
        <w:t>耶溪村</w:t>
      </w:r>
      <w:r>
        <w:rPr>
          <w:rFonts w:hint="eastAsia"/>
          <w:lang w:val="en-US" w:eastAsia="zh-CN"/>
        </w:rPr>
        <w:t xml:space="preserve">  </w:t>
      </w:r>
      <w:r>
        <w:rPr>
          <w:rFonts w:hint="eastAsia"/>
        </w:rPr>
        <w:t>位于南雄市黄坑镇西南方向，距离市区</w:t>
      </w:r>
      <w:r>
        <w:t>21公里，与镇政府所在地相距3公里，有5个自</w:t>
      </w:r>
      <w:r>
        <w:rPr>
          <w:rFonts w:hint="eastAsia"/>
        </w:rPr>
        <w:t>然村、</w:t>
      </w:r>
      <w:r>
        <w:t>14个村小组，有沈、陈、林、黄、阳、何、</w:t>
      </w:r>
      <w:r>
        <w:rPr>
          <w:rFonts w:hint="eastAsia"/>
        </w:rPr>
        <w:t>肖</w:t>
      </w:r>
      <w:r>
        <w:t>7个姓氏。村集体经济收入6.7万元，人均纯收</w:t>
      </w:r>
      <w:r>
        <w:rPr>
          <w:rFonts w:hint="eastAsia"/>
        </w:rPr>
        <w:t>入</w:t>
      </w:r>
      <w:r>
        <w:t>8332元。全村共有农户559户，总人口2241人，</w:t>
      </w:r>
      <w:r>
        <w:rPr>
          <w:rFonts w:hint="eastAsia"/>
        </w:rPr>
        <w:t>耕地面积</w:t>
      </w:r>
      <w:r>
        <w:t>3400亩，其中水田面积1855亩，旱地1545亩，林地面积1900亩，鱼塘水面面积260亩。</w:t>
      </w:r>
      <w:r>
        <w:rPr>
          <w:rFonts w:hint="eastAsia"/>
        </w:rPr>
        <w:t>农业以种植黄烟、水稻、花生、柿子为主。</w:t>
      </w:r>
    </w:p>
    <w:p w14:paraId="4B773AE7">
      <w:r>
        <w:rPr>
          <w:rFonts w:hint="eastAsia"/>
          <w:b/>
          <w:bCs/>
        </w:rPr>
        <w:t>中心村</w:t>
      </w:r>
      <w:r>
        <w:rPr>
          <w:rFonts w:hint="eastAsia"/>
          <w:lang w:val="en-US" w:eastAsia="zh-CN"/>
        </w:rPr>
        <w:t xml:space="preserve">  </w:t>
      </w:r>
      <w:r>
        <w:rPr>
          <w:rFonts w:hint="eastAsia"/>
        </w:rPr>
        <w:t>位于南雄市黄坑镇南部，距离市区</w:t>
      </w:r>
      <w:r>
        <w:t>26</w:t>
      </w:r>
      <w:r>
        <w:rPr>
          <w:rFonts w:hint="eastAsia"/>
        </w:rPr>
        <w:t>公里，与镇政府所在地相距</w:t>
      </w:r>
      <w:r>
        <w:t>3公里，有13个自然</w:t>
      </w:r>
      <w:r>
        <w:rPr>
          <w:rFonts w:hint="eastAsia"/>
        </w:rPr>
        <w:t>村、</w:t>
      </w:r>
      <w:r>
        <w:t>13个村小组，有周、杨、刘、曾、陈、沈等11个姓氏。村集体经济收入4.5万元，人均纯收入7810元。全村共有农户498户，总人口2079人，</w:t>
      </w:r>
      <w:r>
        <w:rPr>
          <w:rFonts w:hint="eastAsia"/>
        </w:rPr>
        <w:t>耕地面积</w:t>
      </w:r>
      <w:r>
        <w:t>3108亩，其中水田面积1503亩，旱地1605亩。农业以种植黄烟、水稻为主。</w:t>
      </w:r>
    </w:p>
    <w:p w14:paraId="49246EBB">
      <w:pPr>
        <w:rPr>
          <w:rFonts w:hint="eastAsia"/>
        </w:rPr>
      </w:pPr>
      <w:r>
        <w:rPr>
          <w:rFonts w:hint="eastAsia"/>
          <w:b/>
          <w:bCs/>
        </w:rPr>
        <w:t>园岭村</w:t>
      </w:r>
      <w:r>
        <w:rPr>
          <w:rFonts w:hint="eastAsia"/>
          <w:b/>
          <w:bCs/>
          <w:lang w:val="en-US" w:eastAsia="zh-CN"/>
        </w:rPr>
        <w:t xml:space="preserve"> </w:t>
      </w:r>
      <w:r>
        <w:rPr>
          <w:rFonts w:hint="eastAsia"/>
          <w:lang w:val="en-US" w:eastAsia="zh-CN"/>
        </w:rPr>
        <w:t xml:space="preserve"> </w:t>
      </w:r>
      <w:r>
        <w:rPr>
          <w:rFonts w:hint="eastAsia"/>
        </w:rPr>
        <w:t>位于南雄市黄坑镇南部，距离市区</w:t>
      </w:r>
      <w:r>
        <w:t>28</w:t>
      </w:r>
      <w:r>
        <w:rPr>
          <w:rFonts w:hint="eastAsia"/>
        </w:rPr>
        <w:t>公里，与镇政府所在地相距</w:t>
      </w:r>
      <w:r>
        <w:t>5公里，有6个自然</w:t>
      </w:r>
      <w:r>
        <w:rPr>
          <w:rFonts w:hint="eastAsia"/>
        </w:rPr>
        <w:t>村、</w:t>
      </w:r>
      <w:r>
        <w:t>9个村小组，有沈、廖、周、刘4个姓氏。村</w:t>
      </w:r>
      <w:r>
        <w:rPr>
          <w:rFonts w:hint="eastAsia"/>
        </w:rPr>
        <w:t>集体经济收入</w:t>
      </w:r>
      <w:r>
        <w:t>3.5万元，人均纯收入7876元。全</w:t>
      </w:r>
      <w:r>
        <w:rPr>
          <w:rFonts w:hint="eastAsia"/>
        </w:rPr>
        <w:t>村共有农户</w:t>
      </w:r>
      <w:r>
        <w:t>333户，总人口1456人，耕地面积2601亩，其中水田面积1013亩，旱地1588亩。农</w:t>
      </w:r>
      <w:r>
        <w:rPr>
          <w:rFonts w:hint="eastAsia"/>
        </w:rPr>
        <w:t>业以种植黄烟、水稻、花生为主。</w:t>
      </w:r>
    </w:p>
    <w:p w14:paraId="139E2B50">
      <w:pPr>
        <w:rPr>
          <w:rFonts w:hint="eastAsia"/>
          <w:lang w:eastAsia="zh-CN"/>
        </w:rPr>
      </w:pPr>
      <w:r>
        <w:rPr>
          <w:rFonts w:hint="eastAsia"/>
          <w:b/>
          <w:bCs/>
          <w:sz w:val="18"/>
          <w:szCs w:val="18"/>
        </w:rPr>
        <w:t>许村</w:t>
      </w:r>
      <w:r>
        <w:rPr>
          <w:rFonts w:hint="eastAsia"/>
          <w:b/>
          <w:bCs/>
          <w:sz w:val="18"/>
          <w:szCs w:val="18"/>
          <w:lang w:val="en-US" w:eastAsia="zh-CN"/>
        </w:rPr>
        <w:t xml:space="preserve"> </w:t>
      </w:r>
      <w:r>
        <w:rPr>
          <w:rFonts w:hint="eastAsia"/>
          <w:lang w:val="en-US" w:eastAsia="zh-CN"/>
        </w:rPr>
        <w:t xml:space="preserve"> </w:t>
      </w:r>
      <w:r>
        <w:rPr>
          <w:rFonts w:hint="eastAsia"/>
        </w:rPr>
        <w:t>位于南雄市黄坑镇西部，距离市区</w:t>
      </w:r>
      <w:r>
        <w:t>21</w:t>
      </w:r>
      <w:r>
        <w:rPr>
          <w:rFonts w:hint="eastAsia"/>
        </w:rPr>
        <w:t>公里，与镇政府所在地相距</w:t>
      </w:r>
      <w:r>
        <w:t>2公里，有5个自然</w:t>
      </w:r>
      <w:r>
        <w:rPr>
          <w:rFonts w:hint="eastAsia"/>
        </w:rPr>
        <w:t>村、</w:t>
      </w:r>
      <w:r>
        <w:t>12个村小组，有蓝、刘、赖、陈、沈等8个姓</w:t>
      </w:r>
      <w:r>
        <w:rPr>
          <w:rFonts w:hint="eastAsia"/>
        </w:rPr>
        <w:t>氏。村集体经济收入</w:t>
      </w:r>
      <w:r>
        <w:t>5.8万元，人均纯</w:t>
      </w:r>
      <w:r>
        <w:rPr>
          <w:rFonts w:hint="eastAsia"/>
          <w:lang w:eastAsia="zh-CN"/>
        </w:rPr>
        <w:t>收入</w:t>
      </w:r>
      <w:r>
        <w:t>8220</w:t>
      </w:r>
      <w:r>
        <w:rPr>
          <w:rFonts w:hint="eastAsia"/>
        </w:rPr>
        <w:t>元。全村共有农户</w:t>
      </w:r>
      <w:r>
        <w:t>499户，总人口2414人，耕地</w:t>
      </w:r>
      <w:r>
        <w:rPr>
          <w:rFonts w:hint="eastAsia"/>
        </w:rPr>
        <w:t>面积</w:t>
      </w:r>
      <w:r>
        <w:t>2642亩，其中水田面积1867亩，旱地775亩。</w:t>
      </w:r>
      <w:r>
        <w:rPr>
          <w:rFonts w:hint="eastAsia"/>
        </w:rPr>
        <w:t>农业以种植黄烟、水稻、花生为主，以优质鱼、山地鸡、鸭为主的水库综合养殖已具规模</w:t>
      </w:r>
      <w:r>
        <w:rPr>
          <w:rFonts w:hint="eastAsia"/>
          <w:lang w:eastAsia="zh-CN"/>
        </w:rPr>
        <w:t>。</w:t>
      </w:r>
    </w:p>
    <w:p w14:paraId="5ED26829">
      <w:pPr>
        <w:rPr>
          <w:rFonts w:hint="eastAsia"/>
        </w:rPr>
      </w:pPr>
      <w:r>
        <w:rPr>
          <w:rFonts w:hint="eastAsia"/>
          <w:b/>
          <w:bCs/>
        </w:rPr>
        <w:t>上象村</w:t>
      </w:r>
      <w:r>
        <w:rPr>
          <w:rFonts w:hint="eastAsia"/>
          <w:lang w:val="en-US" w:eastAsia="zh-CN"/>
        </w:rPr>
        <w:t xml:space="preserve">  </w:t>
      </w:r>
      <w:r>
        <w:rPr>
          <w:rFonts w:hint="eastAsia"/>
        </w:rPr>
        <w:t>位于南雄市黄坑镇南部，距离市区</w:t>
      </w:r>
      <w:r>
        <w:t>23</w:t>
      </w:r>
      <w:r>
        <w:rPr>
          <w:rFonts w:hint="eastAsia"/>
        </w:rPr>
        <w:t>公里，与镇政府所在地相距</w:t>
      </w:r>
      <w:r>
        <w:t>2公里，有8个自然</w:t>
      </w:r>
      <w:r>
        <w:rPr>
          <w:rFonts w:hint="eastAsia"/>
        </w:rPr>
        <w:t>村、</w:t>
      </w:r>
      <w:r>
        <w:t>10个村小组，有沈、刘、卢3个姓氏。村集体</w:t>
      </w:r>
      <w:r>
        <w:rPr>
          <w:rFonts w:hint="eastAsia"/>
        </w:rPr>
        <w:t>经济收入</w:t>
      </w:r>
      <w:r>
        <w:t>3.5万元，人均纯收入7839元。全村共</w:t>
      </w:r>
      <w:r>
        <w:rPr>
          <w:rFonts w:hint="eastAsia"/>
        </w:rPr>
        <w:t>有农户</w:t>
      </w:r>
      <w:r>
        <w:t>368户，总人口1653人，耕地面积2205亩</w:t>
      </w:r>
      <w:r>
        <w:rPr>
          <w:rFonts w:hint="eastAsia"/>
          <w:lang w:eastAsia="zh-CN"/>
        </w:rPr>
        <w:t>，</w:t>
      </w:r>
      <w:r>
        <w:rPr>
          <w:rFonts w:hint="eastAsia"/>
        </w:rPr>
        <w:t>其中水田面积</w:t>
      </w:r>
      <w:r>
        <w:t>1101亩，旱地1104亩。农业以种植</w:t>
      </w:r>
      <w:r>
        <w:rPr>
          <w:rFonts w:hint="eastAsia"/>
        </w:rPr>
        <w:t>黄烟、水稻、花生为主。</w:t>
      </w:r>
    </w:p>
    <w:p w14:paraId="502CB085">
      <w:pPr>
        <w:jc w:val="right"/>
        <w:rPr>
          <w:rFonts w:hint="eastAsia"/>
          <w:b/>
          <w:bCs/>
        </w:rPr>
      </w:pPr>
      <w:r>
        <w:rPr>
          <w:rFonts w:hint="eastAsia"/>
          <w:b/>
          <w:bCs/>
        </w:rPr>
        <w:t>（朱光晃）</w:t>
      </w:r>
    </w:p>
    <w:p w14:paraId="72AB15B4">
      <w:pPr>
        <w:pStyle w:val="10"/>
        <w:bidi w:val="0"/>
        <w:rPr>
          <w:b/>
          <w:bCs/>
        </w:rPr>
      </w:pPr>
      <w:r>
        <w:rPr>
          <w:rFonts w:hint="eastAsia"/>
          <w:b/>
          <w:bCs/>
        </w:rPr>
        <w:t>附：</w:t>
      </w:r>
      <w:r>
        <w:rPr>
          <w:b/>
          <w:bCs/>
        </w:rPr>
        <w:t>2013年黄坑镇领导班子成员名单</w:t>
      </w:r>
    </w:p>
    <w:p w14:paraId="2C71E552">
      <w:pPr>
        <w:pStyle w:val="10"/>
        <w:bidi w:val="0"/>
        <w:rPr>
          <w:rFonts w:hint="eastAsia"/>
        </w:rPr>
      </w:pPr>
      <w:r>
        <w:rPr>
          <w:rFonts w:hint="eastAsia"/>
          <w:b/>
          <w:bCs/>
        </w:rPr>
        <w:t>党委书记、人大主席：</w:t>
      </w:r>
      <w:r>
        <w:rPr>
          <w:rFonts w:hint="eastAsia"/>
        </w:rPr>
        <w:t>沈文昌</w:t>
      </w:r>
    </w:p>
    <w:p w14:paraId="6B59B04F">
      <w:pPr>
        <w:pStyle w:val="10"/>
        <w:bidi w:val="0"/>
        <w:rPr>
          <w:rFonts w:hint="eastAsia"/>
        </w:rPr>
      </w:pPr>
      <w:r>
        <w:rPr>
          <w:rFonts w:hint="eastAsia"/>
          <w:b/>
          <w:bCs/>
        </w:rPr>
        <w:t>党委副书记、镇长：</w:t>
      </w:r>
      <w:r>
        <w:rPr>
          <w:rFonts w:hint="eastAsia"/>
        </w:rPr>
        <w:t>钟祥文</w:t>
      </w:r>
    </w:p>
    <w:p w14:paraId="2118549B">
      <w:pPr>
        <w:pStyle w:val="10"/>
        <w:bidi w:val="0"/>
        <w:rPr>
          <w:rFonts w:hint="eastAsia"/>
        </w:rPr>
      </w:pPr>
      <w:r>
        <w:rPr>
          <w:rFonts w:hint="eastAsia"/>
          <w:b/>
          <w:bCs/>
        </w:rPr>
        <w:t>党委副书记：</w:t>
      </w:r>
      <w:r>
        <w:rPr>
          <w:rFonts w:hint="eastAsia"/>
        </w:rPr>
        <w:t>陈光文</w:t>
      </w:r>
    </w:p>
    <w:p w14:paraId="45A7AC2B">
      <w:pPr>
        <w:pStyle w:val="10"/>
        <w:bidi w:val="0"/>
        <w:rPr>
          <w:rFonts w:hint="eastAsia"/>
        </w:rPr>
      </w:pPr>
      <w:r>
        <w:rPr>
          <w:rFonts w:hint="eastAsia"/>
          <w:b/>
          <w:bCs/>
        </w:rPr>
        <w:t>中心纪检组长、纪委书记：</w:t>
      </w:r>
      <w:r>
        <w:rPr>
          <w:rFonts w:hint="eastAsia"/>
        </w:rPr>
        <w:t>叶培兰</w:t>
      </w:r>
    </w:p>
    <w:p w14:paraId="656E5A84">
      <w:pPr>
        <w:pStyle w:val="10"/>
        <w:bidi w:val="0"/>
        <w:rPr>
          <w:rFonts w:hint="eastAsia"/>
        </w:rPr>
      </w:pPr>
      <w:r>
        <w:rPr>
          <w:rFonts w:hint="eastAsia"/>
          <w:b/>
          <w:bCs/>
        </w:rPr>
        <w:t>组织委员：</w:t>
      </w:r>
      <w:r>
        <w:rPr>
          <w:rFonts w:hint="eastAsia"/>
        </w:rPr>
        <w:t>罗惠琴</w:t>
      </w:r>
    </w:p>
    <w:p w14:paraId="0F3A28E2">
      <w:pPr>
        <w:pStyle w:val="10"/>
        <w:bidi w:val="0"/>
        <w:rPr>
          <w:rFonts w:hint="eastAsia"/>
        </w:rPr>
      </w:pPr>
      <w:r>
        <w:rPr>
          <w:rFonts w:hint="eastAsia"/>
          <w:b/>
          <w:bCs/>
        </w:rPr>
        <w:t>宣传委员：</w:t>
      </w:r>
      <w:r>
        <w:rPr>
          <w:rFonts w:hint="eastAsia"/>
        </w:rPr>
        <w:t>叶细芳</w:t>
      </w:r>
    </w:p>
    <w:p w14:paraId="199BDE70">
      <w:pPr>
        <w:pStyle w:val="10"/>
        <w:bidi w:val="0"/>
        <w:rPr>
          <w:rFonts w:hint="eastAsia"/>
        </w:rPr>
      </w:pPr>
      <w:r>
        <w:rPr>
          <w:rFonts w:hint="eastAsia"/>
          <w:b/>
          <w:bCs/>
        </w:rPr>
        <w:t>人大副主席：</w:t>
      </w:r>
      <w:r>
        <w:rPr>
          <w:rFonts w:hint="eastAsia"/>
        </w:rPr>
        <w:t>林祥辉</w:t>
      </w:r>
    </w:p>
    <w:p w14:paraId="697EDE9E">
      <w:pPr>
        <w:pStyle w:val="10"/>
        <w:bidi w:val="0"/>
        <w:rPr>
          <w:rFonts w:hint="eastAsia"/>
        </w:rPr>
      </w:pPr>
      <w:r>
        <w:rPr>
          <w:rFonts w:hint="eastAsia"/>
          <w:b/>
          <w:bCs/>
        </w:rPr>
        <w:t>武装部长：</w:t>
      </w:r>
      <w:r>
        <w:rPr>
          <w:rFonts w:hint="eastAsia"/>
        </w:rPr>
        <w:t>谭章洪</w:t>
      </w:r>
    </w:p>
    <w:p w14:paraId="7FD936B3">
      <w:pPr>
        <w:pStyle w:val="10"/>
        <w:bidi w:val="0"/>
        <w:rPr>
          <w:rFonts w:hint="eastAsia"/>
        </w:rPr>
      </w:pPr>
      <w:r>
        <w:rPr>
          <w:rFonts w:hint="eastAsia"/>
          <w:b/>
          <w:bCs/>
        </w:rPr>
        <w:t>综治办专职副主任：</w:t>
      </w:r>
      <w:r>
        <w:rPr>
          <w:rFonts w:hint="eastAsia"/>
        </w:rPr>
        <w:t>谢俊南</w:t>
      </w:r>
    </w:p>
    <w:p w14:paraId="70C66C1C">
      <w:pPr>
        <w:pStyle w:val="10"/>
        <w:bidi w:val="0"/>
        <w:rPr>
          <w:rFonts w:hint="eastAsia"/>
        </w:rPr>
      </w:pPr>
      <w:r>
        <w:rPr>
          <w:rFonts w:hint="eastAsia"/>
          <w:b/>
          <w:bCs/>
        </w:rPr>
        <w:t>副镇长：</w:t>
      </w:r>
      <w:r>
        <w:rPr>
          <w:rFonts w:hint="eastAsia"/>
        </w:rPr>
        <w:t>戴明海</w:t>
      </w:r>
      <w:r>
        <w:rPr>
          <w:rFonts w:hint="eastAsia"/>
          <w:lang w:val="en-US" w:eastAsia="zh-CN"/>
        </w:rPr>
        <w:t xml:space="preserve">   </w:t>
      </w:r>
      <w:r>
        <w:rPr>
          <w:rFonts w:hint="eastAsia"/>
        </w:rPr>
        <w:t>刘</w:t>
      </w:r>
      <w:r>
        <w:rPr>
          <w:rFonts w:hint="eastAsia"/>
          <w:lang w:val="en-US" w:eastAsia="zh-CN"/>
        </w:rPr>
        <w:t xml:space="preserve">  </w:t>
      </w:r>
      <w:r>
        <w:rPr>
          <w:rFonts w:hint="eastAsia"/>
        </w:rPr>
        <w:t>洪</w:t>
      </w:r>
      <w:r>
        <w:rPr>
          <w:rFonts w:hint="eastAsia"/>
          <w:lang w:val="en-US" w:eastAsia="zh-CN"/>
        </w:rPr>
        <w:t xml:space="preserve">  </w:t>
      </w:r>
      <w:r>
        <w:rPr>
          <w:rFonts w:hint="eastAsia"/>
        </w:rPr>
        <w:t>蓝北华</w:t>
      </w:r>
    </w:p>
    <w:p w14:paraId="0C2B095E">
      <w:pPr>
        <w:pStyle w:val="3"/>
        <w:bidi w:val="0"/>
        <w:rPr>
          <w:rFonts w:hint="eastAsia"/>
        </w:rPr>
      </w:pPr>
      <w:r>
        <w:rPr>
          <w:rFonts w:hint="eastAsia"/>
        </w:rPr>
        <w:t>南亩镇</w:t>
      </w:r>
    </w:p>
    <w:p w14:paraId="075309D8">
      <w:pPr>
        <w:pStyle w:val="4"/>
        <w:bidi w:val="0"/>
        <w:rPr>
          <w:rFonts w:hint="eastAsia"/>
        </w:rPr>
      </w:pPr>
      <w:r>
        <w:rPr>
          <w:rFonts w:hint="eastAsia"/>
        </w:rPr>
        <w:t>【概况】</w:t>
      </w:r>
    </w:p>
    <w:p w14:paraId="41BCF1E8">
      <w:pPr>
        <w:rPr>
          <w:rFonts w:hint="eastAsia"/>
        </w:rPr>
      </w:pPr>
      <w:r>
        <w:rPr>
          <w:rFonts w:hint="eastAsia"/>
        </w:rPr>
        <w:t>南亩镇位于南雄市东南部，</w:t>
      </w:r>
      <w:r>
        <w:t>1986年改区</w:t>
      </w:r>
      <w:r>
        <w:rPr>
          <w:rFonts w:hint="eastAsia"/>
        </w:rPr>
        <w:t>为乡，</w:t>
      </w:r>
      <w:r>
        <w:t>1994年6月改为镇。地处半山区丘陵地带</w:t>
      </w:r>
      <w:r>
        <w:rPr>
          <w:rFonts w:hint="eastAsia"/>
          <w:lang w:eastAsia="zh-CN"/>
        </w:rPr>
        <w:t>，</w:t>
      </w:r>
      <w:r>
        <w:rPr>
          <w:rFonts w:hint="eastAsia"/>
        </w:rPr>
        <w:t>距南雄市区</w:t>
      </w:r>
      <w:r>
        <w:t>30公里，东邻坪田镇，北接乌迳、黄</w:t>
      </w:r>
      <w:r>
        <w:rPr>
          <w:rFonts w:hint="eastAsia"/>
        </w:rPr>
        <w:t>坑镇，西连水口镇，南与江西省全南县交界。全镇土地总面积</w:t>
      </w:r>
      <w:r>
        <w:t>110.3平方公里，其中山地7767公顷，</w:t>
      </w:r>
      <w:r>
        <w:rPr>
          <w:rFonts w:hint="eastAsia"/>
        </w:rPr>
        <w:t>耕地</w:t>
      </w:r>
      <w:r>
        <w:t>904.47公顷。全镇下辖11个村委会和1个居</w:t>
      </w:r>
      <w:r>
        <w:rPr>
          <w:rFonts w:hint="eastAsia"/>
        </w:rPr>
        <w:t>委会，共</w:t>
      </w:r>
      <w:r>
        <w:t>104个村小组，截止2014年底，总户数4625户，总人口16389人，其中农业人口14321</w:t>
      </w:r>
      <w:r>
        <w:rPr>
          <w:rFonts w:hint="eastAsia"/>
        </w:rPr>
        <w:t>人。境内气候湿润，具有丰富的山地、竹木和稀土资源，经济产业以种养业为主，素有“油茶之乡”</w:t>
      </w:r>
      <w:r>
        <w:rPr>
          <w:rFonts w:hint="eastAsia"/>
          <w:lang w:eastAsia="zh-CN"/>
        </w:rPr>
        <w:t>、“</w:t>
      </w:r>
      <w:r>
        <w:rPr>
          <w:rFonts w:hint="eastAsia"/>
        </w:rPr>
        <w:t>水果之乡”、“繁猪基地”美誉。</w:t>
      </w:r>
    </w:p>
    <w:p w14:paraId="4F893256">
      <w:pPr>
        <w:pStyle w:val="4"/>
        <w:bidi w:val="0"/>
        <w:rPr>
          <w:rFonts w:hint="eastAsia"/>
        </w:rPr>
      </w:pPr>
      <w:r>
        <w:rPr>
          <w:rFonts w:hint="eastAsia"/>
          <w:lang w:eastAsia="zh-CN"/>
        </w:rPr>
        <w:t>【</w:t>
      </w:r>
      <w:r>
        <w:rPr>
          <w:rFonts w:hint="eastAsia"/>
        </w:rPr>
        <w:t>经济社会发展】</w:t>
      </w:r>
    </w:p>
    <w:p w14:paraId="37ACD7E1">
      <w:r>
        <w:t>2013年，全年实现国民生产总</w:t>
      </w:r>
      <w:r>
        <w:rPr>
          <w:rFonts w:hint="eastAsia"/>
        </w:rPr>
        <w:t>值</w:t>
      </w:r>
      <w:r>
        <w:t>2.203亿元，同比增长12%；人均纯收入6102</w:t>
      </w:r>
      <w:r>
        <w:rPr>
          <w:rFonts w:hint="eastAsia"/>
          <w:lang w:val="en-US" w:eastAsia="zh-CN"/>
        </w:rPr>
        <w:t>元，</w:t>
      </w:r>
      <w:r>
        <w:rPr>
          <w:rFonts w:hint="eastAsia"/>
        </w:rPr>
        <w:t>同比增长</w:t>
      </w:r>
      <w:r>
        <w:t>10.17%；粮食播种面积21634亩，</w:t>
      </w:r>
      <w:r>
        <w:rPr>
          <w:rFonts w:hint="eastAsia"/>
        </w:rPr>
        <w:t>同比增长</w:t>
      </w:r>
      <w:r>
        <w:t>8.98%，粮食作物总产量4795吨，同比</w:t>
      </w:r>
      <w:r>
        <w:rPr>
          <w:rFonts w:hint="eastAsia"/>
        </w:rPr>
        <w:t>增加</w:t>
      </w:r>
      <w:r>
        <w:t>5%，水稻、花生、黄烟等作物获得大丰收，</w:t>
      </w:r>
      <w:r>
        <w:rPr>
          <w:rFonts w:hint="eastAsia"/>
        </w:rPr>
        <w:t>畜牧业生产稳定，实现生猪出栏</w:t>
      </w:r>
      <w:r>
        <w:t>67390头，同比增</w:t>
      </w:r>
      <w:r>
        <w:rPr>
          <w:rFonts w:hint="eastAsia"/>
        </w:rPr>
        <w:t>加</w:t>
      </w:r>
      <w:r>
        <w:t>38%，全面实现农业增效，农民增收，财政收入220万元，农村经济发展态势良好。</w:t>
      </w:r>
    </w:p>
    <w:p w14:paraId="2873BD86">
      <w:pPr>
        <w:pStyle w:val="4"/>
        <w:bidi w:val="0"/>
        <w:rPr>
          <w:rFonts w:hint="eastAsia"/>
        </w:rPr>
      </w:pPr>
      <w:r>
        <w:rPr>
          <w:rFonts w:hint="eastAsia"/>
        </w:rPr>
        <w:t>【社会事业发展】</w:t>
      </w:r>
    </w:p>
    <w:p w14:paraId="792A2F7F">
      <w:pPr>
        <w:rPr>
          <w:rFonts w:hint="eastAsia"/>
        </w:rPr>
      </w:pPr>
      <w:r>
        <w:rPr>
          <w:rFonts w:hint="eastAsia"/>
        </w:rPr>
        <w:t>一是教育综合实力稳步提升</w:t>
      </w:r>
      <w:r>
        <w:rPr>
          <w:rFonts w:hint="eastAsia"/>
          <w:lang w:eastAsia="zh-CN"/>
        </w:rPr>
        <w:t>。</w:t>
      </w:r>
      <w:r>
        <w:rPr>
          <w:rFonts w:hint="eastAsia"/>
        </w:rPr>
        <w:t>全镇上下牢固树立教育优先发展的理念，已形成学前教育、初等教育结构合理的国民教育体系，教学质量大幅提升，考入重点高中人数比例也有了较大提升，师资力量不断增强，教学环境得到很好改善，投入</w:t>
      </w:r>
      <w:r>
        <w:t>42万港元新建的康罗赠珍教学楼于年底</w:t>
      </w:r>
      <w:r>
        <w:rPr>
          <w:rFonts w:hint="eastAsia"/>
        </w:rPr>
        <w:t>正式户用，小学适龄儿童入学率和小升初中升学率以及九年义务教育覆盖率都达</w:t>
      </w:r>
      <w:r>
        <w:t>100%。2014年将力</w:t>
      </w:r>
      <w:r>
        <w:rPr>
          <w:rFonts w:hint="eastAsia"/>
        </w:rPr>
        <w:t>争全面完成教育创强任务。二是文化、卫生事业扎实推进。全镇着力构建公共文化基础设施体系，从保障最基层群众的基本文化权益着手，大力促进农村文化体系健康发展，</w:t>
      </w:r>
      <w:r>
        <w:t>11个村委会设有农家书屋，</w:t>
      </w:r>
      <w:r>
        <w:rPr>
          <w:rFonts w:hint="eastAsia"/>
        </w:rPr>
        <w:t>藏书达到</w:t>
      </w:r>
      <w:r>
        <w:t>8千多册。全镇公立卫生院1所，乡村医</w:t>
      </w:r>
      <w:r>
        <w:rPr>
          <w:rFonts w:hint="eastAsia"/>
        </w:rPr>
        <w:t>疗站</w:t>
      </w:r>
      <w:r>
        <w:t>13个，公共卫生和医疗服务体系得到不断加</w:t>
      </w:r>
      <w:r>
        <w:rPr>
          <w:rFonts w:hint="eastAsia"/>
        </w:rPr>
        <w:t>强。医疗卫生服务能力明显增强，居民健康水平显著提高，疾病控制、医疗救治和卫生监督三大体系建设取得新进展，</w:t>
      </w:r>
      <w:r>
        <w:t>98%以上村卫生站实现疫情信息</w:t>
      </w:r>
      <w:r>
        <w:rPr>
          <w:rFonts w:hint="eastAsia"/>
        </w:rPr>
        <w:t>网络直报。三是社会保障体系不断加强。新型农村养老保险完成缴费任务</w:t>
      </w:r>
      <w:r>
        <w:t>4759人，占到市下达任务</w:t>
      </w:r>
      <w:r>
        <w:rPr>
          <w:rFonts w:hint="eastAsia"/>
        </w:rPr>
        <w:t>的</w:t>
      </w:r>
      <w:r>
        <w:t>100.19%，城乡居民医保参保人数14087人，制</w:t>
      </w:r>
      <w:r>
        <w:rPr>
          <w:rFonts w:hint="eastAsia"/>
        </w:rPr>
        <w:t>卡数</w:t>
      </w:r>
      <w:r>
        <w:t>14625，分别占市府分配任务的103.35%和105.97%。农村低保工作严格推进，全镇共223人</w:t>
      </w:r>
      <w:r>
        <w:rPr>
          <w:rFonts w:hint="eastAsia"/>
        </w:rPr>
        <w:t>的低保对象，五保户共有</w:t>
      </w:r>
      <w:r>
        <w:t>6人，散居五保户共有210人，发放城市、农村残疾人（含重度残疾人）</w:t>
      </w:r>
      <w:r>
        <w:rPr>
          <w:rFonts w:hint="eastAsia"/>
        </w:rPr>
        <w:t>生活津贴</w:t>
      </w:r>
      <w:r>
        <w:t>21060元。优抚、救济政策全部落实</w:t>
      </w:r>
      <w:r>
        <w:rPr>
          <w:rFonts w:hint="eastAsia"/>
        </w:rPr>
        <w:t>到位。</w:t>
      </w:r>
    </w:p>
    <w:p w14:paraId="3A426E7D">
      <w:pPr>
        <w:pStyle w:val="4"/>
        <w:bidi w:val="0"/>
        <w:rPr>
          <w:rFonts w:hint="eastAsia"/>
        </w:rPr>
      </w:pPr>
      <w:r>
        <w:rPr>
          <w:rFonts w:hint="eastAsia"/>
        </w:rPr>
        <w:t>【扶贫“双到”工作】</w:t>
      </w:r>
    </w:p>
    <w:p w14:paraId="4D8AAB18">
      <w:pPr>
        <w:rPr>
          <w:rFonts w:hint="eastAsia"/>
        </w:rPr>
      </w:pPr>
      <w:r>
        <w:rPr>
          <w:rFonts w:hint="eastAsia"/>
        </w:rPr>
        <w:t>全镇</w:t>
      </w:r>
      <w:r>
        <w:t>7个村266户贫困户</w:t>
      </w:r>
      <w:r>
        <w:rPr>
          <w:rFonts w:hint="eastAsia"/>
        </w:rPr>
        <w:t>分别受到东莞市南城区、广东工业大学、广东省气象局、广东省二沙体育训练中心</w:t>
      </w:r>
      <w:r>
        <w:t>5个帮扶单位的支</w:t>
      </w:r>
      <w:r>
        <w:rPr>
          <w:rFonts w:hint="eastAsia"/>
        </w:rPr>
        <w:t>助。截止</w:t>
      </w:r>
      <w:r>
        <w:t>2013年底，东莞南城区2013年投入10万</w:t>
      </w:r>
      <w:r>
        <w:rPr>
          <w:rFonts w:hint="eastAsia"/>
        </w:rPr>
        <w:t>元为所帮扶的四个村委会增加办公设备；投入</w:t>
      </w:r>
      <w:r>
        <w:t>50</w:t>
      </w:r>
      <w:r>
        <w:rPr>
          <w:rFonts w:hint="eastAsia"/>
        </w:rPr>
        <w:t>万元装修、新建村委办公楼，其中水尾、中寺、芙蓉村委会已完工。省直</w:t>
      </w:r>
      <w:r>
        <w:t>3个单位共计投入6万元增</w:t>
      </w:r>
      <w:r>
        <w:rPr>
          <w:rFonts w:hint="eastAsia"/>
        </w:rPr>
        <w:t>加办公设备。各帮扶单位已为每个村修建一个垃圾屋，并计划修建文体休闲广场，大力改善村民生活休闲环境。各村贫困户新农合参合率达</w:t>
      </w:r>
      <w:r>
        <w:t>100%，60</w:t>
      </w:r>
      <w:r>
        <w:rPr>
          <w:rFonts w:hint="eastAsia"/>
        </w:rPr>
        <w:t>岁以上老人参保率实现</w:t>
      </w:r>
      <w:r>
        <w:t>100%，无劳动能力109人</w:t>
      </w:r>
      <w:r>
        <w:rPr>
          <w:rFonts w:hint="eastAsia"/>
        </w:rPr>
        <w:t>也全面纳入低保。</w:t>
      </w:r>
    </w:p>
    <w:p w14:paraId="02E45294">
      <w:pPr>
        <w:pStyle w:val="4"/>
        <w:bidi w:val="0"/>
        <w:rPr>
          <w:rFonts w:hint="eastAsia"/>
        </w:rPr>
      </w:pPr>
      <w:r>
        <w:rPr>
          <w:rFonts w:hint="eastAsia"/>
        </w:rPr>
        <w:t>【民生项目建设】</w:t>
      </w:r>
    </w:p>
    <w:p w14:paraId="5DD4C0A0">
      <w:r>
        <w:rPr>
          <w:rFonts w:hint="eastAsia"/>
        </w:rPr>
        <w:t>全镇通过多种途径筹集资金，大力改善民生基础设施：一是争取上级交通部门的支持完成芙蓉、水尾、中岭等路段的</w:t>
      </w:r>
      <w:r>
        <w:t>5个候车亭。</w:t>
      </w:r>
      <w:r>
        <w:rPr>
          <w:rFonts w:hint="eastAsia"/>
        </w:rPr>
        <w:t>二是争取上级供电部门的支持，投资</w:t>
      </w:r>
      <w:r>
        <w:t>1000多万元</w:t>
      </w:r>
      <w:r>
        <w:rPr>
          <w:rFonts w:hint="eastAsia"/>
        </w:rPr>
        <w:t>全面完成镇村农村电网改造工程，改善了山区用电的稳定性和安全性。三是通过招商引资等途径，再投资</w:t>
      </w:r>
      <w:r>
        <w:t>200多万元，对南亩自来水厂进行扩容改造，</w:t>
      </w:r>
      <w:r>
        <w:rPr>
          <w:rFonts w:hint="eastAsia"/>
        </w:rPr>
        <w:t>改善了圩镇居民和大部分村民的饮水质量。四是筹集</w:t>
      </w:r>
      <w:r>
        <w:t>20万资金投入改造完善新敬老院设施建设，敬</w:t>
      </w:r>
      <w:r>
        <w:rPr>
          <w:rFonts w:hint="eastAsia"/>
        </w:rPr>
        <w:t>老院占地面积</w:t>
      </w:r>
      <w:r>
        <w:t>15亩，建筑面积500m2，环境优美，</w:t>
      </w:r>
      <w:r>
        <w:rPr>
          <w:rFonts w:hint="eastAsia"/>
        </w:rPr>
        <w:t>现有老人</w:t>
      </w:r>
      <w:r>
        <w:t>9人。</w:t>
      </w:r>
    </w:p>
    <w:p w14:paraId="11D105EA">
      <w:pPr>
        <w:pStyle w:val="4"/>
        <w:bidi w:val="0"/>
        <w:rPr>
          <w:rFonts w:hint="eastAsia"/>
        </w:rPr>
      </w:pPr>
      <w:r>
        <w:rPr>
          <w:rFonts w:hint="eastAsia"/>
        </w:rPr>
        <w:t>【人口计生】</w:t>
      </w:r>
    </w:p>
    <w:p w14:paraId="03FEB03E">
      <w:pPr>
        <w:rPr>
          <w:rFonts w:hint="eastAsia"/>
        </w:rPr>
      </w:pPr>
      <w:r>
        <w:rPr>
          <w:rFonts w:hint="eastAsia"/>
        </w:rPr>
        <w:t>在</w:t>
      </w:r>
      <w:r>
        <w:t>2012的年度考核中荣获“韶关市2012年度人口和计划生育考核先进单位”。2013年</w:t>
      </w:r>
      <w:r>
        <w:rPr>
          <w:rFonts w:hint="eastAsia"/>
        </w:rPr>
        <w:t>度全面开展“四术”库存清理和综合治理工作，严控政策外多孩出生，加强社会抚养费征收力度，全年征收社会抚养费</w:t>
      </w:r>
      <w:r>
        <w:t>360多万元，计生四术307例，</w:t>
      </w:r>
      <w:r>
        <w:rPr>
          <w:rFonts w:hint="eastAsia"/>
        </w:rPr>
        <w:t>其中上环</w:t>
      </w:r>
      <w:r>
        <w:t>110例，结扎153例，政策生育率86.99%。同时，截至2013年11月13日，人口全</w:t>
      </w:r>
      <w:r>
        <w:rPr>
          <w:rFonts w:hint="eastAsia"/>
        </w:rPr>
        <w:t>员信息录入各项数据质量评估均在全市名列前茅。</w:t>
      </w:r>
    </w:p>
    <w:p w14:paraId="70BA6F6F">
      <w:pPr>
        <w:pStyle w:val="4"/>
        <w:bidi w:val="0"/>
        <w:rPr>
          <w:rFonts w:hint="eastAsia"/>
        </w:rPr>
      </w:pPr>
      <w:r>
        <w:rPr>
          <w:rFonts w:hint="eastAsia"/>
        </w:rPr>
        <w:t>【生态林业建设】</w:t>
      </w:r>
    </w:p>
    <w:p w14:paraId="720629F2">
      <w:pPr>
        <w:rPr>
          <w:rFonts w:hint="eastAsia"/>
          <w:lang w:eastAsia="zh-CN"/>
        </w:rPr>
      </w:pPr>
      <w:r>
        <w:rPr>
          <w:rFonts w:hint="eastAsia"/>
        </w:rPr>
        <w:t>全镇林业总面积</w:t>
      </w:r>
      <w:r>
        <w:t>129874.5亩，</w:t>
      </w:r>
      <w:r>
        <w:rPr>
          <w:rFonts w:hint="eastAsia"/>
        </w:rPr>
        <w:t>其中商品林</w:t>
      </w:r>
      <w:r>
        <w:t>98826亩，生态林20580.5亩，国有林</w:t>
      </w:r>
      <w:r>
        <w:rPr>
          <w:rFonts w:hint="eastAsia"/>
        </w:rPr>
        <w:t>场</w:t>
      </w:r>
      <w:r>
        <w:t>1个，非公有制林场4个，年度完成21000多亩</w:t>
      </w:r>
      <w:r>
        <w:rPr>
          <w:rFonts w:hint="eastAsia"/>
        </w:rPr>
        <w:t>的生态公益林补偿资金发放工作，完成碳汇林造林</w:t>
      </w:r>
      <w:r>
        <w:t>30</w:t>
      </w:r>
      <w:r>
        <w:rPr>
          <w:rFonts w:hint="eastAsia"/>
          <w:lang w:val="en-US" w:eastAsia="zh-CN"/>
        </w:rPr>
        <w:t>0</w:t>
      </w:r>
      <w:r>
        <w:t>0多亩，改造残次林面积540多亩，封山育林22840.5亩。进一步严厉打击乱砍滥伐、走私贩私</w:t>
      </w:r>
      <w:r>
        <w:rPr>
          <w:rFonts w:hint="eastAsia"/>
        </w:rPr>
        <w:t>行为，依法</w:t>
      </w:r>
      <w:r>
        <w:rPr>
          <w:rFonts w:hint="eastAsia"/>
          <w:lang w:eastAsia="zh-CN"/>
        </w:rPr>
        <w:t>查</w:t>
      </w:r>
      <w:r>
        <w:rPr>
          <w:rFonts w:hint="eastAsia"/>
        </w:rPr>
        <w:t>处林业违法案件</w:t>
      </w:r>
      <w:r>
        <w:t>48宗，处罚违法人</w:t>
      </w:r>
      <w:r>
        <w:rPr>
          <w:rFonts w:hint="eastAsia"/>
        </w:rPr>
        <w:t>员</w:t>
      </w:r>
      <w:r>
        <w:t>48人次，</w:t>
      </w:r>
      <w:r>
        <w:rPr>
          <w:rFonts w:hint="eastAsia"/>
          <w:lang w:eastAsia="zh-CN"/>
        </w:rPr>
        <w:t>查</w:t>
      </w:r>
      <w:r>
        <w:t>处野外用火案5宗。同时，抓好林</w:t>
      </w:r>
      <w:r>
        <w:rPr>
          <w:rFonts w:hint="eastAsia"/>
        </w:rPr>
        <w:t>改发证等后续工作，加强林政管理和森林防火工作，进一步加大造林绿化工作力度，加强森林防火工作</w:t>
      </w:r>
      <w:r>
        <w:rPr>
          <w:rFonts w:hint="eastAsia"/>
          <w:lang w:eastAsia="zh-CN"/>
        </w:rPr>
        <w:t>。</w:t>
      </w:r>
    </w:p>
    <w:p w14:paraId="7163F6F4">
      <w:pPr>
        <w:pStyle w:val="4"/>
        <w:bidi w:val="0"/>
        <w:rPr>
          <w:rFonts w:hint="eastAsia"/>
        </w:rPr>
      </w:pPr>
      <w:r>
        <w:rPr>
          <w:rFonts w:hint="eastAsia"/>
        </w:rPr>
        <w:t>【社会治安综合治理】</w:t>
      </w:r>
    </w:p>
    <w:p w14:paraId="04E325A3">
      <w:pPr>
        <w:rPr>
          <w:rFonts w:hint="eastAsia"/>
        </w:rPr>
      </w:pPr>
      <w:r>
        <w:rPr>
          <w:rFonts w:hint="eastAsia"/>
        </w:rPr>
        <w:t>坚持“预防为主、打防并举、标本兼治、重在治本”的方针，大力加强基层基础建设，全面落实综治信访维稳各项措施，全力维护社会稳定。妥善处理好了温氏集团遗留下来的</w:t>
      </w:r>
      <w:r>
        <w:rPr>
          <w:rFonts w:hint="eastAsia"/>
          <w:lang w:eastAsia="zh-CN"/>
        </w:rPr>
        <w:t>一</w:t>
      </w:r>
      <w:r>
        <w:rPr>
          <w:rFonts w:hint="eastAsia"/>
        </w:rPr>
        <w:t>些历史矛盾纠纷，认真调处好了几宗反响比较大的民事纠纷，调解矛盾纠纷</w:t>
      </w:r>
      <w:r>
        <w:t>71宗（其中镇综治中</w:t>
      </w:r>
      <w:r>
        <w:rPr>
          <w:rFonts w:hint="eastAsia"/>
        </w:rPr>
        <w:t>心</w:t>
      </w:r>
      <w:r>
        <w:t>28宗，各村综治工作站43宗）。调解率达100%。解答群众咨询500多人次，指导协调各村</w:t>
      </w:r>
      <w:r>
        <w:rPr>
          <w:rFonts w:hint="eastAsia"/>
        </w:rPr>
        <w:t>（居）委会、中小学校、医院等单位开展平安村（社区）、平安校园、平安医院的创建活动。</w:t>
      </w:r>
    </w:p>
    <w:p w14:paraId="66D66480">
      <w:pPr>
        <w:pStyle w:val="4"/>
        <w:bidi w:val="0"/>
        <w:rPr>
          <w:rFonts w:hint="eastAsia"/>
        </w:rPr>
      </w:pPr>
      <w:r>
        <w:rPr>
          <w:rFonts w:hint="eastAsia"/>
          <w:lang w:eastAsia="zh-CN"/>
        </w:rPr>
        <w:t>【</w:t>
      </w:r>
      <w:r>
        <w:rPr>
          <w:rFonts w:hint="eastAsia"/>
        </w:rPr>
        <w:t>党建工作】</w:t>
      </w:r>
    </w:p>
    <w:p w14:paraId="0859266E">
      <w:r>
        <w:rPr>
          <w:rFonts w:hint="eastAsia"/>
        </w:rPr>
        <w:t>深入开展“面向基层、整顿作风、服务群众”为主题的实践活动，着力整治“庸</w:t>
      </w:r>
      <w:r>
        <w:rPr>
          <w:rFonts w:hint="eastAsia"/>
          <w:lang w:eastAsia="zh-CN"/>
        </w:rPr>
        <w:t>、</w:t>
      </w:r>
      <w:r>
        <w:rPr>
          <w:rFonts w:hint="eastAsia"/>
        </w:rPr>
        <w:t>懒、散、奢”等不良风气，要求党员干部自觉按照“照镜子、正衣冠、洗洗澡、治治病”的总要求，坚决破除“四风”，同时，严明纪律，编撰《南亩镇政府规章制度汇编》一本；实施“基层支部创先争优和整治赶超、农村党员创业致富引领、农村支部书记和后备干部培养、基层组织建设保障激励</w:t>
      </w:r>
      <w:r>
        <w:rPr>
          <w:rFonts w:hint="eastAsia"/>
          <w:lang w:eastAsia="zh-CN"/>
        </w:rPr>
        <w:t>、</w:t>
      </w:r>
      <w:r>
        <w:rPr>
          <w:rFonts w:hint="eastAsia"/>
        </w:rPr>
        <w:t>城乡党建资源统筹”五大工程，</w:t>
      </w:r>
      <w:r>
        <w:t>132名机关干部参</w:t>
      </w:r>
      <w:r>
        <w:rPr>
          <w:rFonts w:hint="eastAsia"/>
        </w:rPr>
        <w:t>加“双联双促”活动，挂钩联系</w:t>
      </w:r>
      <w:r>
        <w:t>329户265多名党</w:t>
      </w:r>
      <w:r>
        <w:rPr>
          <w:rFonts w:hint="eastAsia"/>
        </w:rPr>
        <w:t>员参与“双向承诺”；全镇</w:t>
      </w:r>
      <w:r>
        <w:t>16个党支部，424名党</w:t>
      </w:r>
      <w:r>
        <w:rPr>
          <w:rFonts w:hint="eastAsia"/>
        </w:rPr>
        <w:t>员，新发展党员</w:t>
      </w:r>
      <w:r>
        <w:t>10名，上缴党费8090.8元。</w:t>
      </w:r>
    </w:p>
    <w:p w14:paraId="3B0EEF22">
      <w:pPr>
        <w:pStyle w:val="4"/>
        <w:bidi w:val="0"/>
        <w:rPr>
          <w:rFonts w:hint="eastAsia"/>
          <w:lang w:eastAsia="zh-CN"/>
        </w:rPr>
      </w:pPr>
      <w:r>
        <w:rPr>
          <w:rFonts w:hint="eastAsia"/>
        </w:rPr>
        <w:t>【各村委会（社区）基本情况</w:t>
      </w:r>
      <w:r>
        <w:rPr>
          <w:rFonts w:hint="eastAsia"/>
          <w:lang w:eastAsia="zh-CN"/>
        </w:rPr>
        <w:t>】</w:t>
      </w:r>
    </w:p>
    <w:p w14:paraId="6FF288E6">
      <w:pPr>
        <w:rPr>
          <w:rFonts w:hint="eastAsia"/>
          <w:lang w:eastAsia="zh-CN"/>
        </w:rPr>
      </w:pPr>
      <w:r>
        <w:rPr>
          <w:rFonts w:hint="eastAsia"/>
          <w:b/>
          <w:bCs/>
        </w:rPr>
        <w:t>南亩社区</w:t>
      </w:r>
      <w:r>
        <w:rPr>
          <w:rFonts w:hint="eastAsia"/>
          <w:lang w:val="en-US" w:eastAsia="zh-CN"/>
        </w:rPr>
        <w:t xml:space="preserve">  </w:t>
      </w:r>
      <w:r>
        <w:rPr>
          <w:rFonts w:hint="eastAsia"/>
        </w:rPr>
        <w:t>位于南亩镇圩，面积</w:t>
      </w:r>
      <w:r>
        <w:t>1平方公里，</w:t>
      </w:r>
      <w:r>
        <w:rPr>
          <w:rFonts w:hint="eastAsia"/>
        </w:rPr>
        <w:t>现有户籍人口</w:t>
      </w:r>
      <w:r>
        <w:t>956人，其中居民户口795人，农业</w:t>
      </w:r>
      <w:r>
        <w:rPr>
          <w:rFonts w:hint="eastAsia"/>
        </w:rPr>
        <w:t>户口</w:t>
      </w:r>
      <w:r>
        <w:t>110人，居委会干部3人，社区党员16人</w:t>
      </w:r>
      <w:r>
        <w:rPr>
          <w:rFonts w:hint="eastAsia"/>
          <w:lang w:eastAsia="zh-CN"/>
        </w:rPr>
        <w:t>。</w:t>
      </w:r>
    </w:p>
    <w:p w14:paraId="67E6DB75">
      <w:pPr>
        <w:rPr>
          <w:rFonts w:hint="eastAsia"/>
          <w:lang w:eastAsia="zh-CN"/>
        </w:rPr>
      </w:pPr>
      <w:r>
        <w:rPr>
          <w:rFonts w:hint="eastAsia"/>
          <w:b/>
          <w:bCs/>
        </w:rPr>
        <w:t>长洞村委会</w:t>
      </w:r>
      <w:r>
        <w:rPr>
          <w:rFonts w:hint="eastAsia"/>
          <w:b/>
          <w:bCs/>
          <w:lang w:val="en-US" w:eastAsia="zh-CN"/>
        </w:rPr>
        <w:t xml:space="preserve"> </w:t>
      </w:r>
      <w:r>
        <w:rPr>
          <w:rFonts w:hint="eastAsia"/>
          <w:lang w:val="en-US" w:eastAsia="zh-CN"/>
        </w:rPr>
        <w:t xml:space="preserve"> </w:t>
      </w:r>
      <w:r>
        <w:rPr>
          <w:rFonts w:hint="eastAsia"/>
        </w:rPr>
        <w:t>位于南亩镇东南部，南接江西省全南县社迳、陂头镇，距南亩镇政府</w:t>
      </w:r>
      <w:r>
        <w:t>19公里，是</w:t>
      </w:r>
      <w:r>
        <w:rPr>
          <w:rFonts w:hint="eastAsia"/>
        </w:rPr>
        <w:t>边远山区村，也是贫困村，全村土地总面积</w:t>
      </w:r>
      <w:r>
        <w:t>21平</w:t>
      </w:r>
      <w:r>
        <w:rPr>
          <w:rFonts w:hint="eastAsia"/>
        </w:rPr>
        <w:t>方公里，其中山地面积</w:t>
      </w:r>
      <w:r>
        <w:t>17500亩，耕地面积926亩，</w:t>
      </w:r>
      <w:r>
        <w:rPr>
          <w:rFonts w:hint="eastAsia"/>
        </w:rPr>
        <w:t>下辖</w:t>
      </w:r>
      <w:r>
        <w:t>9个村小组，221户，1041人。农作物以种植</w:t>
      </w:r>
      <w:r>
        <w:rPr>
          <w:rFonts w:hint="eastAsia"/>
        </w:rPr>
        <w:t>水稻、花生、小辣椒、油茶和毛竹等为主，贫困户</w:t>
      </w:r>
      <w:r>
        <w:t>77户，到年底已实现了7</w:t>
      </w:r>
      <w:r>
        <w:rPr>
          <w:rFonts w:hint="eastAsia"/>
          <w:lang w:val="en-US" w:eastAsia="zh-CN"/>
        </w:rPr>
        <w:t>1</w:t>
      </w:r>
      <w:r>
        <w:t>户贫困户的脱贫任务，</w:t>
      </w:r>
      <w:r>
        <w:rPr>
          <w:rFonts w:hint="eastAsia"/>
        </w:rPr>
        <w:t>人均收入</w:t>
      </w:r>
      <w:r>
        <w:t>5837元</w:t>
      </w:r>
      <w:r>
        <w:rPr>
          <w:rFonts w:hint="eastAsia"/>
          <w:lang w:eastAsia="zh-CN"/>
        </w:rPr>
        <w:t>。</w:t>
      </w:r>
    </w:p>
    <w:p w14:paraId="00AA917C">
      <w:r>
        <w:rPr>
          <w:rFonts w:hint="eastAsia"/>
          <w:b/>
          <w:bCs/>
        </w:rPr>
        <w:t>水塘村委会</w:t>
      </w:r>
      <w:r>
        <w:rPr>
          <w:rFonts w:hint="eastAsia"/>
          <w:b/>
          <w:bCs/>
          <w:lang w:val="en-US" w:eastAsia="zh-CN"/>
        </w:rPr>
        <w:t xml:space="preserve"> </w:t>
      </w:r>
      <w:r>
        <w:rPr>
          <w:rFonts w:hint="eastAsia"/>
          <w:lang w:val="en-US" w:eastAsia="zh-CN"/>
        </w:rPr>
        <w:t xml:space="preserve"> </w:t>
      </w:r>
      <w:r>
        <w:rPr>
          <w:rFonts w:hint="eastAsia"/>
        </w:rPr>
        <w:t>位于南亩镇东南部，下辖</w:t>
      </w:r>
      <w:r>
        <w:t>8个村</w:t>
      </w:r>
      <w:r>
        <w:rPr>
          <w:rFonts w:hint="eastAsia"/>
        </w:rPr>
        <w:t>小组，总户数</w:t>
      </w:r>
      <w:r>
        <w:t>234户，901人。全村土地面积7907</w:t>
      </w:r>
      <w:r>
        <w:rPr>
          <w:rFonts w:hint="eastAsia"/>
        </w:rPr>
        <w:t>亩，其中耕地</w:t>
      </w:r>
      <w:r>
        <w:t>678亩，林地7118亩，竹林面积110</w:t>
      </w:r>
      <w:r>
        <w:rPr>
          <w:rFonts w:hint="eastAsia"/>
        </w:rPr>
        <w:t>亩，现有两委干部</w:t>
      </w:r>
      <w:r>
        <w:t>3人。主要以种植水稻、花生、</w:t>
      </w:r>
      <w:r>
        <w:rPr>
          <w:rFonts w:hint="eastAsia"/>
        </w:rPr>
        <w:t>小辣椒、油茶和毛竹等为主，人均收入</w:t>
      </w:r>
      <w:r>
        <w:t>5622元。</w:t>
      </w:r>
    </w:p>
    <w:p w14:paraId="16142FFE">
      <w:r>
        <w:rPr>
          <w:rFonts w:hint="eastAsia"/>
          <w:b/>
          <w:bCs/>
        </w:rPr>
        <w:t>中寺村委会</w:t>
      </w:r>
      <w:r>
        <w:rPr>
          <w:rFonts w:hint="eastAsia"/>
          <w:lang w:val="en-US" w:eastAsia="zh-CN"/>
        </w:rPr>
        <w:t xml:space="preserve">  </w:t>
      </w:r>
      <w:r>
        <w:rPr>
          <w:rFonts w:hint="eastAsia"/>
        </w:rPr>
        <w:t>地处南亩镇东部，典型的边远高寒山区，</w:t>
      </w:r>
      <w:r>
        <w:rPr>
          <w:rFonts w:hint="eastAsia"/>
          <w:lang w:eastAsia="zh-CN"/>
        </w:rPr>
        <w:t>海拔</w:t>
      </w:r>
      <w:r>
        <w:t>600多米，是革命老区村，下辖15</w:t>
      </w:r>
      <w:r>
        <w:rPr>
          <w:rFonts w:hint="eastAsia"/>
        </w:rPr>
        <w:t>个村小组，总户数</w:t>
      </w:r>
      <w:r>
        <w:t>341户，1628人。全村土地面积19710亩，其中耕地1608亩，林地16350亩，竹林</w:t>
      </w:r>
      <w:r>
        <w:rPr>
          <w:rFonts w:hint="eastAsia"/>
        </w:rPr>
        <w:t>面积</w:t>
      </w:r>
      <w:r>
        <w:t>3000亩。主要以种植水稻、花生、小辣椒</w:t>
      </w:r>
      <w:r>
        <w:rPr>
          <w:rFonts w:hint="eastAsia"/>
          <w:lang w:eastAsia="zh-CN"/>
        </w:rPr>
        <w:t>、</w:t>
      </w:r>
      <w:r>
        <w:rPr>
          <w:rFonts w:hint="eastAsia"/>
        </w:rPr>
        <w:t>油茶和毛竹等为主，经济收入主要靠种养业和劳务</w:t>
      </w:r>
      <w:r>
        <w:rPr>
          <w:rFonts w:hint="eastAsia"/>
          <w:lang w:eastAsia="zh-CN"/>
        </w:rPr>
        <w:t>收入</w:t>
      </w:r>
      <w:r>
        <w:rPr>
          <w:rFonts w:hint="eastAsia"/>
        </w:rPr>
        <w:t>，</w:t>
      </w:r>
      <w:r>
        <w:t>2013年人均</w:t>
      </w:r>
      <w:r>
        <w:rPr>
          <w:rFonts w:hint="eastAsia"/>
          <w:lang w:eastAsia="zh-CN"/>
        </w:rPr>
        <w:t>收入</w:t>
      </w:r>
      <w:r>
        <w:t>5922元。</w:t>
      </w:r>
    </w:p>
    <w:p w14:paraId="16C9CCA2">
      <w:r>
        <w:rPr>
          <w:rFonts w:hint="eastAsia"/>
          <w:b/>
          <w:bCs/>
        </w:rPr>
        <w:t>岭下村委会</w:t>
      </w:r>
      <w:r>
        <w:rPr>
          <w:rFonts w:hint="eastAsia"/>
          <w:b/>
          <w:bCs/>
          <w:lang w:val="en-US" w:eastAsia="zh-CN"/>
        </w:rPr>
        <w:t xml:space="preserve"> </w:t>
      </w:r>
      <w:r>
        <w:rPr>
          <w:rFonts w:hint="eastAsia"/>
          <w:lang w:val="en-US" w:eastAsia="zh-CN"/>
        </w:rPr>
        <w:t xml:space="preserve"> </w:t>
      </w:r>
      <w:r>
        <w:rPr>
          <w:rFonts w:hint="eastAsia"/>
        </w:rPr>
        <w:t>位于南亩镇东南部，距镇政府</w:t>
      </w:r>
      <w:r>
        <w:t>6</w:t>
      </w:r>
      <w:r>
        <w:rPr>
          <w:rFonts w:hint="eastAsia"/>
        </w:rPr>
        <w:t>公里，下辖</w:t>
      </w:r>
      <w:r>
        <w:t>9个村小组，288户，1245人，山林面</w:t>
      </w:r>
      <w:r>
        <w:rPr>
          <w:rFonts w:hint="eastAsia"/>
        </w:rPr>
        <w:t>积</w:t>
      </w:r>
      <w:r>
        <w:t>15380亩，耕地面积815亩，属革命老区村，也</w:t>
      </w:r>
      <w:r>
        <w:rPr>
          <w:rFonts w:hint="eastAsia"/>
        </w:rPr>
        <w:t>是贫困村。主要农作物以种植水稻、花生、小辣椒、油茶和毛竹等为主，经济来源主要靠种养和劳务</w:t>
      </w:r>
      <w:r>
        <w:rPr>
          <w:rFonts w:hint="eastAsia"/>
          <w:lang w:eastAsia="zh-CN"/>
        </w:rPr>
        <w:t>收入</w:t>
      </w:r>
      <w:r>
        <w:rPr>
          <w:rFonts w:hint="eastAsia"/>
        </w:rPr>
        <w:t>，</w:t>
      </w:r>
      <w:r>
        <w:t>2013年在镇、帮扶单位的支持下，发展良</w:t>
      </w:r>
      <w:r>
        <w:rPr>
          <w:rFonts w:hint="eastAsia"/>
        </w:rPr>
        <w:t>种白花油茶基地</w:t>
      </w:r>
      <w:r>
        <w:t>100亩，养猪场形成规模化，集体</w:t>
      </w:r>
      <w:r>
        <w:rPr>
          <w:rFonts w:hint="eastAsia"/>
        </w:rPr>
        <w:t>经济不断得到加强，人均纯收入</w:t>
      </w:r>
      <w:r>
        <w:t>5840元。</w:t>
      </w:r>
    </w:p>
    <w:p w14:paraId="3AA1FAA6">
      <w:r>
        <w:rPr>
          <w:rFonts w:hint="eastAsia"/>
          <w:b/>
          <w:bCs/>
        </w:rPr>
        <w:t>中岭村委会</w:t>
      </w:r>
      <w:r>
        <w:rPr>
          <w:rFonts w:hint="eastAsia"/>
          <w:b/>
          <w:bCs/>
          <w:lang w:val="en-US" w:eastAsia="zh-CN"/>
        </w:rPr>
        <w:t xml:space="preserve">  </w:t>
      </w:r>
      <w:r>
        <w:rPr>
          <w:rFonts w:hint="eastAsia"/>
        </w:rPr>
        <w:t>位于南亩镇南部，距镇政府</w:t>
      </w:r>
      <w:r>
        <w:t>12</w:t>
      </w:r>
      <w:r>
        <w:rPr>
          <w:rFonts w:hint="eastAsia"/>
        </w:rPr>
        <w:t>公里，辖</w:t>
      </w:r>
      <w:r>
        <w:t>7个村民小组，全村181户、702人。现</w:t>
      </w:r>
      <w:r>
        <w:rPr>
          <w:rFonts w:hint="eastAsia"/>
        </w:rPr>
        <w:t>有“两委”干部</w:t>
      </w:r>
      <w:r>
        <w:t>3人，党员16人，全村土地面积9495亩，山林面积8643亩、耕地面积752亩，其</w:t>
      </w:r>
      <w:r>
        <w:rPr>
          <w:rFonts w:hint="eastAsia"/>
        </w:rPr>
        <w:t>中旱地面积</w:t>
      </w:r>
      <w:r>
        <w:t>81亩。经济发展比较滞后，村民主要</w:t>
      </w:r>
      <w:r>
        <w:rPr>
          <w:rFonts w:hint="eastAsia"/>
        </w:rPr>
        <w:t>经济来源是种养业和劳务输出。主要经济作物以种植水稻、花生、小辣椒、油茶和毛竹等，</w:t>
      </w:r>
      <w:r>
        <w:t>2013年人</w:t>
      </w:r>
      <w:r>
        <w:rPr>
          <w:rFonts w:hint="eastAsia"/>
        </w:rPr>
        <w:t>均收入</w:t>
      </w:r>
      <w:r>
        <w:t>5920元。</w:t>
      </w:r>
    </w:p>
    <w:p w14:paraId="28FDE6DF">
      <w:r>
        <w:rPr>
          <w:rFonts w:hint="eastAsia"/>
          <w:b/>
          <w:bCs/>
        </w:rPr>
        <w:t>水尾村委会</w:t>
      </w:r>
      <w:r>
        <w:rPr>
          <w:rFonts w:hint="eastAsia"/>
          <w:b/>
          <w:bCs/>
          <w:lang w:val="en-US" w:eastAsia="zh-CN"/>
        </w:rPr>
        <w:t xml:space="preserve"> </w:t>
      </w:r>
      <w:r>
        <w:rPr>
          <w:rFonts w:hint="eastAsia"/>
          <w:lang w:val="en-US" w:eastAsia="zh-CN"/>
        </w:rPr>
        <w:t xml:space="preserve"> </w:t>
      </w:r>
      <w:r>
        <w:rPr>
          <w:rFonts w:hint="eastAsia"/>
        </w:rPr>
        <w:t>位于南亩镇西南部，距镇政府</w:t>
      </w:r>
      <w:r>
        <w:t>8</w:t>
      </w:r>
      <w:r>
        <w:rPr>
          <w:rFonts w:hint="eastAsia"/>
        </w:rPr>
        <w:t>公里，属革命老区，全村下辖</w:t>
      </w:r>
      <w:r>
        <w:t>7个村小组，总户数265户，1149人，现有“两委”干部4人，党员19</w:t>
      </w:r>
      <w:r>
        <w:rPr>
          <w:rFonts w:hint="eastAsia"/>
        </w:rPr>
        <w:t>人。全村土地面积</w:t>
      </w:r>
      <w:r>
        <w:t>822亩，其中旱地76亩，水田746亩，林地13890亩。村主要经济来源是种养和</w:t>
      </w:r>
      <w:r>
        <w:rPr>
          <w:rFonts w:hint="eastAsia"/>
        </w:rPr>
        <w:t>劳务输出，经济作物以种植水稻、花生、甜玉米</w:t>
      </w:r>
      <w:r>
        <w:rPr>
          <w:rFonts w:hint="eastAsia"/>
          <w:lang w:eastAsia="zh-CN"/>
        </w:rPr>
        <w:t>、</w:t>
      </w:r>
      <w:r>
        <w:rPr>
          <w:rFonts w:hint="eastAsia"/>
        </w:rPr>
        <w:t>大豆、油茶和蔬菜为主，</w:t>
      </w:r>
      <w:r>
        <w:t>2013年人均收入5876元。</w:t>
      </w:r>
    </w:p>
    <w:p w14:paraId="3EF5FCBB">
      <w:pPr>
        <w:rPr>
          <w:rFonts w:hint="eastAsia" w:eastAsia="宋体"/>
          <w:lang w:eastAsia="zh-CN"/>
        </w:rPr>
      </w:pPr>
      <w:r>
        <w:rPr>
          <w:rFonts w:hint="eastAsia"/>
          <w:b/>
          <w:bCs/>
        </w:rPr>
        <w:t>芙蓉村委会</w:t>
      </w:r>
      <w:r>
        <w:rPr>
          <w:rFonts w:hint="eastAsia"/>
          <w:b/>
          <w:bCs/>
          <w:lang w:val="en-US" w:eastAsia="zh-CN"/>
        </w:rPr>
        <w:t xml:space="preserve"> </w:t>
      </w:r>
      <w:r>
        <w:rPr>
          <w:rFonts w:hint="eastAsia"/>
          <w:lang w:val="en-US" w:eastAsia="zh-CN"/>
        </w:rPr>
        <w:t xml:space="preserve"> </w:t>
      </w:r>
      <w:r>
        <w:rPr>
          <w:rFonts w:hint="eastAsia"/>
        </w:rPr>
        <w:t>位于南亩镇西南部，下辖</w:t>
      </w:r>
      <w:r>
        <w:t>6个村</w:t>
      </w:r>
      <w:r>
        <w:rPr>
          <w:rFonts w:hint="eastAsia"/>
        </w:rPr>
        <w:t>民小组，人口</w:t>
      </w:r>
      <w:r>
        <w:t>1280人，户数286户，现有党员23</w:t>
      </w:r>
      <w:r>
        <w:rPr>
          <w:rFonts w:hint="eastAsia"/>
        </w:rPr>
        <w:t>人，村干部</w:t>
      </w:r>
      <w:r>
        <w:t>5人，主要经济来源以种养和劳务输出</w:t>
      </w:r>
      <w:r>
        <w:rPr>
          <w:rFonts w:hint="eastAsia"/>
        </w:rPr>
        <w:t>为主，种植方面有优质稻、甜玉米、小辣椒、花生、油茶、毛竹等，</w:t>
      </w:r>
      <w:r>
        <w:t>2013年人均收入5843元</w:t>
      </w:r>
      <w:r>
        <w:rPr>
          <w:rFonts w:hint="eastAsia"/>
          <w:lang w:eastAsia="zh-CN"/>
        </w:rPr>
        <w:t>。</w:t>
      </w:r>
    </w:p>
    <w:p w14:paraId="7AF8F367">
      <w:pPr>
        <w:rPr>
          <w:rFonts w:hint="eastAsia"/>
        </w:rPr>
      </w:pPr>
      <w:r>
        <w:rPr>
          <w:rFonts w:hint="eastAsia"/>
          <w:b/>
          <w:bCs/>
        </w:rPr>
        <w:t>鱼鲜村委会</w:t>
      </w:r>
      <w:r>
        <w:rPr>
          <w:rFonts w:hint="eastAsia"/>
          <w:b/>
          <w:bCs/>
          <w:lang w:val="en-US" w:eastAsia="zh-CN"/>
        </w:rPr>
        <w:t xml:space="preserve"> </w:t>
      </w:r>
      <w:r>
        <w:rPr>
          <w:rFonts w:hint="eastAsia"/>
          <w:lang w:val="en-US" w:eastAsia="zh-CN"/>
        </w:rPr>
        <w:t xml:space="preserve"> </w:t>
      </w:r>
      <w:r>
        <w:rPr>
          <w:rFonts w:hint="eastAsia"/>
        </w:rPr>
        <w:t>位于南亩镇的东部，与坪田镇相邻，共有</w:t>
      </w:r>
      <w:r>
        <w:t>11个村小组，总户数435户，人口2008</w:t>
      </w:r>
      <w:r>
        <w:rPr>
          <w:rFonts w:hint="eastAsia"/>
        </w:rPr>
        <w:t>人。全村土地面积</w:t>
      </w:r>
      <w:r>
        <w:t>17006亩，耕地面积1806亩，林</w:t>
      </w:r>
      <w:r>
        <w:rPr>
          <w:rFonts w:hint="eastAsia"/>
        </w:rPr>
        <w:t>地面积</w:t>
      </w:r>
      <w:r>
        <w:t>15200亩。境内有座花林寺，建于元代，属</w:t>
      </w:r>
      <w:r>
        <w:rPr>
          <w:rFonts w:hint="eastAsia"/>
        </w:rPr>
        <w:t>重点保护文物，鱼鲜村</w:t>
      </w:r>
      <w:r>
        <w:t>2008年被评为省级“古村</w:t>
      </w:r>
      <w:r>
        <w:rPr>
          <w:rFonts w:hint="eastAsia"/>
        </w:rPr>
        <w:t>落”。全村农作物种植主要以水稻、花生、黄烟</w:t>
      </w:r>
      <w:r>
        <w:rPr>
          <w:rFonts w:hint="eastAsia"/>
          <w:lang w:eastAsia="zh-CN"/>
        </w:rPr>
        <w:t>、</w:t>
      </w:r>
      <w:r>
        <w:rPr>
          <w:rFonts w:hint="eastAsia"/>
        </w:rPr>
        <w:t>大豆、水果油茶和蔬菜为主，</w:t>
      </w:r>
      <w:r>
        <w:t>2013年人均收入6195元。截止2013年底，鱼鲜村已完成文化室建</w:t>
      </w:r>
      <w:r>
        <w:rPr>
          <w:rFonts w:hint="eastAsia"/>
        </w:rPr>
        <w:t>设、</w:t>
      </w:r>
      <w:r>
        <w:rPr>
          <w:rFonts w:hint="eastAsia"/>
          <w:lang w:val="en-US" w:eastAsia="zh-CN"/>
        </w:rPr>
        <w:t>太</w:t>
      </w:r>
      <w:r>
        <w:rPr>
          <w:rFonts w:hint="eastAsia"/>
        </w:rPr>
        <w:t>阳能路灯安装、道路美化、水圳三面光工程、鱼鲜至樟树下的道路硬底化等民生工程已全面验收。</w:t>
      </w:r>
    </w:p>
    <w:p w14:paraId="0937AFD5">
      <w:r>
        <w:rPr>
          <w:rFonts w:hint="eastAsia"/>
          <w:b/>
          <w:bCs/>
        </w:rPr>
        <w:t>南亩村委会</w:t>
      </w:r>
      <w:r>
        <w:rPr>
          <w:rFonts w:hint="eastAsia"/>
          <w:lang w:val="en-US" w:eastAsia="zh-CN"/>
        </w:rPr>
        <w:t xml:space="preserve">  </w:t>
      </w:r>
      <w:r>
        <w:rPr>
          <w:rFonts w:hint="eastAsia"/>
        </w:rPr>
        <w:t>位于南亩镇南亩墟，革命老区村，辖</w:t>
      </w:r>
      <w:r>
        <w:t>11个村民小组，全村430户、1915人。现</w:t>
      </w:r>
      <w:r>
        <w:rPr>
          <w:rFonts w:hint="eastAsia"/>
        </w:rPr>
        <w:t>有“两委”干部</w:t>
      </w:r>
      <w:r>
        <w:t>4人，党员38人。全村土地面积10275亩，山林面积8600亩、耕地面积1675亩，</w:t>
      </w:r>
      <w:r>
        <w:rPr>
          <w:rFonts w:hint="eastAsia"/>
        </w:rPr>
        <w:t>全村农作物种植主要以水稻、花生、黄烟、大豆</w:t>
      </w:r>
      <w:r>
        <w:rPr>
          <w:rFonts w:hint="eastAsia"/>
          <w:lang w:eastAsia="zh-CN"/>
        </w:rPr>
        <w:t>、</w:t>
      </w:r>
      <w:r>
        <w:rPr>
          <w:rFonts w:hint="eastAsia"/>
        </w:rPr>
        <w:t>水果油茶和蔬菜为主，</w:t>
      </w:r>
      <w:r>
        <w:t>2013年人均收入6197元。</w:t>
      </w:r>
    </w:p>
    <w:p w14:paraId="498ADAE7">
      <w:r>
        <w:rPr>
          <w:rFonts w:hint="eastAsia"/>
          <w:b/>
          <w:bCs/>
        </w:rPr>
        <w:t>樟屋村委会</w:t>
      </w:r>
      <w:r>
        <w:rPr>
          <w:rFonts w:hint="eastAsia"/>
          <w:b/>
          <w:bCs/>
          <w:lang w:val="en-US" w:eastAsia="zh-CN"/>
        </w:rPr>
        <w:t xml:space="preserve"> </w:t>
      </w:r>
      <w:r>
        <w:rPr>
          <w:rFonts w:hint="eastAsia"/>
          <w:lang w:val="en-US" w:eastAsia="zh-CN"/>
        </w:rPr>
        <w:t xml:space="preserve"> </w:t>
      </w:r>
      <w:r>
        <w:rPr>
          <w:rFonts w:hint="eastAsia"/>
        </w:rPr>
        <w:t>位于南亩镇北部，距镇政府</w:t>
      </w:r>
      <w:r>
        <w:t>2.5</w:t>
      </w:r>
      <w:r>
        <w:rPr>
          <w:rFonts w:hint="eastAsia"/>
        </w:rPr>
        <w:t>公里，辖</w:t>
      </w:r>
      <w:r>
        <w:t>9个村民小组，全村392户、1614人。现</w:t>
      </w:r>
      <w:r>
        <w:rPr>
          <w:rFonts w:hint="eastAsia"/>
        </w:rPr>
        <w:t>有“两委”干部</w:t>
      </w:r>
      <w:r>
        <w:t>5人，党员35人。全村土地面积8750亩，山林面积7307亩、耕地面积2400亩。全</w:t>
      </w:r>
      <w:r>
        <w:rPr>
          <w:rFonts w:hint="eastAsia"/>
        </w:rPr>
        <w:t>村农作物种植主要以水稻、花生、黄烟、大豆、水果、油茶和蔬菜为主，</w:t>
      </w:r>
      <w:r>
        <w:t>2013年人均收入6278元。</w:t>
      </w:r>
    </w:p>
    <w:p w14:paraId="4EA77AB7">
      <w:pPr>
        <w:rPr>
          <w:rFonts w:hint="eastAsia"/>
          <w:lang w:eastAsia="zh-CN"/>
        </w:rPr>
      </w:pPr>
      <w:r>
        <w:rPr>
          <w:rFonts w:hint="eastAsia"/>
          <w:b/>
          <w:bCs/>
        </w:rPr>
        <w:t>官田村委会</w:t>
      </w:r>
      <w:r>
        <w:rPr>
          <w:rFonts w:hint="eastAsia"/>
          <w:lang w:val="en-US" w:eastAsia="zh-CN"/>
        </w:rPr>
        <w:t xml:space="preserve">  </w:t>
      </w:r>
      <w:r>
        <w:rPr>
          <w:rFonts w:hint="eastAsia"/>
        </w:rPr>
        <w:t>位于南亩镇的西部，距镇政府</w:t>
      </w:r>
      <w:r>
        <w:t>3.5公里，下辖12个村民小组，总户数362户1480</w:t>
      </w:r>
      <w:r>
        <w:rPr>
          <w:rFonts w:hint="eastAsia"/>
        </w:rPr>
        <w:t>人。现有耕地面积</w:t>
      </w:r>
      <w:r>
        <w:t>1112亩（其中旱地133亩、水</w:t>
      </w:r>
      <w:r>
        <w:rPr>
          <w:rFonts w:hint="eastAsia"/>
        </w:rPr>
        <w:t>田</w:t>
      </w:r>
      <w:r>
        <w:t>979亩），林地6950亩。全村农作物种植主要以</w:t>
      </w:r>
      <w:r>
        <w:rPr>
          <w:rFonts w:hint="eastAsia"/>
        </w:rPr>
        <w:t>水稻、花生、黄烟、大豆、水果、油茶和蔬菜为主，</w:t>
      </w:r>
      <w:r>
        <w:t>2013年人均纯收入6187元</w:t>
      </w:r>
      <w:r>
        <w:rPr>
          <w:rFonts w:hint="eastAsia"/>
          <w:lang w:eastAsia="zh-CN"/>
        </w:rPr>
        <w:t>。</w:t>
      </w:r>
    </w:p>
    <w:p w14:paraId="1E4C9AE1">
      <w:pPr>
        <w:jc w:val="right"/>
        <w:rPr>
          <w:rFonts w:hint="eastAsia"/>
          <w:b/>
          <w:bCs/>
        </w:rPr>
      </w:pPr>
      <w:r>
        <w:rPr>
          <w:rFonts w:hint="eastAsia"/>
          <w:b/>
          <w:bCs/>
        </w:rPr>
        <w:t>（廖力亮）</w:t>
      </w:r>
    </w:p>
    <w:p w14:paraId="4108F1FD">
      <w:pPr>
        <w:pStyle w:val="10"/>
        <w:bidi w:val="0"/>
        <w:rPr>
          <w:b/>
          <w:bCs/>
        </w:rPr>
      </w:pPr>
      <w:r>
        <w:rPr>
          <w:rFonts w:hint="eastAsia"/>
          <w:b/>
          <w:bCs/>
        </w:rPr>
        <w:t>附：</w:t>
      </w:r>
      <w:r>
        <w:rPr>
          <w:b/>
          <w:bCs/>
        </w:rPr>
        <w:t>2013年南亩镇领导班子成员名单</w:t>
      </w:r>
    </w:p>
    <w:p w14:paraId="7EB7E842">
      <w:pPr>
        <w:pStyle w:val="10"/>
        <w:bidi w:val="0"/>
        <w:rPr>
          <w:rFonts w:hint="eastAsia"/>
        </w:rPr>
      </w:pPr>
      <w:r>
        <w:rPr>
          <w:rFonts w:hint="eastAsia"/>
          <w:b/>
          <w:bCs/>
        </w:rPr>
        <w:t>党委书记、人大主席：</w:t>
      </w:r>
      <w:r>
        <w:rPr>
          <w:rFonts w:hint="eastAsia"/>
        </w:rPr>
        <w:t>孔建国</w:t>
      </w:r>
    </w:p>
    <w:p w14:paraId="53F3E696">
      <w:pPr>
        <w:pStyle w:val="10"/>
        <w:bidi w:val="0"/>
        <w:rPr>
          <w:rFonts w:hint="eastAsia"/>
        </w:rPr>
      </w:pPr>
      <w:r>
        <w:rPr>
          <w:rFonts w:hint="eastAsia"/>
          <w:b/>
          <w:bCs/>
        </w:rPr>
        <w:t>党委副书记、镇长：</w:t>
      </w:r>
      <w:r>
        <w:rPr>
          <w:rFonts w:hint="eastAsia"/>
        </w:rPr>
        <w:t>池宏安</w:t>
      </w:r>
    </w:p>
    <w:p w14:paraId="5C3B02A7">
      <w:pPr>
        <w:pStyle w:val="10"/>
        <w:bidi w:val="0"/>
        <w:rPr>
          <w:rFonts w:hint="eastAsia"/>
        </w:rPr>
      </w:pPr>
      <w:r>
        <w:rPr>
          <w:rFonts w:hint="eastAsia"/>
          <w:b/>
          <w:bCs/>
        </w:rPr>
        <w:t>党委副书记：</w:t>
      </w:r>
      <w:r>
        <w:rPr>
          <w:rFonts w:hint="eastAsia"/>
        </w:rPr>
        <w:t>苏学才</w:t>
      </w:r>
    </w:p>
    <w:p w14:paraId="60697AFF">
      <w:pPr>
        <w:pStyle w:val="10"/>
        <w:bidi w:val="0"/>
        <w:rPr>
          <w:rFonts w:hint="eastAsia"/>
        </w:rPr>
      </w:pPr>
      <w:r>
        <w:rPr>
          <w:rFonts w:hint="eastAsia"/>
          <w:b/>
          <w:bCs/>
        </w:rPr>
        <w:t>纪委书记：</w:t>
      </w:r>
      <w:r>
        <w:rPr>
          <w:rFonts w:hint="eastAsia"/>
        </w:rPr>
        <w:t>潘希荣</w:t>
      </w:r>
    </w:p>
    <w:p w14:paraId="2AA97133">
      <w:pPr>
        <w:pStyle w:val="10"/>
        <w:bidi w:val="0"/>
        <w:rPr>
          <w:rFonts w:hint="eastAsia"/>
        </w:rPr>
      </w:pPr>
      <w:r>
        <w:rPr>
          <w:rFonts w:hint="eastAsia"/>
          <w:b/>
          <w:bCs/>
        </w:rPr>
        <w:t>组织委员：</w:t>
      </w:r>
      <w:r>
        <w:rPr>
          <w:rFonts w:hint="eastAsia"/>
        </w:rPr>
        <w:t>黄承洲</w:t>
      </w:r>
    </w:p>
    <w:p w14:paraId="7076DB6C">
      <w:pPr>
        <w:pStyle w:val="10"/>
        <w:bidi w:val="0"/>
        <w:rPr>
          <w:rFonts w:hint="eastAsia"/>
        </w:rPr>
      </w:pPr>
      <w:r>
        <w:rPr>
          <w:rFonts w:hint="eastAsia"/>
          <w:b/>
          <w:bCs/>
        </w:rPr>
        <w:t>人大副主席：</w:t>
      </w:r>
      <w:r>
        <w:rPr>
          <w:rFonts w:hint="eastAsia"/>
        </w:rPr>
        <w:t>高</w:t>
      </w:r>
      <w:r>
        <w:rPr>
          <w:rFonts w:hint="eastAsia"/>
          <w:lang w:val="en-US" w:eastAsia="zh-CN"/>
        </w:rPr>
        <w:t xml:space="preserve">  </w:t>
      </w:r>
      <w:r>
        <w:rPr>
          <w:rFonts w:hint="eastAsia"/>
        </w:rPr>
        <w:t>洁</w:t>
      </w:r>
    </w:p>
    <w:p w14:paraId="678A1ED3">
      <w:pPr>
        <w:pStyle w:val="10"/>
        <w:bidi w:val="0"/>
        <w:rPr>
          <w:rFonts w:hint="eastAsia"/>
        </w:rPr>
      </w:pPr>
      <w:r>
        <w:rPr>
          <w:rFonts w:hint="eastAsia"/>
          <w:b/>
          <w:bCs/>
        </w:rPr>
        <w:t>武装部长：</w:t>
      </w:r>
      <w:r>
        <w:rPr>
          <w:rFonts w:hint="eastAsia"/>
        </w:rPr>
        <w:t>饶海华</w:t>
      </w:r>
    </w:p>
    <w:p w14:paraId="464A37B3">
      <w:pPr>
        <w:pStyle w:val="10"/>
        <w:bidi w:val="0"/>
        <w:rPr>
          <w:rFonts w:hint="eastAsia"/>
        </w:rPr>
      </w:pPr>
      <w:r>
        <w:rPr>
          <w:rFonts w:hint="eastAsia"/>
          <w:b/>
          <w:bCs/>
        </w:rPr>
        <w:t>宣传委员：</w:t>
      </w:r>
      <w:r>
        <w:rPr>
          <w:rFonts w:hint="eastAsia"/>
        </w:rPr>
        <w:t>叶常祖</w:t>
      </w:r>
    </w:p>
    <w:p w14:paraId="47E42C70">
      <w:pPr>
        <w:pStyle w:val="10"/>
        <w:bidi w:val="0"/>
        <w:rPr>
          <w:rFonts w:hint="eastAsia"/>
        </w:rPr>
      </w:pPr>
      <w:r>
        <w:rPr>
          <w:rFonts w:hint="eastAsia"/>
          <w:b/>
          <w:bCs/>
        </w:rPr>
        <w:t>综治办专职副主任：</w:t>
      </w:r>
      <w:r>
        <w:rPr>
          <w:rFonts w:hint="eastAsia"/>
        </w:rPr>
        <w:t>邓地状</w:t>
      </w:r>
    </w:p>
    <w:p w14:paraId="4DC67709">
      <w:pPr>
        <w:pStyle w:val="10"/>
        <w:bidi w:val="0"/>
        <w:rPr>
          <w:rFonts w:hint="eastAsia"/>
        </w:rPr>
      </w:pPr>
      <w:r>
        <w:rPr>
          <w:rFonts w:hint="eastAsia"/>
          <w:b/>
          <w:bCs/>
        </w:rPr>
        <w:t>副镇长：</w:t>
      </w:r>
      <w:r>
        <w:rPr>
          <w:rFonts w:hint="eastAsia"/>
        </w:rPr>
        <w:t>伍国亮</w:t>
      </w:r>
      <w:r>
        <w:rPr>
          <w:rFonts w:hint="eastAsia"/>
          <w:lang w:val="en-US" w:eastAsia="zh-CN"/>
        </w:rPr>
        <w:t xml:space="preserve">   </w:t>
      </w:r>
      <w:r>
        <w:rPr>
          <w:rFonts w:hint="eastAsia"/>
        </w:rPr>
        <w:t>陈碧霞</w:t>
      </w:r>
      <w:r>
        <w:rPr>
          <w:rFonts w:hint="eastAsia"/>
          <w:lang w:val="en-US" w:eastAsia="zh-CN"/>
        </w:rPr>
        <w:t xml:space="preserve">   </w:t>
      </w:r>
      <w:r>
        <w:rPr>
          <w:rFonts w:hint="eastAsia"/>
        </w:rPr>
        <w:t>陈于泉</w:t>
      </w:r>
    </w:p>
    <w:p w14:paraId="14DB0C37">
      <w:pPr>
        <w:pStyle w:val="2"/>
        <w:bidi w:val="0"/>
        <w:rPr>
          <w:rFonts w:hint="eastAsia"/>
        </w:rPr>
      </w:pPr>
      <w:r>
        <w:rPr>
          <w:rFonts w:hint="eastAsia"/>
        </w:rPr>
        <w:t>社会经济统计资料</w:t>
      </w:r>
    </w:p>
    <w:p w14:paraId="51787B4B">
      <w:pPr>
        <w:pStyle w:val="3"/>
        <w:bidi w:val="0"/>
        <w:rPr>
          <w:rFonts w:hint="eastAsia"/>
        </w:rPr>
      </w:pPr>
      <w:r>
        <w:t>2013年国民经济和</w:t>
      </w:r>
      <w:r>
        <w:rPr>
          <w:rFonts w:hint="eastAsia"/>
        </w:rPr>
        <w:t>社会发展统计公报</w:t>
      </w:r>
    </w:p>
    <w:p w14:paraId="51F6EAAA">
      <w:pPr>
        <w:pStyle w:val="10"/>
        <w:bidi w:val="0"/>
        <w:jc w:val="center"/>
        <w:rPr>
          <w:rFonts w:hint="eastAsia"/>
          <w:b/>
          <w:bCs/>
        </w:rPr>
      </w:pPr>
      <w:r>
        <w:rPr>
          <w:rFonts w:hint="eastAsia"/>
          <w:b/>
          <w:bCs/>
        </w:rPr>
        <w:t>南雄市统计局</w:t>
      </w:r>
    </w:p>
    <w:p w14:paraId="0CB3E4E2">
      <w:pPr>
        <w:pStyle w:val="10"/>
        <w:bidi w:val="0"/>
        <w:jc w:val="center"/>
        <w:rPr>
          <w:rFonts w:hint="eastAsia"/>
          <w:lang w:eastAsia="zh-CN"/>
        </w:rPr>
      </w:pPr>
      <w:r>
        <w:rPr>
          <w:rFonts w:hint="eastAsia"/>
        </w:rPr>
        <w:t>（</w:t>
      </w:r>
      <w:r>
        <w:t>2014年3月20日</w:t>
      </w:r>
      <w:r>
        <w:rPr>
          <w:rFonts w:hint="eastAsia"/>
          <w:lang w:eastAsia="zh-CN"/>
        </w:rPr>
        <w:t>）</w:t>
      </w:r>
    </w:p>
    <w:p w14:paraId="1FA5204D">
      <w:pPr>
        <w:rPr>
          <w:rFonts w:hint="eastAsia"/>
        </w:rPr>
      </w:pPr>
      <w:r>
        <w:t>2013年，全市人民在市委、市政府的正确领导</w:t>
      </w:r>
      <w:r>
        <w:rPr>
          <w:rFonts w:hint="eastAsia"/>
        </w:rPr>
        <w:t>下，深入贯彻落实党的十八大精神，积极抢抓省进</w:t>
      </w:r>
      <w:r>
        <w:rPr>
          <w:rFonts w:hint="eastAsia"/>
          <w:lang w:val="en-US" w:eastAsia="zh-CN"/>
        </w:rPr>
        <w:t>一</w:t>
      </w:r>
      <w:r>
        <w:rPr>
          <w:rFonts w:hint="eastAsia"/>
        </w:rPr>
        <w:t>步促进粤东西北地区振兴发展的重大机遇，以真抓实干的精神风貌和攻坚克难的工作举措，不断开创南雄科学发展新局面，较好完成各项工作任务</w:t>
      </w:r>
      <w:r>
        <w:rPr>
          <w:rFonts w:hint="eastAsia"/>
          <w:lang w:eastAsia="zh-CN"/>
        </w:rPr>
        <w:t>，</w:t>
      </w:r>
      <w:r>
        <w:rPr>
          <w:rFonts w:hint="eastAsia"/>
        </w:rPr>
        <w:t>实现了经济社会平稳较快发展。</w:t>
      </w:r>
    </w:p>
    <w:p w14:paraId="20650CB3">
      <w:pPr>
        <w:rPr>
          <w:rFonts w:hint="eastAsia"/>
          <w:b/>
          <w:bCs/>
        </w:rPr>
      </w:pPr>
      <w:r>
        <w:rPr>
          <w:rFonts w:hint="eastAsia"/>
          <w:b/>
          <w:bCs/>
          <w:lang w:val="en-US" w:eastAsia="zh-CN"/>
        </w:rPr>
        <w:t>一</w:t>
      </w:r>
      <w:r>
        <w:rPr>
          <w:rFonts w:hint="eastAsia"/>
          <w:b/>
          <w:bCs/>
        </w:rPr>
        <w:t>、综合</w:t>
      </w:r>
    </w:p>
    <w:p w14:paraId="18112F94">
      <w:pPr>
        <w:rPr>
          <w:rFonts w:hint="eastAsia"/>
          <w:lang w:eastAsia="zh-CN"/>
        </w:rPr>
      </w:pPr>
      <w:r>
        <w:rPr>
          <w:rFonts w:hint="eastAsia"/>
        </w:rPr>
        <w:t>国民经济发展较快。初步核算，全市生产总值</w:t>
      </w:r>
      <w:r>
        <w:t>100.79亿元，增长12.7%。其中：第一产业增加</w:t>
      </w:r>
      <w:r>
        <w:rPr>
          <w:rFonts w:hint="eastAsia"/>
        </w:rPr>
        <w:t>值</w:t>
      </w:r>
      <w:r>
        <w:t>23.63亿元，增长4.8%；第二产业增加值37.01</w:t>
      </w:r>
      <w:r>
        <w:rPr>
          <w:rFonts w:hint="eastAsia"/>
        </w:rPr>
        <w:t>亿元，增长</w:t>
      </w:r>
      <w:r>
        <w:t>20.6%；第三产业增加值40.15亿元，</w:t>
      </w:r>
      <w:r>
        <w:rPr>
          <w:rFonts w:hint="eastAsia"/>
        </w:rPr>
        <w:t>增长</w:t>
      </w:r>
      <w:r>
        <w:t>10.3%。三次产业结构为23.4</w:t>
      </w:r>
      <w:r>
        <w:rPr>
          <w:rFonts w:hint="eastAsia" w:ascii="宋体" w:hAnsi="宋体" w:eastAsia="宋体" w:cs="宋体"/>
        </w:rPr>
        <w:t>∶</w:t>
      </w:r>
      <w:r>
        <w:t>36.8</w:t>
      </w:r>
      <w:r>
        <w:rPr>
          <w:rFonts w:hint="eastAsia" w:ascii="宋体" w:hAnsi="宋体" w:eastAsia="宋体" w:cs="宋体"/>
        </w:rPr>
        <w:t>∶</w:t>
      </w:r>
      <w:r>
        <w:t>39.8。</w:t>
      </w:r>
      <w:r>
        <w:rPr>
          <w:rFonts w:hint="eastAsia"/>
        </w:rPr>
        <w:t>三次产业对经济增长的贡献率分别为</w:t>
      </w:r>
      <w:r>
        <w:t>8.5%</w:t>
      </w:r>
      <w:r>
        <w:rPr>
          <w:rFonts w:hint="eastAsia"/>
          <w:lang w:eastAsia="zh-CN"/>
        </w:rPr>
        <w:t>、</w:t>
      </w:r>
      <w:r>
        <w:t>57.3%和34.2%。按常住人口计算，人均生产总值31050元，增长11.8%，按平均汇率折算为5014美</w:t>
      </w:r>
      <w:r>
        <w:rPr>
          <w:rFonts w:hint="eastAsia"/>
        </w:rPr>
        <w:t>元。在第三产业中，交通运输、仓储和邮政业增加值增长</w:t>
      </w:r>
      <w:r>
        <w:t>16.3%，批发和零售业增加值增长18.3%，</w:t>
      </w:r>
      <w:r>
        <w:rPr>
          <w:rFonts w:hint="eastAsia"/>
        </w:rPr>
        <w:t>住宿和餐饮业增加值增长</w:t>
      </w:r>
      <w:r>
        <w:t>11.0%，金融业增加值增</w:t>
      </w:r>
      <w:r>
        <w:rPr>
          <w:rFonts w:hint="eastAsia"/>
        </w:rPr>
        <w:t>长</w:t>
      </w:r>
      <w:r>
        <w:t>18.2%，房地产业增加值增长3.3%，其他营利</w:t>
      </w:r>
      <w:r>
        <w:rPr>
          <w:rFonts w:hint="eastAsia"/>
        </w:rPr>
        <w:t>性服务业增加值增长</w:t>
      </w:r>
      <w:r>
        <w:t>6.3%，非营利性服务业增加</w:t>
      </w:r>
      <w:r>
        <w:rPr>
          <w:rFonts w:hint="eastAsia"/>
        </w:rPr>
        <w:t>值增长</w:t>
      </w:r>
      <w:r>
        <w:t>7.9%。民营经济增加值</w:t>
      </w:r>
      <w:r>
        <w:rPr>
          <w:rFonts w:hint="eastAsia"/>
          <w:lang w:val="en-US" w:eastAsia="zh-CN"/>
        </w:rPr>
        <w:t>7</w:t>
      </w:r>
      <w:r>
        <w:t>7.05亿元，增长16.9%，占全市生产总值的比重为76.5%</w:t>
      </w:r>
      <w:r>
        <w:rPr>
          <w:rFonts w:hint="eastAsia"/>
          <w:lang w:eastAsia="zh-CN"/>
        </w:rPr>
        <w:t>。</w:t>
      </w:r>
    </w:p>
    <w:p w14:paraId="77AE7270">
      <w:pPr>
        <w:pStyle w:val="10"/>
        <w:bidi w:val="0"/>
        <w:jc w:val="center"/>
        <w:rPr>
          <w:rFonts w:hint="eastAsia"/>
          <w:b/>
          <w:bCs/>
          <w:lang w:val="en-US" w:eastAsia="zh-CN"/>
        </w:rPr>
      </w:pPr>
      <w:r>
        <w:rPr>
          <w:rFonts w:hint="eastAsia"/>
          <w:b/>
          <w:bCs/>
          <w:lang w:val="en-US" w:eastAsia="zh-CN"/>
        </w:rPr>
        <w:t>2013年地区生产总值</w:t>
      </w:r>
    </w:p>
    <w:p w14:paraId="18882CA6">
      <w:pPr>
        <w:rPr>
          <w:rFonts w:hint="eastAsia"/>
          <w:lang w:val="en-US" w:eastAsia="zh-CN"/>
        </w:rPr>
      </w:pPr>
      <w:r>
        <w:rPr>
          <w:rFonts w:hint="eastAsia"/>
          <w:lang w:val="en-US" w:eastAsia="zh-CN"/>
        </w:rPr>
        <w:t>表41</w:t>
      </w:r>
    </w:p>
    <w:p w14:paraId="17EED33E">
      <w:pPr>
        <w:jc w:val="right"/>
        <w:rPr>
          <w:rFonts w:hint="eastAsia"/>
          <w:lang w:val="en-US" w:eastAsia="zh-CN"/>
        </w:rPr>
      </w:pPr>
      <w:r>
        <w:rPr>
          <w:rFonts w:hint="eastAsia"/>
          <w:lang w:val="en-US" w:eastAsia="zh-CN"/>
        </w:rPr>
        <w:t>单位：亿元</w:t>
      </w:r>
    </w:p>
    <w:tbl>
      <w:tblPr>
        <w:tblStyle w:val="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20"/>
        <w:gridCol w:w="3321"/>
        <w:gridCol w:w="3321"/>
      </w:tblGrid>
      <w:tr w14:paraId="0D6FED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Borders>
              <w:top w:val="single" w:color="000000" w:sz="8" w:space="0"/>
              <w:left w:val="nil"/>
              <w:bottom w:val="single" w:color="000000" w:sz="8" w:space="0"/>
              <w:right w:val="single" w:color="000000" w:sz="8" w:space="0"/>
            </w:tcBorders>
            <w:shd w:val="clear" w:color="auto" w:fill="FFFFFF"/>
            <w:vAlign w:val="top"/>
          </w:tcPr>
          <w:p w14:paraId="3AF617AD">
            <w:pPr>
              <w:pStyle w:val="10"/>
              <w:bidi w:val="0"/>
              <w:jc w:val="center"/>
              <w:rPr>
                <w:rFonts w:hint="default"/>
                <w:b/>
                <w:bCs/>
                <w:color w:val="000000"/>
                <w:lang w:val="en-US" w:eastAsia="zh-CN"/>
              </w:rPr>
            </w:pPr>
            <w:r>
              <w:rPr>
                <w:rFonts w:hint="eastAsia"/>
                <w:b/>
                <w:bCs/>
                <w:color w:val="000000"/>
              </w:rPr>
              <w:t>指标</w:t>
            </w:r>
          </w:p>
        </w:tc>
        <w:tc>
          <w:tcPr>
            <w:tcW w:w="1666" w:type="pct"/>
            <w:tcBorders>
              <w:top w:val="single" w:color="000000" w:sz="8" w:space="0"/>
              <w:left w:val="single" w:color="000000" w:sz="8" w:space="0"/>
              <w:bottom w:val="single" w:color="000000" w:sz="8" w:space="0"/>
              <w:right w:val="single" w:color="000000" w:sz="8" w:space="0"/>
            </w:tcBorders>
            <w:shd w:val="clear" w:color="auto" w:fill="FFFFFF"/>
            <w:vAlign w:val="top"/>
          </w:tcPr>
          <w:p w14:paraId="43F03C7D">
            <w:pPr>
              <w:pStyle w:val="10"/>
              <w:bidi w:val="0"/>
              <w:jc w:val="center"/>
              <w:rPr>
                <w:rFonts w:hint="default"/>
                <w:b/>
                <w:bCs/>
                <w:color w:val="000000"/>
                <w:lang w:val="en-US" w:eastAsia="zh-CN"/>
              </w:rPr>
            </w:pPr>
            <w:r>
              <w:rPr>
                <w:rFonts w:hint="eastAsia"/>
                <w:b/>
                <w:bCs/>
                <w:color w:val="000000"/>
              </w:rPr>
              <w:t>2013年</w:t>
            </w:r>
          </w:p>
        </w:tc>
        <w:tc>
          <w:tcPr>
            <w:tcW w:w="1666" w:type="pct"/>
            <w:tcBorders>
              <w:top w:val="single" w:color="000000" w:sz="8" w:space="0"/>
              <w:left w:val="single" w:color="000000" w:sz="8" w:space="0"/>
              <w:bottom w:val="single" w:color="000000" w:sz="8" w:space="0"/>
              <w:right w:val="nil"/>
            </w:tcBorders>
            <w:shd w:val="clear" w:color="auto" w:fill="FFFFFF"/>
            <w:vAlign w:val="top"/>
          </w:tcPr>
          <w:p w14:paraId="1E62F742">
            <w:pPr>
              <w:pStyle w:val="10"/>
              <w:bidi w:val="0"/>
              <w:jc w:val="center"/>
              <w:rPr>
                <w:rFonts w:hint="default"/>
                <w:b/>
                <w:bCs/>
                <w:color w:val="000000"/>
                <w:lang w:val="en-US" w:eastAsia="zh-CN"/>
              </w:rPr>
            </w:pPr>
            <w:r>
              <w:rPr>
                <w:rFonts w:hint="eastAsia"/>
                <w:b/>
                <w:bCs/>
                <w:color w:val="000000"/>
              </w:rPr>
              <w:t>比上年增长</w:t>
            </w:r>
            <w:r>
              <w:rPr>
                <w:rFonts w:hint="eastAsia"/>
                <w:b/>
                <w:bCs/>
                <w:color w:val="000000"/>
                <w:lang w:val="en-US" w:eastAsia="zh-CN"/>
              </w:rPr>
              <w:t>+ -</w:t>
            </w:r>
            <w:r>
              <w:rPr>
                <w:rFonts w:hint="eastAsia"/>
                <w:b/>
                <w:bCs/>
                <w:color w:val="000000"/>
              </w:rPr>
              <w:t>%</w:t>
            </w:r>
          </w:p>
        </w:tc>
      </w:tr>
      <w:tr w14:paraId="6E608D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Borders>
              <w:top w:val="single" w:color="000000" w:sz="8" w:space="0"/>
              <w:left w:val="nil"/>
              <w:bottom w:val="single" w:color="000000" w:sz="8" w:space="0"/>
              <w:right w:val="single" w:color="000000" w:sz="8" w:space="0"/>
            </w:tcBorders>
            <w:shd w:val="clear" w:color="auto" w:fill="FFFFFF"/>
            <w:vAlign w:val="top"/>
          </w:tcPr>
          <w:p w14:paraId="337C15F5">
            <w:pPr>
              <w:pStyle w:val="10"/>
              <w:bidi w:val="0"/>
              <w:rPr>
                <w:rFonts w:hint="default"/>
                <w:color w:val="000000"/>
                <w:lang w:val="en-US" w:eastAsia="zh-CN"/>
              </w:rPr>
            </w:pPr>
            <w:r>
              <w:rPr>
                <w:rFonts w:hint="eastAsia"/>
                <w:color w:val="000000"/>
              </w:rPr>
              <w:t>地区生产总值</w:t>
            </w:r>
          </w:p>
        </w:tc>
        <w:tc>
          <w:tcPr>
            <w:tcW w:w="1666" w:type="pct"/>
            <w:tcBorders>
              <w:top w:val="single" w:color="000000" w:sz="8" w:space="0"/>
              <w:left w:val="single" w:color="000000" w:sz="8" w:space="0"/>
              <w:bottom w:val="single" w:color="000000" w:sz="8" w:space="0"/>
              <w:right w:val="single" w:color="000000" w:sz="8" w:space="0"/>
            </w:tcBorders>
            <w:shd w:val="clear" w:color="auto" w:fill="FFFFFF"/>
            <w:vAlign w:val="bottom"/>
          </w:tcPr>
          <w:p w14:paraId="4AD1E1D5">
            <w:pPr>
              <w:pStyle w:val="10"/>
              <w:bidi w:val="0"/>
              <w:jc w:val="center"/>
              <w:rPr>
                <w:rFonts w:hint="default"/>
                <w:color w:val="000000"/>
                <w:lang w:val="en-US" w:eastAsia="zh-CN"/>
              </w:rPr>
            </w:pPr>
            <w:r>
              <w:rPr>
                <w:rFonts w:hint="eastAsia"/>
                <w:color w:val="000000"/>
              </w:rPr>
              <w:t>100.79</w:t>
            </w:r>
          </w:p>
        </w:tc>
        <w:tc>
          <w:tcPr>
            <w:tcW w:w="1666" w:type="pct"/>
            <w:tcBorders>
              <w:top w:val="single" w:color="000000" w:sz="8" w:space="0"/>
              <w:left w:val="single" w:color="000000" w:sz="8" w:space="0"/>
              <w:bottom w:val="single" w:color="000000" w:sz="8" w:space="0"/>
              <w:right w:val="nil"/>
            </w:tcBorders>
            <w:shd w:val="clear" w:color="auto" w:fill="FFFFFF"/>
            <w:vAlign w:val="bottom"/>
          </w:tcPr>
          <w:p w14:paraId="6FD6E832">
            <w:pPr>
              <w:pStyle w:val="10"/>
              <w:bidi w:val="0"/>
              <w:jc w:val="center"/>
              <w:rPr>
                <w:rFonts w:hint="default"/>
                <w:color w:val="000000"/>
                <w:lang w:val="en-US" w:eastAsia="zh-CN"/>
              </w:rPr>
            </w:pPr>
            <w:r>
              <w:rPr>
                <w:rFonts w:hint="eastAsia"/>
                <w:color w:val="000000"/>
              </w:rPr>
              <w:t>12.7</w:t>
            </w:r>
          </w:p>
        </w:tc>
      </w:tr>
      <w:tr w14:paraId="55B989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Borders>
              <w:top w:val="single" w:color="000000" w:sz="8" w:space="0"/>
              <w:left w:val="nil"/>
              <w:bottom w:val="single" w:color="000000" w:sz="8" w:space="0"/>
              <w:right w:val="single" w:color="000000" w:sz="8" w:space="0"/>
            </w:tcBorders>
            <w:shd w:val="clear" w:color="auto" w:fill="FFFFFF"/>
            <w:vAlign w:val="top"/>
          </w:tcPr>
          <w:p w14:paraId="2261A628">
            <w:pPr>
              <w:pStyle w:val="10"/>
              <w:bidi w:val="0"/>
              <w:rPr>
                <w:rFonts w:hint="default"/>
                <w:color w:val="000000"/>
                <w:lang w:val="en-US" w:eastAsia="zh-CN"/>
              </w:rPr>
            </w:pPr>
            <w:r>
              <w:rPr>
                <w:rFonts w:hint="eastAsia"/>
                <w:color w:val="000000"/>
              </w:rPr>
              <w:t>第一产业</w:t>
            </w:r>
          </w:p>
        </w:tc>
        <w:tc>
          <w:tcPr>
            <w:tcW w:w="1666" w:type="pct"/>
            <w:tcBorders>
              <w:top w:val="single" w:color="000000" w:sz="8" w:space="0"/>
              <w:left w:val="single" w:color="000000" w:sz="8" w:space="0"/>
              <w:bottom w:val="single" w:color="000000" w:sz="8" w:space="0"/>
              <w:right w:val="single" w:color="000000" w:sz="8" w:space="0"/>
            </w:tcBorders>
            <w:shd w:val="clear" w:color="auto" w:fill="FFFFFF"/>
            <w:vAlign w:val="bottom"/>
          </w:tcPr>
          <w:p w14:paraId="29A0FF56">
            <w:pPr>
              <w:pStyle w:val="10"/>
              <w:bidi w:val="0"/>
              <w:jc w:val="center"/>
              <w:rPr>
                <w:rFonts w:hint="default"/>
                <w:color w:val="000000"/>
                <w:lang w:val="en-US" w:eastAsia="zh-CN"/>
              </w:rPr>
            </w:pPr>
            <w:r>
              <w:rPr>
                <w:rFonts w:hint="eastAsia"/>
                <w:color w:val="000000"/>
              </w:rPr>
              <w:t>23.63</w:t>
            </w:r>
          </w:p>
        </w:tc>
        <w:tc>
          <w:tcPr>
            <w:tcW w:w="1666" w:type="pct"/>
            <w:tcBorders>
              <w:top w:val="single" w:color="000000" w:sz="8" w:space="0"/>
              <w:left w:val="single" w:color="000000" w:sz="8" w:space="0"/>
              <w:bottom w:val="single" w:color="000000" w:sz="8" w:space="0"/>
              <w:right w:val="nil"/>
            </w:tcBorders>
            <w:shd w:val="clear" w:color="auto" w:fill="FFFFFF"/>
            <w:vAlign w:val="bottom"/>
          </w:tcPr>
          <w:p w14:paraId="3CFDE3E5">
            <w:pPr>
              <w:pStyle w:val="10"/>
              <w:bidi w:val="0"/>
              <w:jc w:val="center"/>
              <w:rPr>
                <w:rFonts w:hint="default"/>
                <w:color w:val="000000"/>
                <w:lang w:val="en-US" w:eastAsia="zh-CN"/>
              </w:rPr>
            </w:pPr>
            <w:r>
              <w:rPr>
                <w:rFonts w:hint="eastAsia"/>
                <w:color w:val="000000"/>
              </w:rPr>
              <w:t>4.8</w:t>
            </w:r>
          </w:p>
        </w:tc>
      </w:tr>
      <w:tr w14:paraId="58B2D2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Borders>
              <w:top w:val="single" w:color="000000" w:sz="8" w:space="0"/>
              <w:left w:val="nil"/>
              <w:bottom w:val="single" w:color="000000" w:sz="8" w:space="0"/>
              <w:right w:val="single" w:color="000000" w:sz="8" w:space="0"/>
            </w:tcBorders>
            <w:shd w:val="clear" w:color="auto" w:fill="FFFFFF"/>
            <w:vAlign w:val="top"/>
          </w:tcPr>
          <w:p w14:paraId="727DD12D">
            <w:pPr>
              <w:pStyle w:val="10"/>
              <w:bidi w:val="0"/>
              <w:rPr>
                <w:rFonts w:hint="default"/>
                <w:color w:val="000000"/>
                <w:lang w:val="en-US" w:eastAsia="zh-CN"/>
              </w:rPr>
            </w:pPr>
            <w:r>
              <w:rPr>
                <w:rFonts w:hint="eastAsia"/>
                <w:color w:val="000000"/>
              </w:rPr>
              <w:t>第二产业</w:t>
            </w:r>
          </w:p>
        </w:tc>
        <w:tc>
          <w:tcPr>
            <w:tcW w:w="1666" w:type="pct"/>
            <w:tcBorders>
              <w:top w:val="single" w:color="000000" w:sz="8" w:space="0"/>
              <w:left w:val="single" w:color="000000" w:sz="8" w:space="0"/>
              <w:bottom w:val="single" w:color="000000" w:sz="8" w:space="0"/>
              <w:right w:val="single" w:color="000000" w:sz="8" w:space="0"/>
            </w:tcBorders>
            <w:shd w:val="clear" w:color="auto" w:fill="FFFFFF"/>
            <w:vAlign w:val="bottom"/>
          </w:tcPr>
          <w:p w14:paraId="2020E8DA">
            <w:pPr>
              <w:pStyle w:val="10"/>
              <w:bidi w:val="0"/>
              <w:jc w:val="center"/>
              <w:rPr>
                <w:rFonts w:hint="default"/>
                <w:color w:val="000000"/>
                <w:lang w:val="en-US" w:eastAsia="zh-CN"/>
              </w:rPr>
            </w:pPr>
            <w:r>
              <w:rPr>
                <w:rFonts w:hint="eastAsia"/>
                <w:color w:val="000000"/>
              </w:rPr>
              <w:t>37.01</w:t>
            </w:r>
          </w:p>
        </w:tc>
        <w:tc>
          <w:tcPr>
            <w:tcW w:w="1666" w:type="pct"/>
            <w:tcBorders>
              <w:top w:val="single" w:color="000000" w:sz="8" w:space="0"/>
              <w:left w:val="single" w:color="000000" w:sz="8" w:space="0"/>
              <w:bottom w:val="single" w:color="000000" w:sz="8" w:space="0"/>
              <w:right w:val="nil"/>
            </w:tcBorders>
            <w:shd w:val="clear" w:color="auto" w:fill="FFFFFF"/>
            <w:vAlign w:val="bottom"/>
          </w:tcPr>
          <w:p w14:paraId="26529D0F">
            <w:pPr>
              <w:pStyle w:val="10"/>
              <w:bidi w:val="0"/>
              <w:jc w:val="center"/>
              <w:rPr>
                <w:rFonts w:hint="default"/>
                <w:color w:val="000000"/>
                <w:lang w:val="en-US" w:eastAsia="zh-CN"/>
              </w:rPr>
            </w:pPr>
            <w:r>
              <w:rPr>
                <w:rFonts w:hint="eastAsia"/>
                <w:color w:val="000000"/>
              </w:rPr>
              <w:t>20.6</w:t>
            </w:r>
          </w:p>
        </w:tc>
      </w:tr>
      <w:tr w14:paraId="7D1F21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Borders>
              <w:top w:val="single" w:color="000000" w:sz="8" w:space="0"/>
              <w:left w:val="nil"/>
              <w:bottom w:val="single" w:color="000000" w:sz="8" w:space="0"/>
              <w:right w:val="single" w:color="000000" w:sz="8" w:space="0"/>
            </w:tcBorders>
            <w:shd w:val="clear" w:color="auto" w:fill="FFFFFF"/>
            <w:vAlign w:val="top"/>
          </w:tcPr>
          <w:p w14:paraId="49E070D4">
            <w:pPr>
              <w:pStyle w:val="10"/>
              <w:bidi w:val="0"/>
              <w:rPr>
                <w:rFonts w:hint="default"/>
                <w:color w:val="000000"/>
                <w:lang w:val="en-US" w:eastAsia="zh-CN"/>
              </w:rPr>
            </w:pPr>
            <w:r>
              <w:rPr>
                <w:rFonts w:hint="eastAsia"/>
                <w:color w:val="000000"/>
              </w:rPr>
              <w:t>工业</w:t>
            </w:r>
          </w:p>
        </w:tc>
        <w:tc>
          <w:tcPr>
            <w:tcW w:w="1666" w:type="pct"/>
            <w:tcBorders>
              <w:top w:val="single" w:color="000000" w:sz="8" w:space="0"/>
              <w:left w:val="single" w:color="000000" w:sz="8" w:space="0"/>
              <w:bottom w:val="single" w:color="000000" w:sz="8" w:space="0"/>
              <w:right w:val="single" w:color="000000" w:sz="8" w:space="0"/>
            </w:tcBorders>
            <w:shd w:val="clear" w:color="auto" w:fill="FFFFFF"/>
            <w:vAlign w:val="bottom"/>
          </w:tcPr>
          <w:p w14:paraId="2CDBD10E">
            <w:pPr>
              <w:pStyle w:val="10"/>
              <w:bidi w:val="0"/>
              <w:jc w:val="center"/>
              <w:rPr>
                <w:rFonts w:hint="default"/>
                <w:color w:val="000000"/>
                <w:lang w:val="en-US" w:eastAsia="zh-CN"/>
              </w:rPr>
            </w:pPr>
            <w:r>
              <w:rPr>
                <w:rFonts w:hint="eastAsia"/>
                <w:color w:val="000000"/>
              </w:rPr>
              <w:t>28.60</w:t>
            </w:r>
          </w:p>
        </w:tc>
        <w:tc>
          <w:tcPr>
            <w:tcW w:w="1666" w:type="pct"/>
            <w:tcBorders>
              <w:top w:val="single" w:color="000000" w:sz="8" w:space="0"/>
              <w:left w:val="single" w:color="000000" w:sz="8" w:space="0"/>
              <w:bottom w:val="single" w:color="000000" w:sz="8" w:space="0"/>
              <w:right w:val="nil"/>
            </w:tcBorders>
            <w:shd w:val="clear" w:color="auto" w:fill="FFFFFF"/>
            <w:vAlign w:val="bottom"/>
          </w:tcPr>
          <w:p w14:paraId="3650DE45">
            <w:pPr>
              <w:pStyle w:val="10"/>
              <w:bidi w:val="0"/>
              <w:jc w:val="center"/>
              <w:rPr>
                <w:rFonts w:hint="default"/>
                <w:color w:val="000000"/>
                <w:lang w:val="en-US" w:eastAsia="zh-CN"/>
              </w:rPr>
            </w:pPr>
            <w:r>
              <w:rPr>
                <w:rFonts w:hint="eastAsia"/>
                <w:color w:val="000000"/>
              </w:rPr>
              <w:t>25.9</w:t>
            </w:r>
          </w:p>
        </w:tc>
      </w:tr>
      <w:tr w14:paraId="397F11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Borders>
              <w:top w:val="single" w:color="000000" w:sz="8" w:space="0"/>
              <w:left w:val="nil"/>
              <w:bottom w:val="single" w:color="000000" w:sz="8" w:space="0"/>
              <w:right w:val="single" w:color="000000" w:sz="8" w:space="0"/>
            </w:tcBorders>
            <w:shd w:val="clear" w:color="auto" w:fill="FFFFFF"/>
            <w:vAlign w:val="top"/>
          </w:tcPr>
          <w:p w14:paraId="6F944AD1">
            <w:pPr>
              <w:pStyle w:val="10"/>
              <w:bidi w:val="0"/>
              <w:rPr>
                <w:rFonts w:hint="default"/>
                <w:color w:val="000000"/>
                <w:lang w:val="en-US" w:eastAsia="zh-CN"/>
              </w:rPr>
            </w:pPr>
            <w:r>
              <w:rPr>
                <w:rFonts w:hint="eastAsia"/>
                <w:color w:val="000000"/>
              </w:rPr>
              <w:t>建筑业</w:t>
            </w:r>
          </w:p>
        </w:tc>
        <w:tc>
          <w:tcPr>
            <w:tcW w:w="1666" w:type="pct"/>
            <w:tcBorders>
              <w:top w:val="single" w:color="000000" w:sz="8" w:space="0"/>
              <w:left w:val="single" w:color="000000" w:sz="8" w:space="0"/>
              <w:bottom w:val="single" w:color="000000" w:sz="8" w:space="0"/>
              <w:right w:val="single" w:color="000000" w:sz="8" w:space="0"/>
            </w:tcBorders>
            <w:shd w:val="clear" w:color="auto" w:fill="FFFFFF"/>
            <w:vAlign w:val="bottom"/>
          </w:tcPr>
          <w:p w14:paraId="62CAAB53">
            <w:pPr>
              <w:pStyle w:val="10"/>
              <w:bidi w:val="0"/>
              <w:jc w:val="center"/>
              <w:rPr>
                <w:rFonts w:hint="default"/>
                <w:color w:val="000000"/>
                <w:lang w:val="en-US" w:eastAsia="zh-CN"/>
              </w:rPr>
            </w:pPr>
            <w:r>
              <w:rPr>
                <w:rFonts w:hint="eastAsia"/>
                <w:color w:val="000000"/>
              </w:rPr>
              <w:t>8.41</w:t>
            </w:r>
          </w:p>
        </w:tc>
        <w:tc>
          <w:tcPr>
            <w:tcW w:w="1666" w:type="pct"/>
            <w:tcBorders>
              <w:top w:val="single" w:color="000000" w:sz="8" w:space="0"/>
              <w:left w:val="single" w:color="000000" w:sz="8" w:space="0"/>
              <w:bottom w:val="single" w:color="000000" w:sz="8" w:space="0"/>
              <w:right w:val="nil"/>
            </w:tcBorders>
            <w:shd w:val="clear" w:color="auto" w:fill="FFFFFF"/>
            <w:vAlign w:val="bottom"/>
          </w:tcPr>
          <w:p w14:paraId="260F4DB2">
            <w:pPr>
              <w:pStyle w:val="10"/>
              <w:bidi w:val="0"/>
              <w:jc w:val="center"/>
              <w:rPr>
                <w:rFonts w:hint="default"/>
                <w:color w:val="000000"/>
                <w:lang w:val="en-US" w:eastAsia="zh-CN"/>
              </w:rPr>
            </w:pPr>
            <w:r>
              <w:rPr>
                <w:rFonts w:hint="eastAsia"/>
                <w:color w:val="000000"/>
              </w:rPr>
              <w:t>5.1</w:t>
            </w:r>
          </w:p>
        </w:tc>
      </w:tr>
      <w:tr w14:paraId="24C1EF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Borders>
              <w:top w:val="single" w:color="000000" w:sz="8" w:space="0"/>
              <w:left w:val="nil"/>
              <w:bottom w:val="single" w:color="000000" w:sz="8" w:space="0"/>
              <w:right w:val="single" w:color="000000" w:sz="8" w:space="0"/>
            </w:tcBorders>
            <w:shd w:val="clear" w:color="auto" w:fill="FFFFFF"/>
            <w:vAlign w:val="top"/>
          </w:tcPr>
          <w:p w14:paraId="631E35D4">
            <w:pPr>
              <w:pStyle w:val="10"/>
              <w:bidi w:val="0"/>
              <w:rPr>
                <w:rFonts w:hint="default"/>
                <w:color w:val="000000"/>
                <w:lang w:val="en-US" w:eastAsia="zh-CN"/>
              </w:rPr>
            </w:pPr>
            <w:r>
              <w:rPr>
                <w:rFonts w:hint="eastAsia"/>
                <w:color w:val="000000"/>
              </w:rPr>
              <w:t>第三产业</w:t>
            </w:r>
          </w:p>
        </w:tc>
        <w:tc>
          <w:tcPr>
            <w:tcW w:w="1666" w:type="pct"/>
            <w:tcBorders>
              <w:top w:val="single" w:color="000000" w:sz="8" w:space="0"/>
              <w:left w:val="single" w:color="000000" w:sz="8" w:space="0"/>
              <w:bottom w:val="single" w:color="000000" w:sz="8" w:space="0"/>
              <w:right w:val="single" w:color="000000" w:sz="8" w:space="0"/>
            </w:tcBorders>
            <w:shd w:val="clear" w:color="auto" w:fill="FFFFFF"/>
            <w:vAlign w:val="bottom"/>
          </w:tcPr>
          <w:p w14:paraId="4DDB5BB9">
            <w:pPr>
              <w:pStyle w:val="10"/>
              <w:bidi w:val="0"/>
              <w:jc w:val="center"/>
              <w:rPr>
                <w:rFonts w:hint="default"/>
                <w:color w:val="000000"/>
                <w:lang w:val="en-US" w:eastAsia="zh-CN"/>
              </w:rPr>
            </w:pPr>
            <w:r>
              <w:rPr>
                <w:rFonts w:hint="eastAsia"/>
                <w:color w:val="000000"/>
              </w:rPr>
              <w:t>40.15</w:t>
            </w:r>
          </w:p>
        </w:tc>
        <w:tc>
          <w:tcPr>
            <w:tcW w:w="1666" w:type="pct"/>
            <w:tcBorders>
              <w:top w:val="single" w:color="000000" w:sz="8" w:space="0"/>
              <w:left w:val="single" w:color="000000" w:sz="8" w:space="0"/>
              <w:bottom w:val="single" w:color="000000" w:sz="8" w:space="0"/>
              <w:right w:val="nil"/>
            </w:tcBorders>
            <w:shd w:val="clear" w:color="auto" w:fill="FFFFFF"/>
            <w:vAlign w:val="bottom"/>
          </w:tcPr>
          <w:p w14:paraId="5013E913">
            <w:pPr>
              <w:pStyle w:val="10"/>
              <w:bidi w:val="0"/>
              <w:jc w:val="center"/>
              <w:rPr>
                <w:rFonts w:hint="default"/>
                <w:color w:val="000000"/>
                <w:lang w:val="en-US" w:eastAsia="zh-CN"/>
              </w:rPr>
            </w:pPr>
            <w:r>
              <w:rPr>
                <w:rFonts w:hint="eastAsia"/>
                <w:color w:val="000000"/>
              </w:rPr>
              <w:t>10.3</w:t>
            </w:r>
          </w:p>
        </w:tc>
      </w:tr>
      <w:tr w14:paraId="4E14E5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Borders>
              <w:top w:val="single" w:color="000000" w:sz="8" w:space="0"/>
              <w:left w:val="nil"/>
              <w:bottom w:val="single" w:color="000000" w:sz="8" w:space="0"/>
              <w:right w:val="single" w:color="000000" w:sz="8" w:space="0"/>
            </w:tcBorders>
            <w:shd w:val="clear" w:color="auto" w:fill="FFFFFF"/>
            <w:vAlign w:val="top"/>
          </w:tcPr>
          <w:p w14:paraId="499E08F6">
            <w:pPr>
              <w:pStyle w:val="10"/>
              <w:bidi w:val="0"/>
              <w:rPr>
                <w:rFonts w:hint="default"/>
                <w:color w:val="000000"/>
                <w:lang w:val="en-US" w:eastAsia="zh-CN"/>
              </w:rPr>
            </w:pPr>
            <w:r>
              <w:rPr>
                <w:rFonts w:hint="eastAsia"/>
                <w:color w:val="000000"/>
              </w:rPr>
              <w:t>交通运输、仓储和邮政业</w:t>
            </w:r>
          </w:p>
        </w:tc>
        <w:tc>
          <w:tcPr>
            <w:tcW w:w="1666" w:type="pct"/>
            <w:tcBorders>
              <w:top w:val="single" w:color="000000" w:sz="8" w:space="0"/>
              <w:left w:val="single" w:color="000000" w:sz="8" w:space="0"/>
              <w:bottom w:val="single" w:color="000000" w:sz="8" w:space="0"/>
              <w:right w:val="single" w:color="000000" w:sz="8" w:space="0"/>
            </w:tcBorders>
            <w:shd w:val="clear" w:color="auto" w:fill="FFFFFF"/>
            <w:vAlign w:val="bottom"/>
          </w:tcPr>
          <w:p w14:paraId="4953754C">
            <w:pPr>
              <w:pStyle w:val="10"/>
              <w:bidi w:val="0"/>
              <w:jc w:val="center"/>
              <w:rPr>
                <w:rFonts w:hint="default"/>
                <w:color w:val="000000"/>
                <w:lang w:val="en-US" w:eastAsia="zh-CN"/>
              </w:rPr>
            </w:pPr>
            <w:r>
              <w:rPr>
                <w:rFonts w:hint="eastAsia"/>
                <w:color w:val="000000"/>
              </w:rPr>
              <w:t>5.30</w:t>
            </w:r>
          </w:p>
        </w:tc>
        <w:tc>
          <w:tcPr>
            <w:tcW w:w="1666" w:type="pct"/>
            <w:tcBorders>
              <w:top w:val="single" w:color="000000" w:sz="8" w:space="0"/>
              <w:left w:val="single" w:color="000000" w:sz="8" w:space="0"/>
              <w:bottom w:val="single" w:color="000000" w:sz="8" w:space="0"/>
              <w:right w:val="nil"/>
            </w:tcBorders>
            <w:shd w:val="clear" w:color="auto" w:fill="FFFFFF"/>
            <w:vAlign w:val="bottom"/>
          </w:tcPr>
          <w:p w14:paraId="1F5007C5">
            <w:pPr>
              <w:pStyle w:val="10"/>
              <w:bidi w:val="0"/>
              <w:jc w:val="center"/>
              <w:rPr>
                <w:rFonts w:hint="default"/>
                <w:color w:val="000000"/>
                <w:lang w:val="en-US" w:eastAsia="zh-CN"/>
              </w:rPr>
            </w:pPr>
            <w:r>
              <w:rPr>
                <w:rFonts w:hint="eastAsia"/>
                <w:color w:val="000000"/>
              </w:rPr>
              <w:t>16.3</w:t>
            </w:r>
          </w:p>
        </w:tc>
      </w:tr>
      <w:tr w14:paraId="1DEAFE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Borders>
              <w:top w:val="single" w:color="000000" w:sz="8" w:space="0"/>
              <w:left w:val="nil"/>
              <w:bottom w:val="single" w:color="000000" w:sz="8" w:space="0"/>
              <w:right w:val="single" w:color="000000" w:sz="8" w:space="0"/>
            </w:tcBorders>
            <w:shd w:val="clear" w:color="auto" w:fill="FFFFFF"/>
            <w:vAlign w:val="top"/>
          </w:tcPr>
          <w:p w14:paraId="09FB1CBC">
            <w:pPr>
              <w:pStyle w:val="10"/>
              <w:bidi w:val="0"/>
              <w:rPr>
                <w:rFonts w:hint="default"/>
                <w:color w:val="000000"/>
                <w:lang w:val="en-US" w:eastAsia="zh-CN"/>
              </w:rPr>
            </w:pPr>
            <w:r>
              <w:rPr>
                <w:rFonts w:hint="eastAsia"/>
                <w:color w:val="000000"/>
              </w:rPr>
              <w:t>批发和零售业</w:t>
            </w:r>
          </w:p>
        </w:tc>
        <w:tc>
          <w:tcPr>
            <w:tcW w:w="1666" w:type="pct"/>
            <w:tcBorders>
              <w:top w:val="single" w:color="000000" w:sz="8" w:space="0"/>
              <w:left w:val="single" w:color="000000" w:sz="8" w:space="0"/>
              <w:bottom w:val="single" w:color="000000" w:sz="8" w:space="0"/>
              <w:right w:val="single" w:color="000000" w:sz="8" w:space="0"/>
            </w:tcBorders>
            <w:shd w:val="clear" w:color="auto" w:fill="FFFFFF"/>
            <w:vAlign w:val="bottom"/>
          </w:tcPr>
          <w:p w14:paraId="2FBF964D">
            <w:pPr>
              <w:pStyle w:val="10"/>
              <w:bidi w:val="0"/>
              <w:jc w:val="center"/>
              <w:rPr>
                <w:rFonts w:hint="default"/>
                <w:color w:val="000000"/>
                <w:lang w:val="en-US" w:eastAsia="zh-CN"/>
              </w:rPr>
            </w:pPr>
            <w:r>
              <w:rPr>
                <w:rFonts w:hint="eastAsia"/>
                <w:color w:val="000000"/>
              </w:rPr>
              <w:t>5.07</w:t>
            </w:r>
          </w:p>
        </w:tc>
        <w:tc>
          <w:tcPr>
            <w:tcW w:w="1666" w:type="pct"/>
            <w:tcBorders>
              <w:top w:val="single" w:color="000000" w:sz="8" w:space="0"/>
              <w:left w:val="single" w:color="000000" w:sz="8" w:space="0"/>
              <w:bottom w:val="single" w:color="000000" w:sz="8" w:space="0"/>
              <w:right w:val="nil"/>
            </w:tcBorders>
            <w:shd w:val="clear" w:color="auto" w:fill="FFFFFF"/>
            <w:vAlign w:val="bottom"/>
          </w:tcPr>
          <w:p w14:paraId="7B34B124">
            <w:pPr>
              <w:pStyle w:val="10"/>
              <w:bidi w:val="0"/>
              <w:jc w:val="center"/>
              <w:rPr>
                <w:rFonts w:hint="default"/>
                <w:color w:val="000000"/>
                <w:lang w:val="en-US" w:eastAsia="zh-CN"/>
              </w:rPr>
            </w:pPr>
            <w:r>
              <w:rPr>
                <w:rFonts w:hint="eastAsia"/>
                <w:color w:val="000000"/>
              </w:rPr>
              <w:t>23.4</w:t>
            </w:r>
          </w:p>
        </w:tc>
      </w:tr>
      <w:tr w14:paraId="2E31DD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Borders>
              <w:top w:val="single" w:color="000000" w:sz="8" w:space="0"/>
              <w:left w:val="nil"/>
              <w:bottom w:val="single" w:color="000000" w:sz="8" w:space="0"/>
              <w:right w:val="single" w:color="000000" w:sz="8" w:space="0"/>
            </w:tcBorders>
            <w:shd w:val="clear" w:color="auto" w:fill="FFFFFF"/>
            <w:vAlign w:val="top"/>
          </w:tcPr>
          <w:p w14:paraId="2FBD5377">
            <w:pPr>
              <w:pStyle w:val="10"/>
              <w:bidi w:val="0"/>
              <w:rPr>
                <w:rFonts w:hint="default"/>
                <w:color w:val="000000"/>
                <w:lang w:val="en-US" w:eastAsia="zh-CN"/>
              </w:rPr>
            </w:pPr>
            <w:r>
              <w:rPr>
                <w:rFonts w:hint="eastAsia"/>
                <w:color w:val="000000"/>
              </w:rPr>
              <w:t>住宿和餐饮业</w:t>
            </w:r>
          </w:p>
        </w:tc>
        <w:tc>
          <w:tcPr>
            <w:tcW w:w="1666" w:type="pct"/>
            <w:tcBorders>
              <w:top w:val="single" w:color="000000" w:sz="8" w:space="0"/>
              <w:left w:val="single" w:color="000000" w:sz="8" w:space="0"/>
              <w:bottom w:val="single" w:color="000000" w:sz="8" w:space="0"/>
              <w:right w:val="single" w:color="000000" w:sz="8" w:space="0"/>
            </w:tcBorders>
            <w:shd w:val="clear" w:color="auto" w:fill="FFFFFF"/>
            <w:vAlign w:val="bottom"/>
          </w:tcPr>
          <w:p w14:paraId="45CBF8CE">
            <w:pPr>
              <w:pStyle w:val="10"/>
              <w:bidi w:val="0"/>
              <w:jc w:val="center"/>
              <w:rPr>
                <w:rFonts w:hint="default"/>
                <w:color w:val="000000"/>
                <w:lang w:val="en-US" w:eastAsia="zh-CN"/>
              </w:rPr>
            </w:pPr>
            <w:r>
              <w:rPr>
                <w:rFonts w:hint="eastAsia"/>
                <w:color w:val="000000"/>
              </w:rPr>
              <w:t>2.09</w:t>
            </w:r>
          </w:p>
        </w:tc>
        <w:tc>
          <w:tcPr>
            <w:tcW w:w="1666" w:type="pct"/>
            <w:tcBorders>
              <w:top w:val="single" w:color="000000" w:sz="8" w:space="0"/>
              <w:left w:val="single" w:color="000000" w:sz="8" w:space="0"/>
              <w:bottom w:val="single" w:color="000000" w:sz="8" w:space="0"/>
              <w:right w:val="nil"/>
            </w:tcBorders>
            <w:shd w:val="clear" w:color="auto" w:fill="FFFFFF"/>
            <w:vAlign w:val="bottom"/>
          </w:tcPr>
          <w:p w14:paraId="5DEF3536">
            <w:pPr>
              <w:pStyle w:val="10"/>
              <w:bidi w:val="0"/>
              <w:jc w:val="center"/>
              <w:rPr>
                <w:rFonts w:hint="default"/>
                <w:color w:val="000000"/>
                <w:lang w:val="en-US" w:eastAsia="zh-CN"/>
              </w:rPr>
            </w:pPr>
            <w:r>
              <w:rPr>
                <w:rFonts w:hint="eastAsia"/>
                <w:color w:val="000000"/>
              </w:rPr>
              <w:t>11.0</w:t>
            </w:r>
          </w:p>
        </w:tc>
      </w:tr>
      <w:tr w14:paraId="221229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Borders>
              <w:top w:val="single" w:color="000000" w:sz="8" w:space="0"/>
              <w:left w:val="nil"/>
              <w:bottom w:val="single" w:color="000000" w:sz="8" w:space="0"/>
              <w:right w:val="single" w:color="000000" w:sz="8" w:space="0"/>
            </w:tcBorders>
            <w:shd w:val="clear" w:color="auto" w:fill="FFFFFF"/>
            <w:vAlign w:val="top"/>
          </w:tcPr>
          <w:p w14:paraId="35DD7696">
            <w:pPr>
              <w:pStyle w:val="10"/>
              <w:bidi w:val="0"/>
              <w:rPr>
                <w:rFonts w:hint="default"/>
                <w:color w:val="000000"/>
                <w:lang w:val="en-US" w:eastAsia="zh-CN"/>
              </w:rPr>
            </w:pPr>
            <w:r>
              <w:rPr>
                <w:rFonts w:hint="eastAsia"/>
                <w:color w:val="000000"/>
              </w:rPr>
              <w:t>金融业</w:t>
            </w:r>
          </w:p>
        </w:tc>
        <w:tc>
          <w:tcPr>
            <w:tcW w:w="1666" w:type="pct"/>
            <w:tcBorders>
              <w:top w:val="single" w:color="000000" w:sz="8" w:space="0"/>
              <w:left w:val="single" w:color="000000" w:sz="8" w:space="0"/>
              <w:bottom w:val="single" w:color="000000" w:sz="8" w:space="0"/>
              <w:right w:val="single" w:color="000000" w:sz="8" w:space="0"/>
            </w:tcBorders>
            <w:shd w:val="clear" w:color="auto" w:fill="FFFFFF"/>
            <w:vAlign w:val="bottom"/>
          </w:tcPr>
          <w:p w14:paraId="5AAF8A24">
            <w:pPr>
              <w:pStyle w:val="10"/>
              <w:bidi w:val="0"/>
              <w:jc w:val="center"/>
              <w:rPr>
                <w:rFonts w:hint="default"/>
                <w:color w:val="000000"/>
                <w:lang w:val="en-US" w:eastAsia="zh-CN"/>
              </w:rPr>
            </w:pPr>
            <w:r>
              <w:rPr>
                <w:rFonts w:hint="eastAsia"/>
                <w:color w:val="000000"/>
              </w:rPr>
              <w:t>1.03</w:t>
            </w:r>
          </w:p>
        </w:tc>
        <w:tc>
          <w:tcPr>
            <w:tcW w:w="1666" w:type="pct"/>
            <w:tcBorders>
              <w:top w:val="single" w:color="000000" w:sz="8" w:space="0"/>
              <w:left w:val="single" w:color="000000" w:sz="8" w:space="0"/>
              <w:bottom w:val="single" w:color="000000" w:sz="8" w:space="0"/>
              <w:right w:val="nil"/>
            </w:tcBorders>
            <w:shd w:val="clear" w:color="auto" w:fill="FFFFFF"/>
            <w:vAlign w:val="bottom"/>
          </w:tcPr>
          <w:p w14:paraId="59E92553">
            <w:pPr>
              <w:pStyle w:val="10"/>
              <w:bidi w:val="0"/>
              <w:jc w:val="center"/>
              <w:rPr>
                <w:rFonts w:hint="default"/>
                <w:color w:val="000000"/>
                <w:lang w:val="en-US" w:eastAsia="zh-CN"/>
              </w:rPr>
            </w:pPr>
            <w:r>
              <w:rPr>
                <w:rFonts w:hint="eastAsia"/>
                <w:color w:val="000000"/>
              </w:rPr>
              <w:t>18.2</w:t>
            </w:r>
          </w:p>
        </w:tc>
      </w:tr>
      <w:tr w14:paraId="39D8F3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Borders>
              <w:top w:val="single" w:color="000000" w:sz="8" w:space="0"/>
              <w:left w:val="nil"/>
              <w:bottom w:val="single" w:color="000000" w:sz="8" w:space="0"/>
              <w:right w:val="single" w:color="000000" w:sz="8" w:space="0"/>
            </w:tcBorders>
            <w:shd w:val="clear" w:color="auto" w:fill="FFFFFF"/>
            <w:vAlign w:val="top"/>
          </w:tcPr>
          <w:p w14:paraId="2D66F179">
            <w:pPr>
              <w:pStyle w:val="10"/>
              <w:bidi w:val="0"/>
              <w:rPr>
                <w:rFonts w:hint="default"/>
                <w:color w:val="000000"/>
                <w:lang w:val="en-US" w:eastAsia="zh-CN"/>
              </w:rPr>
            </w:pPr>
            <w:r>
              <w:rPr>
                <w:rFonts w:hint="eastAsia"/>
                <w:color w:val="000000"/>
              </w:rPr>
              <w:t>房地产业</w:t>
            </w:r>
          </w:p>
        </w:tc>
        <w:tc>
          <w:tcPr>
            <w:tcW w:w="1666" w:type="pct"/>
            <w:tcBorders>
              <w:top w:val="single" w:color="000000" w:sz="8" w:space="0"/>
              <w:left w:val="single" w:color="000000" w:sz="8" w:space="0"/>
              <w:bottom w:val="single" w:color="000000" w:sz="8" w:space="0"/>
              <w:right w:val="single" w:color="000000" w:sz="8" w:space="0"/>
            </w:tcBorders>
            <w:shd w:val="clear" w:color="auto" w:fill="FFFFFF"/>
            <w:vAlign w:val="bottom"/>
          </w:tcPr>
          <w:p w14:paraId="6514EA6B">
            <w:pPr>
              <w:pStyle w:val="10"/>
              <w:bidi w:val="0"/>
              <w:jc w:val="center"/>
              <w:rPr>
                <w:rFonts w:hint="default"/>
                <w:color w:val="000000"/>
                <w:lang w:val="en-US" w:eastAsia="zh-CN"/>
              </w:rPr>
            </w:pPr>
            <w:r>
              <w:rPr>
                <w:rFonts w:hint="eastAsia"/>
                <w:color w:val="000000"/>
              </w:rPr>
              <w:t>2.82</w:t>
            </w:r>
          </w:p>
        </w:tc>
        <w:tc>
          <w:tcPr>
            <w:tcW w:w="1666" w:type="pct"/>
            <w:tcBorders>
              <w:top w:val="single" w:color="000000" w:sz="8" w:space="0"/>
              <w:left w:val="single" w:color="000000" w:sz="8" w:space="0"/>
              <w:bottom w:val="single" w:color="000000" w:sz="8" w:space="0"/>
              <w:right w:val="nil"/>
            </w:tcBorders>
            <w:shd w:val="clear" w:color="auto" w:fill="FFFFFF"/>
            <w:vAlign w:val="bottom"/>
          </w:tcPr>
          <w:p w14:paraId="09814680">
            <w:pPr>
              <w:pStyle w:val="10"/>
              <w:bidi w:val="0"/>
              <w:jc w:val="center"/>
              <w:rPr>
                <w:rFonts w:hint="default"/>
                <w:color w:val="000000"/>
                <w:lang w:val="en-US" w:eastAsia="zh-CN"/>
              </w:rPr>
            </w:pPr>
            <w:r>
              <w:rPr>
                <w:rFonts w:hint="eastAsia"/>
                <w:color w:val="000000"/>
              </w:rPr>
              <w:t>3.3</w:t>
            </w:r>
          </w:p>
        </w:tc>
      </w:tr>
      <w:tr w14:paraId="5EDA82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Borders>
              <w:top w:val="single" w:color="000000" w:sz="8" w:space="0"/>
              <w:left w:val="nil"/>
              <w:bottom w:val="single" w:color="000000" w:sz="8" w:space="0"/>
              <w:right w:val="single" w:color="000000" w:sz="8" w:space="0"/>
            </w:tcBorders>
            <w:shd w:val="clear" w:color="auto" w:fill="FFFFFF"/>
            <w:vAlign w:val="top"/>
          </w:tcPr>
          <w:p w14:paraId="2344BB53">
            <w:pPr>
              <w:pStyle w:val="10"/>
              <w:bidi w:val="0"/>
              <w:rPr>
                <w:rFonts w:hint="default"/>
                <w:color w:val="000000"/>
                <w:lang w:val="en-US" w:eastAsia="zh-CN"/>
              </w:rPr>
            </w:pPr>
            <w:r>
              <w:rPr>
                <w:rFonts w:hint="eastAsia"/>
                <w:color w:val="000000"/>
              </w:rPr>
              <w:t>其他营利性服务业</w:t>
            </w:r>
          </w:p>
        </w:tc>
        <w:tc>
          <w:tcPr>
            <w:tcW w:w="1666" w:type="pct"/>
            <w:tcBorders>
              <w:top w:val="single" w:color="000000" w:sz="8" w:space="0"/>
              <w:left w:val="single" w:color="000000" w:sz="8" w:space="0"/>
              <w:bottom w:val="single" w:color="000000" w:sz="8" w:space="0"/>
              <w:right w:val="single" w:color="000000" w:sz="8" w:space="0"/>
            </w:tcBorders>
            <w:shd w:val="clear" w:color="auto" w:fill="FFFFFF"/>
            <w:vAlign w:val="bottom"/>
          </w:tcPr>
          <w:p w14:paraId="10554A6E">
            <w:pPr>
              <w:pStyle w:val="10"/>
              <w:bidi w:val="0"/>
              <w:jc w:val="center"/>
              <w:rPr>
                <w:rFonts w:hint="default"/>
                <w:color w:val="000000"/>
                <w:lang w:val="en-US" w:eastAsia="zh-CN"/>
              </w:rPr>
            </w:pPr>
            <w:r>
              <w:rPr>
                <w:rFonts w:hint="eastAsia"/>
                <w:color w:val="000000"/>
              </w:rPr>
              <w:t>12.43</w:t>
            </w:r>
          </w:p>
        </w:tc>
        <w:tc>
          <w:tcPr>
            <w:tcW w:w="1666" w:type="pct"/>
            <w:tcBorders>
              <w:top w:val="single" w:color="000000" w:sz="8" w:space="0"/>
              <w:left w:val="single" w:color="000000" w:sz="8" w:space="0"/>
              <w:bottom w:val="single" w:color="000000" w:sz="8" w:space="0"/>
              <w:right w:val="nil"/>
            </w:tcBorders>
            <w:shd w:val="clear" w:color="auto" w:fill="FFFFFF"/>
            <w:vAlign w:val="bottom"/>
          </w:tcPr>
          <w:p w14:paraId="720AAB4A">
            <w:pPr>
              <w:pStyle w:val="10"/>
              <w:bidi w:val="0"/>
              <w:jc w:val="center"/>
              <w:rPr>
                <w:rFonts w:hint="default"/>
                <w:color w:val="000000"/>
                <w:lang w:val="en-US" w:eastAsia="zh-CN"/>
              </w:rPr>
            </w:pPr>
            <w:r>
              <w:rPr>
                <w:rFonts w:hint="eastAsia"/>
                <w:color w:val="000000"/>
              </w:rPr>
              <w:t>6.3</w:t>
            </w:r>
          </w:p>
        </w:tc>
      </w:tr>
      <w:tr w14:paraId="61BA12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Borders>
              <w:top w:val="single" w:color="000000" w:sz="8" w:space="0"/>
              <w:left w:val="nil"/>
              <w:bottom w:val="single" w:color="000000" w:sz="8" w:space="0"/>
              <w:right w:val="single" w:color="000000" w:sz="8" w:space="0"/>
            </w:tcBorders>
            <w:shd w:val="clear" w:color="auto" w:fill="FFFFFF"/>
            <w:vAlign w:val="top"/>
          </w:tcPr>
          <w:p w14:paraId="4731780F">
            <w:pPr>
              <w:pStyle w:val="10"/>
              <w:bidi w:val="0"/>
              <w:rPr>
                <w:rFonts w:hint="default"/>
                <w:color w:val="000000"/>
                <w:lang w:val="en-US" w:eastAsia="zh-CN"/>
              </w:rPr>
            </w:pPr>
            <w:r>
              <w:rPr>
                <w:rFonts w:hint="eastAsia"/>
                <w:color w:val="000000"/>
              </w:rPr>
              <w:t>非营利性服务业</w:t>
            </w:r>
          </w:p>
        </w:tc>
        <w:tc>
          <w:tcPr>
            <w:tcW w:w="1666" w:type="pct"/>
            <w:tcBorders>
              <w:top w:val="single" w:color="000000" w:sz="8" w:space="0"/>
              <w:left w:val="single" w:color="000000" w:sz="8" w:space="0"/>
              <w:bottom w:val="single" w:color="000000" w:sz="8" w:space="0"/>
              <w:right w:val="single" w:color="000000" w:sz="8" w:space="0"/>
            </w:tcBorders>
            <w:shd w:val="clear" w:color="auto" w:fill="FFFFFF"/>
            <w:vAlign w:val="bottom"/>
          </w:tcPr>
          <w:p w14:paraId="3C1CDA72">
            <w:pPr>
              <w:pStyle w:val="10"/>
              <w:bidi w:val="0"/>
              <w:jc w:val="center"/>
              <w:rPr>
                <w:rFonts w:hint="default"/>
                <w:color w:val="000000"/>
                <w:lang w:val="en-US" w:eastAsia="zh-CN"/>
              </w:rPr>
            </w:pPr>
            <w:r>
              <w:rPr>
                <w:rFonts w:hint="eastAsia"/>
                <w:color w:val="000000"/>
              </w:rPr>
              <w:t>8.85</w:t>
            </w:r>
          </w:p>
        </w:tc>
        <w:tc>
          <w:tcPr>
            <w:tcW w:w="1666" w:type="pct"/>
            <w:tcBorders>
              <w:top w:val="single" w:color="000000" w:sz="8" w:space="0"/>
              <w:left w:val="single" w:color="000000" w:sz="8" w:space="0"/>
              <w:bottom w:val="single" w:color="000000" w:sz="8" w:space="0"/>
              <w:right w:val="nil"/>
            </w:tcBorders>
            <w:shd w:val="clear" w:color="auto" w:fill="FFFFFF"/>
            <w:vAlign w:val="bottom"/>
          </w:tcPr>
          <w:p w14:paraId="35E5FF95">
            <w:pPr>
              <w:pStyle w:val="10"/>
              <w:bidi w:val="0"/>
              <w:jc w:val="center"/>
              <w:rPr>
                <w:rFonts w:hint="default"/>
                <w:color w:val="000000"/>
                <w:lang w:val="en-US" w:eastAsia="zh-CN"/>
              </w:rPr>
            </w:pPr>
            <w:r>
              <w:rPr>
                <w:rFonts w:hint="eastAsia"/>
                <w:color w:val="000000"/>
              </w:rPr>
              <w:t>7.9</w:t>
            </w:r>
          </w:p>
        </w:tc>
      </w:tr>
    </w:tbl>
    <w:p w14:paraId="38A3D1FC">
      <w:pPr>
        <w:rPr>
          <w:rFonts w:hint="eastAsia"/>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27CE5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F0F6806">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79820" cy="3446145"/>
                  <wp:effectExtent l="0" t="0" r="11430" b="1905"/>
                  <wp:docPr id="60" name="图片 6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1"/>
                          <pic:cNvPicPr>
                            <a:picLocks noChangeAspect="1"/>
                          </pic:cNvPicPr>
                        </pic:nvPicPr>
                        <pic:blipFill>
                          <a:blip r:embed="rId130"/>
                          <a:stretch>
                            <a:fillRect/>
                          </a:stretch>
                        </pic:blipFill>
                        <pic:spPr>
                          <a:xfrm>
                            <a:off x="0" y="0"/>
                            <a:ext cx="6179820" cy="3446145"/>
                          </a:xfrm>
                          <a:prstGeom prst="rect">
                            <a:avLst/>
                          </a:prstGeom>
                        </pic:spPr>
                      </pic:pic>
                    </a:graphicData>
                  </a:graphic>
                </wp:inline>
              </w:drawing>
            </w:r>
          </w:p>
        </w:tc>
      </w:tr>
    </w:tbl>
    <w:p w14:paraId="4B345FFF">
      <w:pPr>
        <w:pStyle w:val="10"/>
        <w:bidi w:val="0"/>
        <w:jc w:val="center"/>
        <w:rPr>
          <w:rFonts w:hint="eastAsia"/>
        </w:rPr>
      </w:pPr>
      <w:r>
        <w:rPr>
          <w:rFonts w:hint="eastAsia"/>
          <w:b/>
          <w:bCs/>
        </w:rPr>
        <w:t>图1  2009-2013年地区生产总值及增长速度</w:t>
      </w:r>
    </w:p>
    <w:p w14:paraId="7C5AE3DA">
      <w:r>
        <w:rPr>
          <w:rFonts w:hint="eastAsia"/>
        </w:rPr>
        <w:t>居民消费价格基本稳定。居民消费价格比上年上涨</w:t>
      </w:r>
      <w:r>
        <w:t>1.9%。其中，服务项目价格上涨2.3%，消</w:t>
      </w:r>
      <w:r>
        <w:rPr>
          <w:rFonts w:hint="eastAsia"/>
        </w:rPr>
        <w:t>费品价格上涨</w:t>
      </w:r>
      <w:r>
        <w:t>1.7%。在八大类消费品价格中，衣</w:t>
      </w:r>
      <w:r>
        <w:rPr>
          <w:rFonts w:hint="eastAsia"/>
        </w:rPr>
        <w:t>着类价格上涨</w:t>
      </w:r>
      <w:r>
        <w:t>0.3%、食品类价格上涨3.1%、娱</w:t>
      </w:r>
      <w:r>
        <w:rPr>
          <w:rFonts w:hint="eastAsia"/>
        </w:rPr>
        <w:t>乐教育文化用品及服务价格上涨</w:t>
      </w:r>
      <w:r>
        <w:t>4.7%、烟酒价格</w:t>
      </w:r>
      <w:r>
        <w:rPr>
          <w:rFonts w:hint="eastAsia"/>
        </w:rPr>
        <w:t>下降</w:t>
      </w:r>
      <w:r>
        <w:t>0.1%、居住价格上涨1.2%、家庭设备用品</w:t>
      </w:r>
      <w:r>
        <w:rPr>
          <w:rFonts w:hint="eastAsia"/>
        </w:rPr>
        <w:t>及维修服务价格下降</w:t>
      </w:r>
      <w:r>
        <w:t>0.2%、医疗保健和个人用品</w:t>
      </w:r>
      <w:r>
        <w:rPr>
          <w:rFonts w:hint="eastAsia"/>
        </w:rPr>
        <w:t>价格上涨</w:t>
      </w:r>
      <w:r>
        <w:t>0.9%、交通和通信价格下降1.3%。工</w:t>
      </w:r>
      <w:r>
        <w:rPr>
          <w:rFonts w:hint="eastAsia"/>
        </w:rPr>
        <w:t>业品出厂价格总水平下降</w:t>
      </w:r>
      <w:r>
        <w:t>6.4%。</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F8B94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DE32A2B">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77915" cy="2868930"/>
                  <wp:effectExtent l="0" t="0" r="13335" b="7620"/>
                  <wp:docPr id="61" name="图片 6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2"/>
                          <pic:cNvPicPr>
                            <a:picLocks noChangeAspect="1"/>
                          </pic:cNvPicPr>
                        </pic:nvPicPr>
                        <pic:blipFill>
                          <a:blip r:embed="rId131"/>
                          <a:stretch>
                            <a:fillRect/>
                          </a:stretch>
                        </pic:blipFill>
                        <pic:spPr>
                          <a:xfrm>
                            <a:off x="0" y="0"/>
                            <a:ext cx="6177915" cy="2868930"/>
                          </a:xfrm>
                          <a:prstGeom prst="rect">
                            <a:avLst/>
                          </a:prstGeom>
                        </pic:spPr>
                      </pic:pic>
                    </a:graphicData>
                  </a:graphic>
                </wp:inline>
              </w:drawing>
            </w:r>
          </w:p>
        </w:tc>
      </w:tr>
    </w:tbl>
    <w:p w14:paraId="309EB584">
      <w:pPr>
        <w:pStyle w:val="10"/>
        <w:bidi w:val="0"/>
        <w:jc w:val="center"/>
        <w:rPr>
          <w:b/>
          <w:bCs/>
        </w:rPr>
      </w:pPr>
      <w:r>
        <w:rPr>
          <w:rFonts w:hint="eastAsia"/>
          <w:b/>
          <w:bCs/>
        </w:rPr>
        <w:t>图2  2009-2013年南雄市居民消费价格涨跌幅度</w:t>
      </w:r>
    </w:p>
    <w:p w14:paraId="66A6B441">
      <w:pPr>
        <w:rPr>
          <w:rFonts w:hint="eastAsia"/>
          <w:lang w:eastAsia="zh-CN"/>
        </w:rPr>
      </w:pPr>
      <w:r>
        <w:rPr>
          <w:rFonts w:hint="eastAsia"/>
        </w:rPr>
        <w:t>就业持续增加。年末从业人员</w:t>
      </w:r>
      <w:r>
        <w:t>18.07万人，增</w:t>
      </w:r>
      <w:r>
        <w:rPr>
          <w:rFonts w:hint="eastAsia"/>
        </w:rPr>
        <w:t>加</w:t>
      </w:r>
      <w:r>
        <w:t>0.18万人。其中：第一产业9</w:t>
      </w:r>
      <w:r>
        <w:rPr>
          <w:rFonts w:hint="eastAsia"/>
          <w:lang w:val="en-US" w:eastAsia="zh-CN"/>
        </w:rPr>
        <w:t>.</w:t>
      </w:r>
      <w:r>
        <w:t>61万人，减少0.13万人；第二产业3.01万人，增加0.11万人</w:t>
      </w:r>
      <w:r>
        <w:rPr>
          <w:rFonts w:hint="eastAsia"/>
          <w:lang w:eastAsia="zh-CN"/>
        </w:rPr>
        <w:t>；</w:t>
      </w:r>
      <w:r>
        <w:rPr>
          <w:rFonts w:hint="eastAsia"/>
        </w:rPr>
        <w:t>第三产业</w:t>
      </w:r>
      <w:r>
        <w:t>5.45万人，增加0.2万人。安置就业人</w:t>
      </w:r>
      <w:r>
        <w:rPr>
          <w:rFonts w:hint="eastAsia"/>
        </w:rPr>
        <w:t>员</w:t>
      </w:r>
      <w:r>
        <w:t>1.99万人，向外输出劳务9.86万人，其中城镇</w:t>
      </w:r>
      <w:r>
        <w:rPr>
          <w:rFonts w:hint="eastAsia"/>
        </w:rPr>
        <w:t>新增就业</w:t>
      </w:r>
      <w:r>
        <w:t>4613人，新增农村劳动力转移就业7257</w:t>
      </w:r>
      <w:r>
        <w:rPr>
          <w:rFonts w:hint="eastAsia"/>
        </w:rPr>
        <w:t>人。城镇登记失业率为</w:t>
      </w:r>
      <w:r>
        <w:t>2.43%，下降0.25个百</w:t>
      </w:r>
      <w:r>
        <w:rPr>
          <w:rFonts w:hint="eastAsia"/>
        </w:rPr>
        <w:t>分点</w:t>
      </w:r>
      <w:r>
        <w:rPr>
          <w:rFonts w:hint="eastAsia"/>
          <w:lang w:eastAsia="zh-CN"/>
        </w:rPr>
        <w:t>。</w:t>
      </w:r>
    </w:p>
    <w:p w14:paraId="540B9279">
      <w:r>
        <w:rPr>
          <w:rFonts w:hint="eastAsia"/>
        </w:rPr>
        <w:t>财政收入较快增长。全年全口径财政总收入</w:t>
      </w:r>
      <w:r>
        <w:t>16.54亿元，增长5.7%。其中税收收入5.76亿元，</w:t>
      </w:r>
      <w:r>
        <w:rPr>
          <w:rFonts w:hint="eastAsia"/>
        </w:rPr>
        <w:t>增长</w:t>
      </w:r>
      <w:r>
        <w:t>10.1%。公共财政预算</w:t>
      </w:r>
      <w:r>
        <w:rPr>
          <w:rFonts w:hint="eastAsia"/>
          <w:lang w:eastAsia="zh-CN"/>
        </w:rPr>
        <w:t>收入</w:t>
      </w:r>
      <w:r>
        <w:t>4.76亿元，增长18.9%。地方公共财政预算支出16亿元，增长9</w:t>
      </w:r>
      <w:r>
        <w:rPr>
          <w:rFonts w:hint="eastAsia"/>
          <w:lang w:val="en-US" w:eastAsia="zh-CN"/>
        </w:rPr>
        <w:t>.</w:t>
      </w:r>
      <w:r>
        <w:t>9%。其中：教育支出3.9亿元，增长20.8%。</w:t>
      </w:r>
      <w:r>
        <w:rPr>
          <w:rFonts w:hint="eastAsia"/>
        </w:rPr>
        <w:t>民生类资金支出</w:t>
      </w:r>
      <w:r>
        <w:t>11亿元，占公共财政预算支出</w:t>
      </w:r>
      <w:r>
        <w:rPr>
          <w:rFonts w:hint="eastAsia"/>
        </w:rPr>
        <w:t>的</w:t>
      </w:r>
      <w:r>
        <w:t>69%。</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DF676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D77B3E5">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77915" cy="2686050"/>
                  <wp:effectExtent l="0" t="0" r="13335" b="0"/>
                  <wp:docPr id="62" name="图片 6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3"/>
                          <pic:cNvPicPr>
                            <a:picLocks noChangeAspect="1"/>
                          </pic:cNvPicPr>
                        </pic:nvPicPr>
                        <pic:blipFill>
                          <a:blip r:embed="rId132"/>
                          <a:stretch>
                            <a:fillRect/>
                          </a:stretch>
                        </pic:blipFill>
                        <pic:spPr>
                          <a:xfrm>
                            <a:off x="0" y="0"/>
                            <a:ext cx="6177915" cy="2686050"/>
                          </a:xfrm>
                          <a:prstGeom prst="rect">
                            <a:avLst/>
                          </a:prstGeom>
                        </pic:spPr>
                      </pic:pic>
                    </a:graphicData>
                  </a:graphic>
                </wp:inline>
              </w:drawing>
            </w:r>
          </w:p>
        </w:tc>
      </w:tr>
    </w:tbl>
    <w:p w14:paraId="4FE48D48">
      <w:pPr>
        <w:pStyle w:val="10"/>
        <w:bidi w:val="0"/>
        <w:jc w:val="center"/>
        <w:rPr>
          <w:rFonts w:hint="eastAsia"/>
          <w:b/>
          <w:bCs/>
        </w:rPr>
      </w:pPr>
      <w:r>
        <w:rPr>
          <w:rFonts w:hint="eastAsia"/>
          <w:b/>
          <w:bCs/>
        </w:rPr>
        <w:t>图3  2009-2013年地方公共财政预算收入及其增长速度</w:t>
      </w:r>
    </w:p>
    <w:p w14:paraId="2F11FF08">
      <w:pPr>
        <w:rPr>
          <w:rFonts w:hint="eastAsia"/>
        </w:rPr>
      </w:pPr>
      <w:r>
        <w:rPr>
          <w:rFonts w:hint="eastAsia"/>
        </w:rPr>
        <w:t>经济社会发展存在的主要问题：经济发展质量有待进一步提高，工业化还处于较低的发展水平，税收占</w:t>
      </w:r>
      <w:r>
        <w:t>GDP的比重偏低；园区企业项目建设进度较</w:t>
      </w:r>
      <w:r>
        <w:rPr>
          <w:rFonts w:hint="eastAsia"/>
        </w:rPr>
        <w:t>慢，新增建成项目不多，带动能力不强，经济效应还未显现；城镇化步伐还不够大，中心城区辐射带动力不强；民生保障和财政支出压力大；维护社会稳定的压力依然较大。</w:t>
      </w:r>
    </w:p>
    <w:p w14:paraId="04E0A8EC">
      <w:pPr>
        <w:rPr>
          <w:rFonts w:hint="eastAsia"/>
          <w:b/>
          <w:bCs/>
        </w:rPr>
      </w:pPr>
      <w:r>
        <w:rPr>
          <w:rFonts w:hint="eastAsia"/>
          <w:b/>
          <w:bCs/>
          <w:lang w:val="en-US" w:eastAsia="zh-CN"/>
        </w:rPr>
        <w:t>二、</w:t>
      </w:r>
      <w:r>
        <w:rPr>
          <w:rFonts w:hint="eastAsia"/>
          <w:b/>
          <w:bCs/>
        </w:rPr>
        <w:t>农业</w:t>
      </w:r>
    </w:p>
    <w:p w14:paraId="3DA303D5">
      <w:r>
        <w:rPr>
          <w:rFonts w:hint="eastAsia"/>
        </w:rPr>
        <w:t>农业发展稳定。全年农林牧渔业总产值</w:t>
      </w:r>
      <w:r>
        <w:t>38.61</w:t>
      </w:r>
      <w:r>
        <w:rPr>
          <w:rFonts w:hint="eastAsia"/>
        </w:rPr>
        <w:t>亿元，增长</w:t>
      </w:r>
      <w:r>
        <w:t>4.9%。其中，种植业增长4.1%，林</w:t>
      </w:r>
      <w:r>
        <w:rPr>
          <w:rFonts w:hint="eastAsia"/>
        </w:rPr>
        <w:t>业增长</w:t>
      </w:r>
      <w:r>
        <w:t>9.4%，渔业增长6.5%，畜牧业增</w:t>
      </w:r>
      <w:r>
        <w:rPr>
          <w:rFonts w:hint="eastAsia"/>
        </w:rPr>
        <w:t>长</w:t>
      </w:r>
      <w:r>
        <w:t>5.1%。</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C4247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8640369">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79185" cy="3474720"/>
                  <wp:effectExtent l="0" t="0" r="12065" b="11430"/>
                  <wp:docPr id="63" name="图片 6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4"/>
                          <pic:cNvPicPr>
                            <a:picLocks noChangeAspect="1"/>
                          </pic:cNvPicPr>
                        </pic:nvPicPr>
                        <pic:blipFill>
                          <a:blip r:embed="rId133"/>
                          <a:stretch>
                            <a:fillRect/>
                          </a:stretch>
                        </pic:blipFill>
                        <pic:spPr>
                          <a:xfrm>
                            <a:off x="0" y="0"/>
                            <a:ext cx="6179185" cy="3474720"/>
                          </a:xfrm>
                          <a:prstGeom prst="rect">
                            <a:avLst/>
                          </a:prstGeom>
                        </pic:spPr>
                      </pic:pic>
                    </a:graphicData>
                  </a:graphic>
                </wp:inline>
              </w:drawing>
            </w:r>
          </w:p>
        </w:tc>
      </w:tr>
    </w:tbl>
    <w:p w14:paraId="0A9D6AD6">
      <w:pPr>
        <w:pStyle w:val="10"/>
        <w:bidi w:val="0"/>
        <w:jc w:val="center"/>
        <w:rPr>
          <w:rFonts w:hint="eastAsia"/>
          <w:b/>
          <w:bCs/>
        </w:rPr>
      </w:pPr>
      <w:r>
        <w:rPr>
          <w:rFonts w:hint="eastAsia"/>
          <w:b/>
          <w:bCs/>
        </w:rPr>
        <w:t>图4  2009-2013年农业增加值及其增长速度</w:t>
      </w:r>
    </w:p>
    <w:p w14:paraId="7BC17043">
      <w:r>
        <w:rPr>
          <w:rFonts w:hint="eastAsia"/>
        </w:rPr>
        <w:t>创办了四个万亩水稻高产示范片，储备流通体系进一步完善，有效保障了粮食安全，荣获“全国粮食流通监督检</w:t>
      </w:r>
      <w:r>
        <w:rPr>
          <w:rFonts w:hint="eastAsia"/>
          <w:lang w:eastAsia="zh-CN"/>
        </w:rPr>
        <w:t>查</w:t>
      </w:r>
      <w:r>
        <w:rPr>
          <w:rFonts w:hint="eastAsia"/>
        </w:rPr>
        <w:t>示范县”称号。全年粮食作物播种面积</w:t>
      </w:r>
      <w:r>
        <w:t>55</w:t>
      </w:r>
      <w:r>
        <w:rPr>
          <w:rFonts w:hint="eastAsia"/>
          <w:lang w:val="en-US" w:eastAsia="zh-CN"/>
        </w:rPr>
        <w:t>.</w:t>
      </w:r>
      <w:r>
        <w:t>75万亩，增长1.9%；花生种植面积11.08万亩，增长1.9%；烟叶种植面积14.4万亩，</w:t>
      </w:r>
      <w:r>
        <w:rPr>
          <w:rFonts w:hint="eastAsia"/>
        </w:rPr>
        <w:t>增长</w:t>
      </w:r>
      <w:r>
        <w:t>0.3%；蔬菜种植面积12.09万亩，增长6.6%。收购烟叶29万担，收购资金3.48亿元。</w:t>
      </w:r>
    </w:p>
    <w:p w14:paraId="6B1385DA">
      <w:pPr>
        <w:bidi w:val="0"/>
        <w:ind w:left="0" w:leftChars="0" w:firstLine="0" w:firstLineChars="0"/>
        <w:jc w:val="center"/>
        <w:rPr>
          <w:rFonts w:hint="eastAsia"/>
          <w:b/>
          <w:bCs/>
        </w:rPr>
      </w:pPr>
      <w:r>
        <w:rPr>
          <w:rFonts w:hint="eastAsia"/>
          <w:b/>
          <w:bCs/>
        </w:rPr>
        <w:t>2013年主要农产品产量</w:t>
      </w:r>
    </w:p>
    <w:p w14:paraId="733675BA">
      <w:pPr>
        <w:bidi w:val="0"/>
        <w:rPr>
          <w:rFonts w:hint="eastAsia"/>
        </w:rPr>
      </w:pPr>
      <w:r>
        <w:rPr>
          <w:rFonts w:hint="eastAsia"/>
        </w:rPr>
        <w:t>表42</w:t>
      </w:r>
    </w:p>
    <w:p w14:paraId="18C9605A">
      <w:pPr>
        <w:bidi w:val="0"/>
        <w:jc w:val="right"/>
        <w:rPr>
          <w:rFonts w:hint="eastAsia"/>
        </w:rPr>
      </w:pPr>
      <w:r>
        <w:rPr>
          <w:rFonts w:hint="eastAsia"/>
        </w:rPr>
        <w:t>单位：万吨</w:t>
      </w:r>
    </w:p>
    <w:tbl>
      <w:tblPr>
        <w:tblStyle w:val="7"/>
        <w:tblW w:w="4998" w:type="pct"/>
        <w:jc w:val="center"/>
        <w:tblLayout w:type="autofit"/>
        <w:tblCellMar>
          <w:top w:w="0" w:type="dxa"/>
          <w:left w:w="108" w:type="dxa"/>
          <w:bottom w:w="0" w:type="dxa"/>
          <w:right w:w="108" w:type="dxa"/>
        </w:tblCellMar>
      </w:tblPr>
      <w:tblGrid>
        <w:gridCol w:w="3401"/>
        <w:gridCol w:w="2128"/>
        <w:gridCol w:w="2343"/>
        <w:gridCol w:w="2086"/>
      </w:tblGrid>
      <w:tr w14:paraId="7604767F">
        <w:tblPrEx>
          <w:tblCellMar>
            <w:top w:w="0" w:type="dxa"/>
            <w:left w:w="108" w:type="dxa"/>
            <w:bottom w:w="0" w:type="dxa"/>
            <w:right w:w="108" w:type="dxa"/>
          </w:tblCellMar>
        </w:tblPrEx>
        <w:trPr>
          <w:trHeight w:val="360" w:hRule="atLeast"/>
          <w:jc w:val="center"/>
        </w:trPr>
        <w:tc>
          <w:tcPr>
            <w:tcW w:w="1707" w:type="pct"/>
            <w:tcBorders>
              <w:top w:val="single" w:color="000000" w:sz="8" w:space="0"/>
              <w:left w:val="nil"/>
              <w:bottom w:val="single" w:color="000000" w:sz="8" w:space="0"/>
              <w:right w:val="single" w:color="000000" w:sz="8" w:space="0"/>
            </w:tcBorders>
            <w:shd w:val="clear" w:color="auto" w:fill="FFFFFF"/>
            <w:noWrap w:val="0"/>
            <w:vAlign w:val="center"/>
          </w:tcPr>
          <w:p w14:paraId="60C097A0">
            <w:pPr>
              <w:ind w:firstLine="0" w:firstLineChars="0"/>
              <w:jc w:val="center"/>
              <w:rPr>
                <w:rFonts w:hint="eastAsia"/>
                <w:b/>
                <w:bCs/>
                <w:color w:val="000000"/>
              </w:rPr>
            </w:pPr>
            <w:r>
              <w:rPr>
                <w:rFonts w:hint="eastAsia"/>
                <w:b/>
                <w:bCs/>
                <w:color w:val="000000"/>
              </w:rPr>
              <w:t>农产品名称</w:t>
            </w:r>
          </w:p>
        </w:tc>
        <w:tc>
          <w:tcPr>
            <w:tcW w:w="10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4381661">
            <w:pPr>
              <w:ind w:firstLine="0" w:firstLineChars="0"/>
              <w:jc w:val="center"/>
              <w:rPr>
                <w:rFonts w:hint="eastAsia"/>
                <w:b/>
                <w:bCs/>
                <w:color w:val="000000"/>
              </w:rPr>
            </w:pPr>
            <w:r>
              <w:rPr>
                <w:rFonts w:hint="eastAsia"/>
                <w:b/>
                <w:bCs/>
                <w:color w:val="000000"/>
              </w:rPr>
              <w:t>计量单位</w:t>
            </w:r>
          </w:p>
        </w:tc>
        <w:tc>
          <w:tcPr>
            <w:tcW w:w="117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16AC066">
            <w:pPr>
              <w:ind w:firstLine="0" w:firstLineChars="0"/>
              <w:jc w:val="center"/>
              <w:rPr>
                <w:rFonts w:hint="eastAsia"/>
                <w:b/>
                <w:bCs/>
                <w:color w:val="000000"/>
              </w:rPr>
            </w:pPr>
            <w:r>
              <w:rPr>
                <w:rFonts w:hint="eastAsia"/>
                <w:b/>
                <w:bCs/>
                <w:color w:val="000000"/>
              </w:rPr>
              <w:t>产量</w:t>
            </w:r>
          </w:p>
        </w:tc>
        <w:tc>
          <w:tcPr>
            <w:tcW w:w="1047" w:type="pct"/>
            <w:tcBorders>
              <w:top w:val="single" w:color="000000" w:sz="8" w:space="0"/>
              <w:left w:val="single" w:color="000000" w:sz="8" w:space="0"/>
              <w:bottom w:val="single" w:color="000000" w:sz="8" w:space="0"/>
              <w:right w:val="nil"/>
            </w:tcBorders>
            <w:shd w:val="clear" w:color="auto" w:fill="FFFFFF"/>
            <w:noWrap w:val="0"/>
            <w:vAlign w:val="center"/>
          </w:tcPr>
          <w:p w14:paraId="5CDA682B">
            <w:pPr>
              <w:ind w:firstLine="0" w:firstLineChars="0"/>
              <w:jc w:val="center"/>
              <w:rPr>
                <w:rFonts w:hint="eastAsia"/>
                <w:b/>
                <w:bCs/>
                <w:color w:val="000000"/>
              </w:rPr>
            </w:pPr>
            <w:r>
              <w:rPr>
                <w:rFonts w:hint="eastAsia"/>
                <w:b/>
                <w:bCs/>
                <w:color w:val="000000"/>
              </w:rPr>
              <w:t>比上年±%</w:t>
            </w:r>
          </w:p>
        </w:tc>
      </w:tr>
      <w:tr w14:paraId="6EBAABB0">
        <w:tblPrEx>
          <w:tblCellMar>
            <w:top w:w="0" w:type="dxa"/>
            <w:left w:w="108" w:type="dxa"/>
            <w:bottom w:w="0" w:type="dxa"/>
            <w:right w:w="108" w:type="dxa"/>
          </w:tblCellMar>
        </w:tblPrEx>
        <w:trPr>
          <w:trHeight w:val="360" w:hRule="atLeast"/>
          <w:jc w:val="center"/>
        </w:trPr>
        <w:tc>
          <w:tcPr>
            <w:tcW w:w="1707" w:type="pct"/>
            <w:tcBorders>
              <w:top w:val="single" w:color="000000" w:sz="8" w:space="0"/>
              <w:left w:val="nil"/>
              <w:bottom w:val="single" w:color="000000" w:sz="8" w:space="0"/>
              <w:right w:val="single" w:color="000000" w:sz="8" w:space="0"/>
            </w:tcBorders>
            <w:shd w:val="clear" w:color="auto" w:fill="FFFFFF"/>
            <w:noWrap w:val="0"/>
            <w:vAlign w:val="center"/>
          </w:tcPr>
          <w:p w14:paraId="617971E0">
            <w:pPr>
              <w:ind w:firstLine="0" w:firstLineChars="0"/>
              <w:jc w:val="center"/>
              <w:rPr>
                <w:rFonts w:hint="eastAsia"/>
                <w:color w:val="000000"/>
              </w:rPr>
            </w:pPr>
            <w:r>
              <w:rPr>
                <w:rFonts w:hint="eastAsia"/>
                <w:color w:val="000000"/>
              </w:rPr>
              <w:t>粮食</w:t>
            </w:r>
          </w:p>
        </w:tc>
        <w:tc>
          <w:tcPr>
            <w:tcW w:w="10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D1ACA98">
            <w:pPr>
              <w:ind w:firstLine="0" w:firstLineChars="0"/>
              <w:jc w:val="center"/>
              <w:rPr>
                <w:rFonts w:hint="eastAsia"/>
                <w:color w:val="000000"/>
              </w:rPr>
            </w:pPr>
            <w:r>
              <w:rPr>
                <w:rFonts w:hint="eastAsia"/>
                <w:color w:val="000000"/>
              </w:rPr>
              <w:t>万吨</w:t>
            </w:r>
          </w:p>
        </w:tc>
        <w:tc>
          <w:tcPr>
            <w:tcW w:w="117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DD4D88D">
            <w:pPr>
              <w:ind w:firstLine="0" w:firstLineChars="0"/>
              <w:jc w:val="center"/>
              <w:rPr>
                <w:rFonts w:hint="eastAsia"/>
                <w:color w:val="000000"/>
              </w:rPr>
            </w:pPr>
            <w:r>
              <w:rPr>
                <w:rFonts w:hint="eastAsia"/>
                <w:color w:val="000000"/>
              </w:rPr>
              <w:t>23.36</w:t>
            </w:r>
          </w:p>
        </w:tc>
        <w:tc>
          <w:tcPr>
            <w:tcW w:w="1047" w:type="pct"/>
            <w:tcBorders>
              <w:top w:val="single" w:color="000000" w:sz="8" w:space="0"/>
              <w:left w:val="single" w:color="000000" w:sz="8" w:space="0"/>
              <w:bottom w:val="single" w:color="000000" w:sz="8" w:space="0"/>
              <w:right w:val="nil"/>
            </w:tcBorders>
            <w:shd w:val="clear" w:color="auto" w:fill="FFFFFF"/>
            <w:noWrap w:val="0"/>
            <w:vAlign w:val="center"/>
          </w:tcPr>
          <w:p w14:paraId="5C3D1AF0">
            <w:pPr>
              <w:ind w:firstLine="0" w:firstLineChars="0"/>
              <w:jc w:val="center"/>
              <w:rPr>
                <w:rFonts w:hint="eastAsia"/>
                <w:color w:val="000000"/>
              </w:rPr>
            </w:pPr>
            <w:r>
              <w:rPr>
                <w:rFonts w:hint="eastAsia"/>
                <w:color w:val="000000"/>
              </w:rPr>
              <w:t>2.2</w:t>
            </w:r>
          </w:p>
        </w:tc>
      </w:tr>
      <w:tr w14:paraId="17C4F964">
        <w:tblPrEx>
          <w:tblCellMar>
            <w:top w:w="0" w:type="dxa"/>
            <w:left w:w="108" w:type="dxa"/>
            <w:bottom w:w="0" w:type="dxa"/>
            <w:right w:w="108" w:type="dxa"/>
          </w:tblCellMar>
        </w:tblPrEx>
        <w:trPr>
          <w:trHeight w:val="360" w:hRule="atLeast"/>
          <w:jc w:val="center"/>
        </w:trPr>
        <w:tc>
          <w:tcPr>
            <w:tcW w:w="1707" w:type="pct"/>
            <w:tcBorders>
              <w:top w:val="single" w:color="000000" w:sz="8" w:space="0"/>
              <w:left w:val="nil"/>
              <w:bottom w:val="single" w:color="000000" w:sz="8" w:space="0"/>
              <w:right w:val="single" w:color="000000" w:sz="8" w:space="0"/>
            </w:tcBorders>
            <w:shd w:val="clear" w:color="auto" w:fill="FFFFFF"/>
            <w:noWrap w:val="0"/>
            <w:vAlign w:val="center"/>
          </w:tcPr>
          <w:p w14:paraId="6D5A9A2B">
            <w:pPr>
              <w:ind w:firstLine="0" w:firstLineChars="0"/>
              <w:jc w:val="center"/>
              <w:rPr>
                <w:rFonts w:hint="eastAsia"/>
                <w:color w:val="000000"/>
              </w:rPr>
            </w:pPr>
            <w:r>
              <w:rPr>
                <w:rFonts w:hint="eastAsia"/>
                <w:color w:val="000000"/>
              </w:rPr>
              <w:t>其中：稻谷</w:t>
            </w:r>
          </w:p>
        </w:tc>
        <w:tc>
          <w:tcPr>
            <w:tcW w:w="10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B57338B">
            <w:pPr>
              <w:ind w:firstLine="0" w:firstLineChars="0"/>
              <w:jc w:val="center"/>
              <w:rPr>
                <w:rFonts w:hint="eastAsia"/>
                <w:color w:val="000000"/>
              </w:rPr>
            </w:pPr>
            <w:r>
              <w:rPr>
                <w:rFonts w:hint="eastAsia"/>
                <w:color w:val="000000"/>
              </w:rPr>
              <w:t>万吨</w:t>
            </w:r>
          </w:p>
        </w:tc>
        <w:tc>
          <w:tcPr>
            <w:tcW w:w="117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4F19E4C">
            <w:pPr>
              <w:ind w:firstLine="0" w:firstLineChars="0"/>
              <w:jc w:val="center"/>
              <w:rPr>
                <w:rFonts w:hint="eastAsia"/>
                <w:color w:val="000000"/>
              </w:rPr>
            </w:pPr>
            <w:r>
              <w:rPr>
                <w:rFonts w:hint="eastAsia"/>
                <w:color w:val="000000"/>
              </w:rPr>
              <w:t>20.91</w:t>
            </w:r>
          </w:p>
        </w:tc>
        <w:tc>
          <w:tcPr>
            <w:tcW w:w="1047" w:type="pct"/>
            <w:tcBorders>
              <w:top w:val="single" w:color="000000" w:sz="8" w:space="0"/>
              <w:left w:val="single" w:color="000000" w:sz="8" w:space="0"/>
              <w:bottom w:val="single" w:color="000000" w:sz="8" w:space="0"/>
              <w:right w:val="nil"/>
            </w:tcBorders>
            <w:shd w:val="clear" w:color="auto" w:fill="FFFFFF"/>
            <w:noWrap w:val="0"/>
            <w:vAlign w:val="center"/>
          </w:tcPr>
          <w:p w14:paraId="7A0AF2E7">
            <w:pPr>
              <w:ind w:firstLine="0" w:firstLineChars="0"/>
              <w:jc w:val="center"/>
              <w:rPr>
                <w:rFonts w:hint="eastAsia"/>
                <w:color w:val="000000"/>
              </w:rPr>
            </w:pPr>
            <w:r>
              <w:rPr>
                <w:rFonts w:hint="eastAsia"/>
                <w:color w:val="000000"/>
              </w:rPr>
              <w:t>1.9</w:t>
            </w:r>
          </w:p>
        </w:tc>
      </w:tr>
      <w:tr w14:paraId="28D8E485">
        <w:tblPrEx>
          <w:tblCellMar>
            <w:top w:w="0" w:type="dxa"/>
            <w:left w:w="108" w:type="dxa"/>
            <w:bottom w:w="0" w:type="dxa"/>
            <w:right w:w="108" w:type="dxa"/>
          </w:tblCellMar>
        </w:tblPrEx>
        <w:trPr>
          <w:trHeight w:val="360" w:hRule="atLeast"/>
          <w:jc w:val="center"/>
        </w:trPr>
        <w:tc>
          <w:tcPr>
            <w:tcW w:w="1707" w:type="pct"/>
            <w:tcBorders>
              <w:top w:val="single" w:color="000000" w:sz="8" w:space="0"/>
              <w:left w:val="nil"/>
              <w:bottom w:val="single" w:color="000000" w:sz="8" w:space="0"/>
              <w:right w:val="single" w:color="000000" w:sz="8" w:space="0"/>
            </w:tcBorders>
            <w:shd w:val="clear" w:color="auto" w:fill="FFFFFF"/>
            <w:noWrap w:val="0"/>
            <w:vAlign w:val="center"/>
          </w:tcPr>
          <w:p w14:paraId="082B2DFA">
            <w:pPr>
              <w:ind w:firstLine="0" w:firstLineChars="0"/>
              <w:jc w:val="center"/>
              <w:rPr>
                <w:rFonts w:hint="eastAsia"/>
                <w:color w:val="000000"/>
              </w:rPr>
            </w:pPr>
            <w:r>
              <w:rPr>
                <w:rFonts w:hint="eastAsia"/>
                <w:color w:val="000000"/>
              </w:rPr>
              <w:t>蔬菜</w:t>
            </w:r>
          </w:p>
        </w:tc>
        <w:tc>
          <w:tcPr>
            <w:tcW w:w="10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3488135">
            <w:pPr>
              <w:ind w:firstLine="0" w:firstLineChars="0"/>
              <w:jc w:val="center"/>
              <w:rPr>
                <w:rFonts w:hint="eastAsia"/>
                <w:color w:val="000000"/>
              </w:rPr>
            </w:pPr>
            <w:r>
              <w:rPr>
                <w:rFonts w:hint="eastAsia"/>
                <w:color w:val="000000"/>
              </w:rPr>
              <w:t>万吨</w:t>
            </w:r>
          </w:p>
        </w:tc>
        <w:tc>
          <w:tcPr>
            <w:tcW w:w="117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2804C47">
            <w:pPr>
              <w:ind w:firstLine="0" w:firstLineChars="0"/>
              <w:jc w:val="center"/>
              <w:rPr>
                <w:rFonts w:hint="eastAsia"/>
                <w:color w:val="000000"/>
              </w:rPr>
            </w:pPr>
            <w:r>
              <w:rPr>
                <w:rFonts w:hint="eastAsia"/>
                <w:color w:val="000000"/>
              </w:rPr>
              <w:t>20.31</w:t>
            </w:r>
          </w:p>
        </w:tc>
        <w:tc>
          <w:tcPr>
            <w:tcW w:w="1047" w:type="pct"/>
            <w:tcBorders>
              <w:top w:val="single" w:color="000000" w:sz="8" w:space="0"/>
              <w:left w:val="single" w:color="000000" w:sz="8" w:space="0"/>
              <w:bottom w:val="single" w:color="000000" w:sz="8" w:space="0"/>
              <w:right w:val="nil"/>
            </w:tcBorders>
            <w:shd w:val="clear" w:color="auto" w:fill="FFFFFF"/>
            <w:noWrap w:val="0"/>
            <w:vAlign w:val="center"/>
          </w:tcPr>
          <w:p w14:paraId="03B56598">
            <w:pPr>
              <w:ind w:firstLine="0" w:firstLineChars="0"/>
              <w:jc w:val="center"/>
              <w:rPr>
                <w:color w:val="000000"/>
              </w:rPr>
            </w:pPr>
            <w:r>
              <w:rPr>
                <w:rFonts w:hint="eastAsia"/>
                <w:color w:val="000000"/>
              </w:rPr>
              <w:t>8</w:t>
            </w:r>
            <w:r>
              <w:rPr>
                <w:color w:val="000000"/>
              </w:rPr>
              <w:t>.4</w:t>
            </w:r>
          </w:p>
        </w:tc>
      </w:tr>
      <w:tr w14:paraId="06EFFE2F">
        <w:tblPrEx>
          <w:tblCellMar>
            <w:top w:w="0" w:type="dxa"/>
            <w:left w:w="108" w:type="dxa"/>
            <w:bottom w:w="0" w:type="dxa"/>
            <w:right w:w="108" w:type="dxa"/>
          </w:tblCellMar>
        </w:tblPrEx>
        <w:trPr>
          <w:trHeight w:val="360" w:hRule="atLeast"/>
          <w:jc w:val="center"/>
        </w:trPr>
        <w:tc>
          <w:tcPr>
            <w:tcW w:w="1707" w:type="pct"/>
            <w:tcBorders>
              <w:top w:val="single" w:color="000000" w:sz="8" w:space="0"/>
              <w:left w:val="nil"/>
              <w:bottom w:val="single" w:color="000000" w:sz="8" w:space="0"/>
              <w:right w:val="single" w:color="000000" w:sz="8" w:space="0"/>
            </w:tcBorders>
            <w:shd w:val="clear" w:color="auto" w:fill="FFFFFF"/>
            <w:noWrap w:val="0"/>
            <w:vAlign w:val="center"/>
          </w:tcPr>
          <w:p w14:paraId="4F2CCF56">
            <w:pPr>
              <w:ind w:firstLine="0" w:firstLineChars="0"/>
              <w:jc w:val="center"/>
              <w:rPr>
                <w:rFonts w:hint="eastAsia"/>
                <w:color w:val="000000"/>
              </w:rPr>
            </w:pPr>
            <w:r>
              <w:rPr>
                <w:rFonts w:hint="eastAsia"/>
                <w:color w:val="000000"/>
              </w:rPr>
              <w:t>花生</w:t>
            </w:r>
          </w:p>
        </w:tc>
        <w:tc>
          <w:tcPr>
            <w:tcW w:w="10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5224CE9">
            <w:pPr>
              <w:ind w:firstLine="0" w:firstLineChars="0"/>
              <w:jc w:val="center"/>
              <w:rPr>
                <w:rFonts w:hint="eastAsia"/>
                <w:color w:val="000000"/>
              </w:rPr>
            </w:pPr>
            <w:r>
              <w:rPr>
                <w:rFonts w:hint="eastAsia"/>
                <w:color w:val="000000"/>
              </w:rPr>
              <w:t>万吨</w:t>
            </w:r>
          </w:p>
        </w:tc>
        <w:tc>
          <w:tcPr>
            <w:tcW w:w="117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1A6C6AF">
            <w:pPr>
              <w:ind w:firstLine="0" w:firstLineChars="0"/>
              <w:jc w:val="center"/>
              <w:rPr>
                <w:rFonts w:hint="eastAsia"/>
                <w:color w:val="000000"/>
              </w:rPr>
            </w:pPr>
            <w:r>
              <w:rPr>
                <w:rFonts w:hint="eastAsia"/>
                <w:color w:val="000000"/>
              </w:rPr>
              <w:t>2.42</w:t>
            </w:r>
          </w:p>
        </w:tc>
        <w:tc>
          <w:tcPr>
            <w:tcW w:w="1047" w:type="pct"/>
            <w:tcBorders>
              <w:top w:val="single" w:color="000000" w:sz="8" w:space="0"/>
              <w:left w:val="single" w:color="000000" w:sz="8" w:space="0"/>
              <w:bottom w:val="single" w:color="000000" w:sz="8" w:space="0"/>
              <w:right w:val="nil"/>
            </w:tcBorders>
            <w:shd w:val="clear" w:color="auto" w:fill="FFFFFF"/>
            <w:noWrap w:val="0"/>
            <w:vAlign w:val="center"/>
          </w:tcPr>
          <w:p w14:paraId="2E984B7D">
            <w:pPr>
              <w:ind w:firstLine="0" w:firstLineChars="0"/>
              <w:jc w:val="center"/>
              <w:rPr>
                <w:rFonts w:hint="eastAsia"/>
                <w:color w:val="000000"/>
              </w:rPr>
            </w:pPr>
            <w:r>
              <w:rPr>
                <w:rFonts w:hint="eastAsia"/>
                <w:color w:val="000000"/>
              </w:rPr>
              <w:t>2.9</w:t>
            </w:r>
          </w:p>
        </w:tc>
      </w:tr>
      <w:tr w14:paraId="76A012FF">
        <w:tblPrEx>
          <w:tblCellMar>
            <w:top w:w="0" w:type="dxa"/>
            <w:left w:w="108" w:type="dxa"/>
            <w:bottom w:w="0" w:type="dxa"/>
            <w:right w:w="108" w:type="dxa"/>
          </w:tblCellMar>
        </w:tblPrEx>
        <w:trPr>
          <w:trHeight w:val="360" w:hRule="atLeast"/>
          <w:jc w:val="center"/>
        </w:trPr>
        <w:tc>
          <w:tcPr>
            <w:tcW w:w="1707" w:type="pct"/>
            <w:tcBorders>
              <w:top w:val="single" w:color="000000" w:sz="8" w:space="0"/>
              <w:left w:val="nil"/>
              <w:bottom w:val="single" w:color="000000" w:sz="8" w:space="0"/>
              <w:right w:val="single" w:color="000000" w:sz="8" w:space="0"/>
            </w:tcBorders>
            <w:shd w:val="clear" w:color="auto" w:fill="FFFFFF"/>
            <w:noWrap w:val="0"/>
            <w:vAlign w:val="center"/>
          </w:tcPr>
          <w:p w14:paraId="31835189">
            <w:pPr>
              <w:ind w:firstLine="0" w:firstLineChars="0"/>
              <w:jc w:val="center"/>
              <w:rPr>
                <w:rFonts w:hint="eastAsia"/>
                <w:color w:val="000000"/>
              </w:rPr>
            </w:pPr>
            <w:r>
              <w:rPr>
                <w:rFonts w:hint="eastAsia"/>
                <w:color w:val="000000"/>
              </w:rPr>
              <w:t>烟叶</w:t>
            </w:r>
          </w:p>
        </w:tc>
        <w:tc>
          <w:tcPr>
            <w:tcW w:w="10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9309DDD">
            <w:pPr>
              <w:ind w:firstLine="0" w:firstLineChars="0"/>
              <w:jc w:val="center"/>
              <w:rPr>
                <w:rFonts w:hint="eastAsia"/>
                <w:color w:val="000000"/>
              </w:rPr>
            </w:pPr>
            <w:r>
              <w:rPr>
                <w:rFonts w:hint="eastAsia"/>
                <w:color w:val="000000"/>
              </w:rPr>
              <w:t>万吨</w:t>
            </w:r>
          </w:p>
        </w:tc>
        <w:tc>
          <w:tcPr>
            <w:tcW w:w="117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A557317">
            <w:pPr>
              <w:ind w:firstLine="0" w:firstLineChars="0"/>
              <w:jc w:val="center"/>
              <w:rPr>
                <w:rFonts w:hint="eastAsia"/>
                <w:color w:val="000000"/>
              </w:rPr>
            </w:pPr>
            <w:r>
              <w:rPr>
                <w:rFonts w:hint="eastAsia"/>
                <w:color w:val="000000"/>
              </w:rPr>
              <w:t>2.4</w:t>
            </w:r>
          </w:p>
        </w:tc>
        <w:tc>
          <w:tcPr>
            <w:tcW w:w="1047" w:type="pct"/>
            <w:tcBorders>
              <w:top w:val="single" w:color="000000" w:sz="8" w:space="0"/>
              <w:left w:val="single" w:color="000000" w:sz="8" w:space="0"/>
              <w:bottom w:val="single" w:color="000000" w:sz="8" w:space="0"/>
              <w:right w:val="nil"/>
            </w:tcBorders>
            <w:shd w:val="clear" w:color="auto" w:fill="FFFFFF"/>
            <w:noWrap w:val="0"/>
            <w:vAlign w:val="center"/>
          </w:tcPr>
          <w:p w14:paraId="72B87DD9">
            <w:pPr>
              <w:ind w:firstLine="0" w:firstLineChars="0"/>
              <w:jc w:val="center"/>
              <w:rPr>
                <w:rFonts w:hint="eastAsia"/>
                <w:color w:val="000000"/>
              </w:rPr>
            </w:pPr>
            <w:r>
              <w:rPr>
                <w:rFonts w:hint="eastAsia"/>
                <w:color w:val="000000"/>
              </w:rPr>
              <w:t>1.4</w:t>
            </w:r>
          </w:p>
        </w:tc>
      </w:tr>
      <w:tr w14:paraId="786A075E">
        <w:tblPrEx>
          <w:tblCellMar>
            <w:top w:w="0" w:type="dxa"/>
            <w:left w:w="108" w:type="dxa"/>
            <w:bottom w:w="0" w:type="dxa"/>
            <w:right w:w="108" w:type="dxa"/>
          </w:tblCellMar>
        </w:tblPrEx>
        <w:trPr>
          <w:trHeight w:val="360" w:hRule="atLeast"/>
          <w:jc w:val="center"/>
        </w:trPr>
        <w:tc>
          <w:tcPr>
            <w:tcW w:w="1707" w:type="pct"/>
            <w:tcBorders>
              <w:top w:val="single" w:color="000000" w:sz="8" w:space="0"/>
              <w:left w:val="nil"/>
              <w:bottom w:val="single" w:color="000000" w:sz="8" w:space="0"/>
              <w:right w:val="single" w:color="000000" w:sz="8" w:space="0"/>
            </w:tcBorders>
            <w:shd w:val="clear" w:color="auto" w:fill="FFFFFF"/>
            <w:noWrap w:val="0"/>
            <w:vAlign w:val="center"/>
          </w:tcPr>
          <w:p w14:paraId="225081AF">
            <w:pPr>
              <w:ind w:firstLine="0" w:firstLineChars="0"/>
              <w:jc w:val="center"/>
              <w:rPr>
                <w:rFonts w:hint="eastAsia"/>
                <w:color w:val="000000"/>
              </w:rPr>
            </w:pPr>
            <w:r>
              <w:rPr>
                <w:rFonts w:hint="eastAsia"/>
                <w:color w:val="000000"/>
              </w:rPr>
              <w:t>水果</w:t>
            </w:r>
          </w:p>
        </w:tc>
        <w:tc>
          <w:tcPr>
            <w:tcW w:w="10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6BFFFF7">
            <w:pPr>
              <w:ind w:firstLine="0" w:firstLineChars="0"/>
              <w:jc w:val="center"/>
              <w:rPr>
                <w:rFonts w:hint="eastAsia"/>
                <w:color w:val="000000"/>
              </w:rPr>
            </w:pPr>
            <w:r>
              <w:rPr>
                <w:rFonts w:hint="eastAsia"/>
                <w:color w:val="000000"/>
              </w:rPr>
              <w:t>万吨</w:t>
            </w:r>
          </w:p>
        </w:tc>
        <w:tc>
          <w:tcPr>
            <w:tcW w:w="117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96DF56E">
            <w:pPr>
              <w:ind w:firstLine="0" w:firstLineChars="0"/>
              <w:jc w:val="center"/>
              <w:rPr>
                <w:rFonts w:hint="eastAsia"/>
                <w:color w:val="000000"/>
              </w:rPr>
            </w:pPr>
            <w:r>
              <w:rPr>
                <w:rFonts w:hint="eastAsia"/>
                <w:color w:val="000000"/>
              </w:rPr>
              <w:t>2.61</w:t>
            </w:r>
          </w:p>
        </w:tc>
        <w:tc>
          <w:tcPr>
            <w:tcW w:w="1047" w:type="pct"/>
            <w:tcBorders>
              <w:top w:val="single" w:color="000000" w:sz="8" w:space="0"/>
              <w:left w:val="single" w:color="000000" w:sz="8" w:space="0"/>
              <w:bottom w:val="single" w:color="000000" w:sz="8" w:space="0"/>
              <w:right w:val="nil"/>
            </w:tcBorders>
            <w:shd w:val="clear" w:color="auto" w:fill="FFFFFF"/>
            <w:noWrap w:val="0"/>
            <w:vAlign w:val="center"/>
          </w:tcPr>
          <w:p w14:paraId="53660202">
            <w:pPr>
              <w:ind w:firstLine="0" w:firstLineChars="0"/>
              <w:jc w:val="center"/>
              <w:rPr>
                <w:rFonts w:hint="eastAsia"/>
                <w:color w:val="000000"/>
              </w:rPr>
            </w:pPr>
            <w:r>
              <w:rPr>
                <w:rFonts w:hint="eastAsia"/>
                <w:color w:val="000000"/>
              </w:rPr>
              <w:t>15.6</w:t>
            </w:r>
          </w:p>
        </w:tc>
      </w:tr>
      <w:tr w14:paraId="66F15D46">
        <w:tblPrEx>
          <w:tblCellMar>
            <w:top w:w="0" w:type="dxa"/>
            <w:left w:w="108" w:type="dxa"/>
            <w:bottom w:w="0" w:type="dxa"/>
            <w:right w:w="108" w:type="dxa"/>
          </w:tblCellMar>
        </w:tblPrEx>
        <w:trPr>
          <w:trHeight w:val="360" w:hRule="atLeast"/>
          <w:jc w:val="center"/>
        </w:trPr>
        <w:tc>
          <w:tcPr>
            <w:tcW w:w="1707" w:type="pct"/>
            <w:tcBorders>
              <w:top w:val="single" w:color="000000" w:sz="8" w:space="0"/>
              <w:left w:val="nil"/>
              <w:bottom w:val="single" w:color="000000" w:sz="8" w:space="0"/>
              <w:right w:val="single" w:color="000000" w:sz="8" w:space="0"/>
            </w:tcBorders>
            <w:shd w:val="clear" w:color="auto" w:fill="FFFFFF"/>
            <w:noWrap w:val="0"/>
            <w:vAlign w:val="center"/>
          </w:tcPr>
          <w:p w14:paraId="03A13B17">
            <w:pPr>
              <w:ind w:firstLine="0" w:firstLineChars="0"/>
              <w:jc w:val="center"/>
              <w:rPr>
                <w:rFonts w:hint="eastAsia"/>
                <w:color w:val="000000"/>
              </w:rPr>
            </w:pPr>
            <w:r>
              <w:rPr>
                <w:rFonts w:hint="eastAsia"/>
                <w:color w:val="000000"/>
              </w:rPr>
              <w:t>茶叶</w:t>
            </w:r>
          </w:p>
        </w:tc>
        <w:tc>
          <w:tcPr>
            <w:tcW w:w="10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6D6F051">
            <w:pPr>
              <w:ind w:firstLine="0" w:firstLineChars="0"/>
              <w:jc w:val="center"/>
              <w:rPr>
                <w:rFonts w:hint="eastAsia"/>
                <w:color w:val="000000"/>
              </w:rPr>
            </w:pPr>
            <w:r>
              <w:rPr>
                <w:rFonts w:hint="eastAsia"/>
                <w:color w:val="000000"/>
              </w:rPr>
              <w:t>吨</w:t>
            </w:r>
          </w:p>
        </w:tc>
        <w:tc>
          <w:tcPr>
            <w:tcW w:w="117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7BE350C">
            <w:pPr>
              <w:ind w:firstLine="0" w:firstLineChars="0"/>
              <w:jc w:val="center"/>
              <w:rPr>
                <w:rFonts w:hint="eastAsia"/>
                <w:color w:val="000000"/>
              </w:rPr>
            </w:pPr>
            <w:r>
              <w:rPr>
                <w:rFonts w:hint="eastAsia"/>
                <w:color w:val="000000"/>
              </w:rPr>
              <w:t>80</w:t>
            </w:r>
          </w:p>
        </w:tc>
        <w:tc>
          <w:tcPr>
            <w:tcW w:w="1047" w:type="pct"/>
            <w:tcBorders>
              <w:top w:val="single" w:color="000000" w:sz="8" w:space="0"/>
              <w:left w:val="single" w:color="000000" w:sz="8" w:space="0"/>
              <w:bottom w:val="single" w:color="000000" w:sz="8" w:space="0"/>
              <w:right w:val="nil"/>
            </w:tcBorders>
            <w:shd w:val="clear" w:color="auto" w:fill="FFFFFF"/>
            <w:noWrap w:val="0"/>
            <w:vAlign w:val="center"/>
          </w:tcPr>
          <w:p w14:paraId="797B9648">
            <w:pPr>
              <w:ind w:firstLine="0" w:firstLineChars="0"/>
              <w:jc w:val="center"/>
              <w:rPr>
                <w:rFonts w:hint="eastAsia"/>
                <w:color w:val="000000"/>
              </w:rPr>
            </w:pPr>
            <w:r>
              <w:rPr>
                <w:rFonts w:hint="eastAsia"/>
                <w:color w:val="000000"/>
              </w:rPr>
              <w:t>5.3</w:t>
            </w:r>
          </w:p>
        </w:tc>
      </w:tr>
      <w:tr w14:paraId="0B3D9518">
        <w:tblPrEx>
          <w:tblCellMar>
            <w:top w:w="0" w:type="dxa"/>
            <w:left w:w="108" w:type="dxa"/>
            <w:bottom w:w="0" w:type="dxa"/>
            <w:right w:w="108" w:type="dxa"/>
          </w:tblCellMar>
        </w:tblPrEx>
        <w:trPr>
          <w:trHeight w:val="360" w:hRule="atLeast"/>
          <w:jc w:val="center"/>
        </w:trPr>
        <w:tc>
          <w:tcPr>
            <w:tcW w:w="1707" w:type="pct"/>
            <w:tcBorders>
              <w:top w:val="single" w:color="000000" w:sz="8" w:space="0"/>
              <w:left w:val="nil"/>
              <w:bottom w:val="single" w:color="000000" w:sz="8" w:space="0"/>
              <w:right w:val="single" w:color="000000" w:sz="8" w:space="0"/>
            </w:tcBorders>
            <w:shd w:val="clear" w:color="auto" w:fill="FFFFFF"/>
            <w:noWrap w:val="0"/>
            <w:vAlign w:val="center"/>
          </w:tcPr>
          <w:p w14:paraId="62210E96">
            <w:pPr>
              <w:ind w:firstLine="0" w:firstLineChars="0"/>
              <w:jc w:val="center"/>
              <w:rPr>
                <w:rFonts w:hint="eastAsia"/>
                <w:color w:val="000000"/>
              </w:rPr>
            </w:pPr>
            <w:r>
              <w:rPr>
                <w:rFonts w:hint="eastAsia"/>
                <w:color w:val="000000"/>
              </w:rPr>
              <w:t>肉类</w:t>
            </w:r>
          </w:p>
        </w:tc>
        <w:tc>
          <w:tcPr>
            <w:tcW w:w="10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D042DD2">
            <w:pPr>
              <w:ind w:firstLine="0" w:firstLineChars="0"/>
              <w:jc w:val="center"/>
              <w:rPr>
                <w:rFonts w:hint="eastAsia"/>
                <w:color w:val="000000"/>
              </w:rPr>
            </w:pPr>
            <w:r>
              <w:rPr>
                <w:rFonts w:hint="eastAsia"/>
                <w:color w:val="000000"/>
              </w:rPr>
              <w:t>万吨</w:t>
            </w:r>
          </w:p>
        </w:tc>
        <w:tc>
          <w:tcPr>
            <w:tcW w:w="117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B3C36DF">
            <w:pPr>
              <w:ind w:firstLine="0" w:firstLineChars="0"/>
              <w:jc w:val="center"/>
              <w:rPr>
                <w:rFonts w:hint="eastAsia"/>
                <w:color w:val="000000"/>
              </w:rPr>
            </w:pPr>
            <w:r>
              <w:rPr>
                <w:rFonts w:hint="eastAsia"/>
                <w:color w:val="000000"/>
              </w:rPr>
              <w:t>3.76</w:t>
            </w:r>
          </w:p>
        </w:tc>
        <w:tc>
          <w:tcPr>
            <w:tcW w:w="1047" w:type="pct"/>
            <w:tcBorders>
              <w:top w:val="single" w:color="000000" w:sz="8" w:space="0"/>
              <w:left w:val="single" w:color="000000" w:sz="8" w:space="0"/>
              <w:bottom w:val="single" w:color="000000" w:sz="8" w:space="0"/>
              <w:right w:val="nil"/>
            </w:tcBorders>
            <w:shd w:val="clear" w:color="auto" w:fill="FFFFFF"/>
            <w:noWrap w:val="0"/>
            <w:vAlign w:val="center"/>
          </w:tcPr>
          <w:p w14:paraId="2C262379">
            <w:pPr>
              <w:ind w:firstLine="0" w:firstLineChars="0"/>
              <w:jc w:val="center"/>
              <w:rPr>
                <w:rFonts w:hint="eastAsia"/>
                <w:color w:val="000000"/>
              </w:rPr>
            </w:pPr>
            <w:r>
              <w:rPr>
                <w:rFonts w:hint="eastAsia"/>
                <w:color w:val="000000"/>
              </w:rPr>
              <w:t>5.4</w:t>
            </w:r>
          </w:p>
        </w:tc>
      </w:tr>
      <w:tr w14:paraId="6CBD3C07">
        <w:tblPrEx>
          <w:tblCellMar>
            <w:top w:w="0" w:type="dxa"/>
            <w:left w:w="108" w:type="dxa"/>
            <w:bottom w:w="0" w:type="dxa"/>
            <w:right w:w="108" w:type="dxa"/>
          </w:tblCellMar>
        </w:tblPrEx>
        <w:trPr>
          <w:trHeight w:val="360" w:hRule="atLeast"/>
          <w:jc w:val="center"/>
        </w:trPr>
        <w:tc>
          <w:tcPr>
            <w:tcW w:w="1707" w:type="pct"/>
            <w:tcBorders>
              <w:top w:val="single" w:color="000000" w:sz="8" w:space="0"/>
              <w:left w:val="nil"/>
              <w:bottom w:val="single" w:color="000000" w:sz="8" w:space="0"/>
              <w:right w:val="single" w:color="000000" w:sz="8" w:space="0"/>
            </w:tcBorders>
            <w:shd w:val="clear" w:color="auto" w:fill="FFFFFF"/>
            <w:noWrap w:val="0"/>
            <w:vAlign w:val="center"/>
          </w:tcPr>
          <w:p w14:paraId="529C535B">
            <w:pPr>
              <w:ind w:firstLine="0" w:firstLineChars="0"/>
              <w:jc w:val="center"/>
              <w:rPr>
                <w:rFonts w:hint="eastAsia"/>
                <w:color w:val="000000"/>
              </w:rPr>
            </w:pPr>
            <w:r>
              <w:rPr>
                <w:rFonts w:hint="eastAsia"/>
                <w:color w:val="000000"/>
              </w:rPr>
              <w:t>其中：猪肉</w:t>
            </w:r>
          </w:p>
        </w:tc>
        <w:tc>
          <w:tcPr>
            <w:tcW w:w="10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EAC6B9A">
            <w:pPr>
              <w:ind w:firstLine="0" w:firstLineChars="0"/>
              <w:jc w:val="center"/>
              <w:rPr>
                <w:rFonts w:hint="eastAsia"/>
                <w:color w:val="000000"/>
              </w:rPr>
            </w:pPr>
            <w:r>
              <w:rPr>
                <w:rFonts w:hint="eastAsia"/>
                <w:color w:val="000000"/>
              </w:rPr>
              <w:t>万吨</w:t>
            </w:r>
          </w:p>
        </w:tc>
        <w:tc>
          <w:tcPr>
            <w:tcW w:w="117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2911C56">
            <w:pPr>
              <w:ind w:firstLine="0" w:firstLineChars="0"/>
              <w:jc w:val="center"/>
              <w:rPr>
                <w:rFonts w:hint="eastAsia"/>
                <w:color w:val="000000"/>
              </w:rPr>
            </w:pPr>
            <w:r>
              <w:rPr>
                <w:rFonts w:hint="eastAsia"/>
                <w:color w:val="000000"/>
              </w:rPr>
              <w:t>2.83</w:t>
            </w:r>
          </w:p>
        </w:tc>
        <w:tc>
          <w:tcPr>
            <w:tcW w:w="1047" w:type="pct"/>
            <w:tcBorders>
              <w:top w:val="single" w:color="000000" w:sz="8" w:space="0"/>
              <w:left w:val="single" w:color="000000" w:sz="8" w:space="0"/>
              <w:bottom w:val="single" w:color="000000" w:sz="8" w:space="0"/>
              <w:right w:val="nil"/>
            </w:tcBorders>
            <w:shd w:val="clear" w:color="auto" w:fill="FFFFFF"/>
            <w:noWrap w:val="0"/>
            <w:vAlign w:val="center"/>
          </w:tcPr>
          <w:p w14:paraId="45F8A9E5">
            <w:pPr>
              <w:ind w:firstLine="0" w:firstLineChars="0"/>
              <w:jc w:val="center"/>
              <w:rPr>
                <w:rFonts w:hint="eastAsia"/>
                <w:color w:val="000000"/>
              </w:rPr>
            </w:pPr>
            <w:r>
              <w:rPr>
                <w:rFonts w:hint="eastAsia"/>
                <w:color w:val="000000"/>
              </w:rPr>
              <w:t>5.7</w:t>
            </w:r>
          </w:p>
        </w:tc>
      </w:tr>
      <w:tr w14:paraId="2030A9AF">
        <w:tblPrEx>
          <w:tblCellMar>
            <w:top w:w="0" w:type="dxa"/>
            <w:left w:w="108" w:type="dxa"/>
            <w:bottom w:w="0" w:type="dxa"/>
            <w:right w:w="108" w:type="dxa"/>
          </w:tblCellMar>
        </w:tblPrEx>
        <w:trPr>
          <w:trHeight w:val="360" w:hRule="atLeast"/>
          <w:jc w:val="center"/>
        </w:trPr>
        <w:tc>
          <w:tcPr>
            <w:tcW w:w="1707" w:type="pct"/>
            <w:tcBorders>
              <w:top w:val="single" w:color="000000" w:sz="8" w:space="0"/>
              <w:left w:val="nil"/>
              <w:bottom w:val="single" w:color="000000" w:sz="8" w:space="0"/>
              <w:right w:val="single" w:color="000000" w:sz="8" w:space="0"/>
            </w:tcBorders>
            <w:shd w:val="clear" w:color="auto" w:fill="FFFFFF"/>
            <w:noWrap w:val="0"/>
            <w:vAlign w:val="center"/>
          </w:tcPr>
          <w:p w14:paraId="5E8E0BAF">
            <w:pPr>
              <w:ind w:firstLine="0" w:firstLineChars="0"/>
              <w:jc w:val="center"/>
              <w:rPr>
                <w:rFonts w:hint="eastAsia"/>
                <w:color w:val="000000"/>
              </w:rPr>
            </w:pPr>
            <w:r>
              <w:rPr>
                <w:rFonts w:hint="eastAsia"/>
                <w:color w:val="000000"/>
              </w:rPr>
              <w:t>水产品</w:t>
            </w:r>
          </w:p>
        </w:tc>
        <w:tc>
          <w:tcPr>
            <w:tcW w:w="10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B4BF517">
            <w:pPr>
              <w:ind w:firstLine="0" w:firstLineChars="0"/>
              <w:jc w:val="center"/>
              <w:rPr>
                <w:rFonts w:hint="eastAsia"/>
                <w:color w:val="000000"/>
              </w:rPr>
            </w:pPr>
            <w:r>
              <w:rPr>
                <w:rFonts w:hint="eastAsia"/>
                <w:color w:val="000000"/>
              </w:rPr>
              <w:t>万吨</w:t>
            </w:r>
          </w:p>
        </w:tc>
        <w:tc>
          <w:tcPr>
            <w:tcW w:w="117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CC3001A">
            <w:pPr>
              <w:ind w:firstLine="0" w:firstLineChars="0"/>
              <w:jc w:val="center"/>
              <w:rPr>
                <w:rFonts w:hint="eastAsia"/>
                <w:color w:val="000000"/>
              </w:rPr>
            </w:pPr>
            <w:r>
              <w:rPr>
                <w:rFonts w:hint="eastAsia"/>
                <w:color w:val="000000"/>
              </w:rPr>
              <w:t>1.58</w:t>
            </w:r>
          </w:p>
        </w:tc>
        <w:tc>
          <w:tcPr>
            <w:tcW w:w="1047" w:type="pct"/>
            <w:tcBorders>
              <w:top w:val="single" w:color="000000" w:sz="8" w:space="0"/>
              <w:left w:val="single" w:color="000000" w:sz="8" w:space="0"/>
              <w:bottom w:val="single" w:color="000000" w:sz="8" w:space="0"/>
              <w:right w:val="nil"/>
            </w:tcBorders>
            <w:shd w:val="clear" w:color="auto" w:fill="FFFFFF"/>
            <w:noWrap w:val="0"/>
            <w:vAlign w:val="center"/>
          </w:tcPr>
          <w:p w14:paraId="3B5E54FF">
            <w:pPr>
              <w:ind w:firstLine="0" w:firstLineChars="0"/>
              <w:jc w:val="center"/>
              <w:rPr>
                <w:rFonts w:hint="eastAsia"/>
                <w:color w:val="000000"/>
              </w:rPr>
            </w:pPr>
            <w:r>
              <w:rPr>
                <w:rFonts w:hint="eastAsia"/>
                <w:color w:val="000000"/>
              </w:rPr>
              <w:t>4.3</w:t>
            </w:r>
          </w:p>
        </w:tc>
      </w:tr>
    </w:tbl>
    <w:p w14:paraId="6438945B">
      <w:r>
        <w:rPr>
          <w:rFonts w:hint="eastAsia"/>
        </w:rPr>
        <w:t>年末农业机械总动力</w:t>
      </w:r>
      <w:r>
        <w:t>28.94万千瓦，增长1.5%；农村用电量0.44亿千瓦时，增长18.3%；</w:t>
      </w:r>
      <w:r>
        <w:rPr>
          <w:rFonts w:hint="eastAsia"/>
        </w:rPr>
        <w:t>化肥施用量（折纯）</w:t>
      </w:r>
      <w:r>
        <w:t>1.86万吨，增长1.7%。</w:t>
      </w:r>
    </w:p>
    <w:p w14:paraId="30B68E65">
      <w:pPr>
        <w:rPr>
          <w:rFonts w:hint="eastAsia"/>
          <w:b/>
          <w:bCs/>
        </w:rPr>
      </w:pPr>
      <w:r>
        <w:rPr>
          <w:rFonts w:hint="eastAsia"/>
          <w:b/>
          <w:bCs/>
          <w:lang w:val="en-US" w:eastAsia="zh-CN"/>
        </w:rPr>
        <w:t>三、</w:t>
      </w:r>
      <w:r>
        <w:rPr>
          <w:rFonts w:hint="eastAsia"/>
          <w:b/>
          <w:bCs/>
        </w:rPr>
        <w:t>工业和建筑业</w:t>
      </w:r>
    </w:p>
    <w:p w14:paraId="685E57DE">
      <w:r>
        <w:rPr>
          <w:rFonts w:hint="eastAsia"/>
        </w:rPr>
        <w:t>工业经济实现较快增长。全市完成工业总产值</w:t>
      </w:r>
      <w:r>
        <w:t>109.2亿元、增长28.9%；实现工业增加值28.6亿</w:t>
      </w:r>
      <w:r>
        <w:rPr>
          <w:rFonts w:hint="eastAsia"/>
        </w:rPr>
        <w:t>元、增长</w:t>
      </w:r>
      <w:r>
        <w:t>25.9%，其中规模以上工业实现增加值24.5亿元、增长29.6%。新增规上企业9家，总数</w:t>
      </w:r>
      <w:r>
        <w:rPr>
          <w:rFonts w:hint="eastAsia"/>
        </w:rPr>
        <w:t>达到</w:t>
      </w:r>
      <w:r>
        <w:t>81家。在规模以上工业中，国有工业总产值2.8亿元，下降16.9%。股份制工业82亿元，增长45%；其他经济类型工业6.23亿元，增长26.7%；</w:t>
      </w:r>
      <w:r>
        <w:rPr>
          <w:rFonts w:hint="eastAsia"/>
        </w:rPr>
        <w:t>外商及港澳台工业</w:t>
      </w:r>
      <w:r>
        <w:t>3.59亿元，增长28.6%。园区</w:t>
      </w:r>
      <w:r>
        <w:rPr>
          <w:rFonts w:hint="eastAsia"/>
        </w:rPr>
        <w:t>已经成为我市工业经济支柱，有</w:t>
      </w:r>
      <w:r>
        <w:t>66家企业投（试）</w:t>
      </w:r>
      <w:r>
        <w:rPr>
          <w:rFonts w:hint="eastAsia"/>
          <w:lang w:eastAsia="zh-CN"/>
        </w:rPr>
        <w:t>产</w:t>
      </w:r>
      <w:r>
        <w:rPr>
          <w:rFonts w:hint="eastAsia"/>
        </w:rPr>
        <w:t>，完成工业产值</w:t>
      </w:r>
      <w:r>
        <w:t>70.4亿元、增长49.6%，实现</w:t>
      </w:r>
      <w:r>
        <w:rPr>
          <w:rFonts w:hint="eastAsia"/>
        </w:rPr>
        <w:t>工业增加值</w:t>
      </w:r>
      <w:r>
        <w:t>18亿元、增长50%，占全市工业总产</w:t>
      </w:r>
      <w:r>
        <w:rPr>
          <w:rFonts w:hint="eastAsia"/>
        </w:rPr>
        <w:t>值和增加值的比重分别为</w:t>
      </w:r>
      <w:r>
        <w:t>64.5%和62.9%。</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BE2DE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5FE464C">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2995" cy="3880485"/>
                  <wp:effectExtent l="0" t="0" r="8255" b="5715"/>
                  <wp:docPr id="64" name="图片 6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5"/>
                          <pic:cNvPicPr>
                            <a:picLocks noChangeAspect="1"/>
                          </pic:cNvPicPr>
                        </pic:nvPicPr>
                        <pic:blipFill>
                          <a:blip r:embed="rId134"/>
                          <a:stretch>
                            <a:fillRect/>
                          </a:stretch>
                        </pic:blipFill>
                        <pic:spPr>
                          <a:xfrm>
                            <a:off x="0" y="0"/>
                            <a:ext cx="6182995" cy="3880485"/>
                          </a:xfrm>
                          <a:prstGeom prst="rect">
                            <a:avLst/>
                          </a:prstGeom>
                        </pic:spPr>
                      </pic:pic>
                    </a:graphicData>
                  </a:graphic>
                </wp:inline>
              </w:drawing>
            </w:r>
          </w:p>
        </w:tc>
      </w:tr>
    </w:tbl>
    <w:p w14:paraId="52B17B7F">
      <w:pPr>
        <w:pStyle w:val="10"/>
        <w:bidi w:val="0"/>
        <w:jc w:val="center"/>
        <w:rPr>
          <w:rFonts w:hint="eastAsia"/>
          <w:b/>
          <w:bCs/>
        </w:rPr>
      </w:pPr>
      <w:r>
        <w:rPr>
          <w:rFonts w:hint="eastAsia"/>
          <w:b/>
          <w:bCs/>
        </w:rPr>
        <w:t>图5  2009-2013年工业增加值及其增长速度</w:t>
      </w:r>
    </w:p>
    <w:p w14:paraId="11500DA4">
      <w:pPr>
        <w:pStyle w:val="10"/>
        <w:bidi w:val="0"/>
        <w:jc w:val="center"/>
        <w:rPr>
          <w:rFonts w:hint="eastAsia"/>
          <w:b/>
          <w:bCs/>
        </w:rPr>
      </w:pPr>
      <w:r>
        <w:rPr>
          <w:rFonts w:hint="eastAsia"/>
          <w:b/>
          <w:bCs/>
        </w:rPr>
        <w:t>2013年规模以上工业主要产品产量</w:t>
      </w:r>
    </w:p>
    <w:p w14:paraId="53F14939">
      <w:pPr>
        <w:bidi w:val="0"/>
        <w:rPr>
          <w:rFonts w:hint="default" w:eastAsia="宋体"/>
          <w:lang w:val="en-US" w:eastAsia="zh-CN"/>
        </w:rPr>
      </w:pPr>
      <w:r>
        <w:rPr>
          <w:rFonts w:hint="eastAsia"/>
          <w:lang w:val="en-US" w:eastAsia="zh-CN"/>
        </w:rPr>
        <w:t>表43</w:t>
      </w:r>
    </w:p>
    <w:p w14:paraId="492EE6D1">
      <w:pPr>
        <w:bidi w:val="0"/>
        <w:jc w:val="right"/>
        <w:rPr>
          <w:rFonts w:hint="eastAsia"/>
        </w:rPr>
      </w:pPr>
      <w:r>
        <w:rPr>
          <w:rFonts w:hint="eastAsia"/>
        </w:rPr>
        <w:t>单位：万吨</w:t>
      </w:r>
    </w:p>
    <w:tbl>
      <w:tblPr>
        <w:tblStyle w:val="7"/>
        <w:tblW w:w="4999" w:type="pct"/>
        <w:jc w:val="center"/>
        <w:tblLayout w:type="autofit"/>
        <w:tblCellMar>
          <w:top w:w="0" w:type="dxa"/>
          <w:left w:w="108" w:type="dxa"/>
          <w:bottom w:w="0" w:type="dxa"/>
          <w:right w:w="108" w:type="dxa"/>
        </w:tblCellMar>
      </w:tblPr>
      <w:tblGrid>
        <w:gridCol w:w="3978"/>
        <w:gridCol w:w="2138"/>
        <w:gridCol w:w="1750"/>
        <w:gridCol w:w="2094"/>
      </w:tblGrid>
      <w:tr w14:paraId="586A816B">
        <w:tblPrEx>
          <w:tblCellMar>
            <w:top w:w="0" w:type="dxa"/>
            <w:left w:w="108" w:type="dxa"/>
            <w:bottom w:w="0" w:type="dxa"/>
            <w:right w:w="108" w:type="dxa"/>
          </w:tblCellMar>
        </w:tblPrEx>
        <w:trPr>
          <w:trHeight w:val="360" w:hRule="atLeast"/>
          <w:jc w:val="center"/>
        </w:trPr>
        <w:tc>
          <w:tcPr>
            <w:tcW w:w="1996" w:type="pct"/>
            <w:tcBorders>
              <w:top w:val="single" w:color="000000" w:sz="8" w:space="0"/>
              <w:left w:val="nil"/>
              <w:bottom w:val="single" w:color="000000" w:sz="8" w:space="0"/>
              <w:right w:val="single" w:color="000000" w:sz="8" w:space="0"/>
            </w:tcBorders>
            <w:shd w:val="clear" w:color="auto" w:fill="FFFFFF"/>
            <w:noWrap w:val="0"/>
            <w:vAlign w:val="center"/>
          </w:tcPr>
          <w:p w14:paraId="5728EC06">
            <w:pPr>
              <w:pStyle w:val="10"/>
              <w:bidi w:val="0"/>
              <w:jc w:val="center"/>
              <w:rPr>
                <w:rFonts w:hint="eastAsia"/>
                <w:b/>
                <w:bCs/>
                <w:color w:val="000000"/>
              </w:rPr>
            </w:pPr>
            <w:r>
              <w:rPr>
                <w:rFonts w:hint="eastAsia"/>
                <w:b/>
                <w:bCs/>
                <w:color w:val="000000"/>
              </w:rPr>
              <w:t>产品名称</w:t>
            </w:r>
          </w:p>
        </w:tc>
        <w:tc>
          <w:tcPr>
            <w:tcW w:w="107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E9772B8">
            <w:pPr>
              <w:pStyle w:val="10"/>
              <w:bidi w:val="0"/>
              <w:jc w:val="center"/>
              <w:rPr>
                <w:rFonts w:hint="eastAsia"/>
                <w:b/>
                <w:bCs/>
                <w:color w:val="000000"/>
              </w:rPr>
            </w:pPr>
            <w:r>
              <w:rPr>
                <w:rFonts w:hint="eastAsia"/>
                <w:b/>
                <w:bCs/>
                <w:color w:val="000000"/>
              </w:rPr>
              <w:t>计量单位</w:t>
            </w:r>
          </w:p>
        </w:tc>
        <w:tc>
          <w:tcPr>
            <w:tcW w:w="8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33A1F55">
            <w:pPr>
              <w:pStyle w:val="10"/>
              <w:bidi w:val="0"/>
              <w:jc w:val="center"/>
              <w:rPr>
                <w:rFonts w:hint="eastAsia"/>
                <w:b/>
                <w:bCs/>
                <w:color w:val="000000"/>
              </w:rPr>
            </w:pPr>
            <w:r>
              <w:rPr>
                <w:rFonts w:hint="eastAsia"/>
                <w:b/>
                <w:bCs/>
                <w:color w:val="000000"/>
              </w:rPr>
              <w:t>产量</w:t>
            </w:r>
          </w:p>
        </w:tc>
        <w:tc>
          <w:tcPr>
            <w:tcW w:w="1051" w:type="pct"/>
            <w:tcBorders>
              <w:top w:val="single" w:color="000000" w:sz="8" w:space="0"/>
              <w:left w:val="single" w:color="000000" w:sz="8" w:space="0"/>
              <w:bottom w:val="single" w:color="000000" w:sz="8" w:space="0"/>
              <w:right w:val="nil"/>
            </w:tcBorders>
            <w:shd w:val="clear" w:color="auto" w:fill="FFFFFF"/>
            <w:noWrap w:val="0"/>
            <w:vAlign w:val="center"/>
          </w:tcPr>
          <w:p w14:paraId="43F071F0">
            <w:pPr>
              <w:pStyle w:val="10"/>
              <w:bidi w:val="0"/>
              <w:jc w:val="center"/>
              <w:rPr>
                <w:rFonts w:hint="eastAsia"/>
                <w:b/>
                <w:bCs/>
                <w:color w:val="000000"/>
              </w:rPr>
            </w:pPr>
            <w:r>
              <w:rPr>
                <w:rFonts w:hint="eastAsia"/>
                <w:b/>
                <w:bCs/>
                <w:color w:val="000000"/>
              </w:rPr>
              <w:t>比上年±%</w:t>
            </w:r>
          </w:p>
        </w:tc>
      </w:tr>
      <w:tr w14:paraId="413E894C">
        <w:tblPrEx>
          <w:tblCellMar>
            <w:top w:w="0" w:type="dxa"/>
            <w:left w:w="108" w:type="dxa"/>
            <w:bottom w:w="0" w:type="dxa"/>
            <w:right w:w="108" w:type="dxa"/>
          </w:tblCellMar>
        </w:tblPrEx>
        <w:trPr>
          <w:trHeight w:val="500" w:hRule="atLeast"/>
          <w:jc w:val="center"/>
        </w:trPr>
        <w:tc>
          <w:tcPr>
            <w:tcW w:w="1996" w:type="pct"/>
            <w:tcBorders>
              <w:top w:val="single" w:color="000000" w:sz="8" w:space="0"/>
              <w:left w:val="nil"/>
              <w:bottom w:val="single" w:color="000000" w:sz="8" w:space="0"/>
              <w:right w:val="single" w:color="000000" w:sz="8" w:space="0"/>
            </w:tcBorders>
            <w:shd w:val="clear" w:color="auto" w:fill="FFFFFF"/>
            <w:noWrap w:val="0"/>
            <w:vAlign w:val="center"/>
          </w:tcPr>
          <w:p w14:paraId="16884B83">
            <w:pPr>
              <w:pStyle w:val="10"/>
              <w:bidi w:val="0"/>
              <w:jc w:val="center"/>
              <w:rPr>
                <w:rFonts w:hint="eastAsia"/>
                <w:color w:val="000000"/>
              </w:rPr>
            </w:pPr>
            <w:r>
              <w:rPr>
                <w:rFonts w:hint="eastAsia"/>
                <w:color w:val="000000"/>
              </w:rPr>
              <w:t>钨精矿折含量</w:t>
            </w:r>
          </w:p>
        </w:tc>
        <w:tc>
          <w:tcPr>
            <w:tcW w:w="107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E1EC1FD">
            <w:pPr>
              <w:pStyle w:val="10"/>
              <w:bidi w:val="0"/>
              <w:jc w:val="center"/>
              <w:rPr>
                <w:rFonts w:hint="eastAsia"/>
                <w:color w:val="000000"/>
              </w:rPr>
            </w:pPr>
            <w:r>
              <w:rPr>
                <w:rFonts w:hint="eastAsia"/>
                <w:color w:val="000000"/>
              </w:rPr>
              <w:t>吨</w:t>
            </w:r>
          </w:p>
        </w:tc>
        <w:tc>
          <w:tcPr>
            <w:tcW w:w="8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EF7AB21">
            <w:pPr>
              <w:pStyle w:val="10"/>
              <w:bidi w:val="0"/>
              <w:jc w:val="center"/>
              <w:rPr>
                <w:rFonts w:hint="eastAsia"/>
                <w:color w:val="000000"/>
              </w:rPr>
            </w:pPr>
            <w:r>
              <w:rPr>
                <w:rFonts w:hint="eastAsia"/>
                <w:color w:val="000000"/>
              </w:rPr>
              <w:t>211.24</w:t>
            </w:r>
          </w:p>
        </w:tc>
        <w:tc>
          <w:tcPr>
            <w:tcW w:w="1051" w:type="pct"/>
            <w:tcBorders>
              <w:top w:val="single" w:color="000000" w:sz="8" w:space="0"/>
              <w:left w:val="single" w:color="000000" w:sz="8" w:space="0"/>
              <w:bottom w:val="single" w:color="000000" w:sz="8" w:space="0"/>
              <w:right w:val="nil"/>
            </w:tcBorders>
            <w:shd w:val="clear" w:color="auto" w:fill="FFFFFF"/>
            <w:noWrap w:val="0"/>
            <w:vAlign w:val="center"/>
          </w:tcPr>
          <w:p w14:paraId="39AA31DF">
            <w:pPr>
              <w:pStyle w:val="10"/>
              <w:bidi w:val="0"/>
              <w:jc w:val="center"/>
              <w:rPr>
                <w:rFonts w:hint="eastAsia"/>
                <w:color w:val="000000"/>
              </w:rPr>
            </w:pPr>
            <w:r>
              <w:rPr>
                <w:rFonts w:hint="eastAsia"/>
                <w:color w:val="000000"/>
              </w:rPr>
              <w:t>-9.0</w:t>
            </w:r>
          </w:p>
        </w:tc>
      </w:tr>
      <w:tr w14:paraId="6C5E556E">
        <w:tblPrEx>
          <w:tblCellMar>
            <w:top w:w="0" w:type="dxa"/>
            <w:left w:w="108" w:type="dxa"/>
            <w:bottom w:w="0" w:type="dxa"/>
            <w:right w:w="108" w:type="dxa"/>
          </w:tblCellMar>
        </w:tblPrEx>
        <w:trPr>
          <w:trHeight w:val="360" w:hRule="atLeast"/>
          <w:jc w:val="center"/>
        </w:trPr>
        <w:tc>
          <w:tcPr>
            <w:tcW w:w="1996" w:type="pct"/>
            <w:tcBorders>
              <w:top w:val="single" w:color="000000" w:sz="8" w:space="0"/>
              <w:left w:val="nil"/>
              <w:bottom w:val="single" w:color="000000" w:sz="8" w:space="0"/>
              <w:right w:val="single" w:color="000000" w:sz="8" w:space="0"/>
            </w:tcBorders>
            <w:shd w:val="clear" w:color="auto" w:fill="FFFFFF"/>
            <w:noWrap w:val="0"/>
            <w:vAlign w:val="center"/>
          </w:tcPr>
          <w:p w14:paraId="571134C8">
            <w:pPr>
              <w:pStyle w:val="10"/>
              <w:bidi w:val="0"/>
              <w:jc w:val="center"/>
              <w:rPr>
                <w:rFonts w:hint="eastAsia"/>
                <w:color w:val="000000"/>
              </w:rPr>
            </w:pPr>
            <w:r>
              <w:rPr>
                <w:rFonts w:hint="eastAsia"/>
                <w:color w:val="000000"/>
              </w:rPr>
              <w:t>钼精矿折含量</w:t>
            </w:r>
          </w:p>
        </w:tc>
        <w:tc>
          <w:tcPr>
            <w:tcW w:w="107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7FD2797">
            <w:pPr>
              <w:pStyle w:val="10"/>
              <w:bidi w:val="0"/>
              <w:jc w:val="center"/>
              <w:rPr>
                <w:rFonts w:hint="eastAsia"/>
                <w:color w:val="000000"/>
              </w:rPr>
            </w:pPr>
            <w:r>
              <w:rPr>
                <w:rFonts w:hint="eastAsia"/>
                <w:color w:val="000000"/>
              </w:rPr>
              <w:t>吨</w:t>
            </w:r>
          </w:p>
        </w:tc>
        <w:tc>
          <w:tcPr>
            <w:tcW w:w="8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1007150">
            <w:pPr>
              <w:pStyle w:val="10"/>
              <w:bidi w:val="0"/>
              <w:jc w:val="center"/>
              <w:rPr>
                <w:rFonts w:hint="eastAsia"/>
                <w:color w:val="000000"/>
              </w:rPr>
            </w:pPr>
            <w:r>
              <w:rPr>
                <w:rFonts w:hint="eastAsia"/>
                <w:color w:val="000000"/>
              </w:rPr>
              <w:t>105.89</w:t>
            </w:r>
          </w:p>
        </w:tc>
        <w:tc>
          <w:tcPr>
            <w:tcW w:w="1051" w:type="pct"/>
            <w:tcBorders>
              <w:top w:val="single" w:color="000000" w:sz="8" w:space="0"/>
              <w:left w:val="single" w:color="000000" w:sz="8" w:space="0"/>
              <w:bottom w:val="single" w:color="000000" w:sz="8" w:space="0"/>
              <w:right w:val="nil"/>
            </w:tcBorders>
            <w:shd w:val="clear" w:color="auto" w:fill="FFFFFF"/>
            <w:noWrap w:val="0"/>
            <w:vAlign w:val="center"/>
          </w:tcPr>
          <w:p w14:paraId="0D156B77">
            <w:pPr>
              <w:pStyle w:val="10"/>
              <w:bidi w:val="0"/>
              <w:jc w:val="center"/>
              <w:rPr>
                <w:rFonts w:hint="eastAsia"/>
                <w:color w:val="000000"/>
              </w:rPr>
            </w:pPr>
            <w:r>
              <w:rPr>
                <w:rFonts w:hint="eastAsia"/>
                <w:color w:val="000000"/>
              </w:rPr>
              <w:t>-31.3</w:t>
            </w:r>
          </w:p>
        </w:tc>
      </w:tr>
      <w:tr w14:paraId="571E0460">
        <w:tblPrEx>
          <w:tblCellMar>
            <w:top w:w="0" w:type="dxa"/>
            <w:left w:w="108" w:type="dxa"/>
            <w:bottom w:w="0" w:type="dxa"/>
            <w:right w:w="108" w:type="dxa"/>
          </w:tblCellMar>
        </w:tblPrEx>
        <w:trPr>
          <w:trHeight w:val="360" w:hRule="atLeast"/>
          <w:jc w:val="center"/>
        </w:trPr>
        <w:tc>
          <w:tcPr>
            <w:tcW w:w="1996" w:type="pct"/>
            <w:tcBorders>
              <w:top w:val="single" w:color="000000" w:sz="8" w:space="0"/>
              <w:left w:val="nil"/>
              <w:bottom w:val="single" w:color="000000" w:sz="8" w:space="0"/>
              <w:right w:val="single" w:color="000000" w:sz="8" w:space="0"/>
            </w:tcBorders>
            <w:shd w:val="clear" w:color="auto" w:fill="FFFFFF"/>
            <w:noWrap w:val="0"/>
            <w:vAlign w:val="center"/>
          </w:tcPr>
          <w:p w14:paraId="20F26A32">
            <w:pPr>
              <w:pStyle w:val="10"/>
              <w:bidi w:val="0"/>
              <w:jc w:val="center"/>
              <w:rPr>
                <w:rFonts w:hint="eastAsia"/>
                <w:color w:val="000000"/>
              </w:rPr>
            </w:pPr>
            <w:r>
              <w:rPr>
                <w:rFonts w:hint="eastAsia"/>
                <w:color w:val="000000"/>
              </w:rPr>
              <w:t>发电量</w:t>
            </w:r>
          </w:p>
        </w:tc>
        <w:tc>
          <w:tcPr>
            <w:tcW w:w="107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9DA3305">
            <w:pPr>
              <w:pStyle w:val="10"/>
              <w:bidi w:val="0"/>
              <w:jc w:val="center"/>
              <w:rPr>
                <w:rFonts w:hint="eastAsia"/>
                <w:color w:val="000000"/>
              </w:rPr>
            </w:pPr>
            <w:r>
              <w:rPr>
                <w:rFonts w:hint="eastAsia"/>
                <w:color w:val="000000"/>
              </w:rPr>
              <w:t>万千瓦小时</w:t>
            </w:r>
          </w:p>
        </w:tc>
        <w:tc>
          <w:tcPr>
            <w:tcW w:w="8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BD94045">
            <w:pPr>
              <w:pStyle w:val="10"/>
              <w:bidi w:val="0"/>
              <w:jc w:val="center"/>
              <w:rPr>
                <w:rFonts w:hint="eastAsia"/>
                <w:color w:val="000000"/>
              </w:rPr>
            </w:pPr>
            <w:r>
              <w:rPr>
                <w:rFonts w:hint="eastAsia"/>
                <w:color w:val="000000"/>
              </w:rPr>
              <w:t>11318</w:t>
            </w:r>
          </w:p>
        </w:tc>
        <w:tc>
          <w:tcPr>
            <w:tcW w:w="1051" w:type="pct"/>
            <w:tcBorders>
              <w:top w:val="single" w:color="000000" w:sz="8" w:space="0"/>
              <w:left w:val="single" w:color="000000" w:sz="8" w:space="0"/>
              <w:bottom w:val="single" w:color="000000" w:sz="8" w:space="0"/>
              <w:right w:val="nil"/>
            </w:tcBorders>
            <w:shd w:val="clear" w:color="auto" w:fill="FFFFFF"/>
            <w:noWrap w:val="0"/>
            <w:vAlign w:val="center"/>
          </w:tcPr>
          <w:p w14:paraId="765D5629">
            <w:pPr>
              <w:pStyle w:val="10"/>
              <w:bidi w:val="0"/>
              <w:jc w:val="center"/>
              <w:rPr>
                <w:rFonts w:hint="eastAsia"/>
                <w:color w:val="000000"/>
              </w:rPr>
            </w:pPr>
            <w:r>
              <w:rPr>
                <w:rFonts w:hint="eastAsia"/>
                <w:color w:val="000000"/>
              </w:rPr>
              <w:t>-25.1</w:t>
            </w:r>
          </w:p>
        </w:tc>
      </w:tr>
      <w:tr w14:paraId="15333BCD">
        <w:tblPrEx>
          <w:tblCellMar>
            <w:top w:w="0" w:type="dxa"/>
            <w:left w:w="108" w:type="dxa"/>
            <w:bottom w:w="0" w:type="dxa"/>
            <w:right w:w="108" w:type="dxa"/>
          </w:tblCellMar>
        </w:tblPrEx>
        <w:trPr>
          <w:trHeight w:val="360" w:hRule="atLeast"/>
          <w:jc w:val="center"/>
        </w:trPr>
        <w:tc>
          <w:tcPr>
            <w:tcW w:w="1996" w:type="pct"/>
            <w:tcBorders>
              <w:top w:val="single" w:color="000000" w:sz="8" w:space="0"/>
              <w:left w:val="nil"/>
              <w:bottom w:val="single" w:color="000000" w:sz="8" w:space="0"/>
              <w:right w:val="single" w:color="000000" w:sz="8" w:space="0"/>
            </w:tcBorders>
            <w:shd w:val="clear" w:color="auto" w:fill="FFFFFF"/>
            <w:noWrap w:val="0"/>
            <w:vAlign w:val="center"/>
          </w:tcPr>
          <w:p w14:paraId="4B54C51F">
            <w:pPr>
              <w:pStyle w:val="10"/>
              <w:bidi w:val="0"/>
              <w:jc w:val="center"/>
              <w:rPr>
                <w:rFonts w:hint="eastAsia"/>
                <w:color w:val="000000"/>
              </w:rPr>
            </w:pPr>
            <w:r>
              <w:rPr>
                <w:rFonts w:hint="eastAsia"/>
                <w:color w:val="000000"/>
              </w:rPr>
              <w:t>水泥</w:t>
            </w:r>
          </w:p>
        </w:tc>
        <w:tc>
          <w:tcPr>
            <w:tcW w:w="107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AF29151">
            <w:pPr>
              <w:pStyle w:val="10"/>
              <w:bidi w:val="0"/>
              <w:jc w:val="center"/>
              <w:rPr>
                <w:rFonts w:hint="eastAsia"/>
                <w:color w:val="000000"/>
              </w:rPr>
            </w:pPr>
            <w:r>
              <w:rPr>
                <w:rFonts w:hint="eastAsia"/>
                <w:color w:val="000000"/>
              </w:rPr>
              <w:t>吨</w:t>
            </w:r>
          </w:p>
        </w:tc>
        <w:tc>
          <w:tcPr>
            <w:tcW w:w="8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9754E0F">
            <w:pPr>
              <w:pStyle w:val="10"/>
              <w:bidi w:val="0"/>
              <w:jc w:val="center"/>
              <w:rPr>
                <w:rFonts w:hint="eastAsia"/>
                <w:color w:val="000000"/>
              </w:rPr>
            </w:pPr>
            <w:r>
              <w:rPr>
                <w:rFonts w:hint="eastAsia"/>
                <w:color w:val="000000"/>
              </w:rPr>
              <w:t>69378</w:t>
            </w:r>
          </w:p>
        </w:tc>
        <w:tc>
          <w:tcPr>
            <w:tcW w:w="1051" w:type="pct"/>
            <w:tcBorders>
              <w:top w:val="single" w:color="000000" w:sz="8" w:space="0"/>
              <w:left w:val="single" w:color="000000" w:sz="8" w:space="0"/>
              <w:bottom w:val="single" w:color="000000" w:sz="8" w:space="0"/>
              <w:right w:val="nil"/>
            </w:tcBorders>
            <w:shd w:val="clear" w:color="auto" w:fill="FFFFFF"/>
            <w:noWrap w:val="0"/>
            <w:vAlign w:val="center"/>
          </w:tcPr>
          <w:p w14:paraId="5B6220FF">
            <w:pPr>
              <w:pStyle w:val="10"/>
              <w:bidi w:val="0"/>
              <w:jc w:val="center"/>
              <w:rPr>
                <w:rFonts w:hint="eastAsia"/>
                <w:color w:val="000000"/>
              </w:rPr>
            </w:pPr>
            <w:r>
              <w:rPr>
                <w:rFonts w:hint="eastAsia"/>
                <w:color w:val="000000"/>
              </w:rPr>
              <w:t>-36.9</w:t>
            </w:r>
          </w:p>
        </w:tc>
      </w:tr>
      <w:tr w14:paraId="5310D547">
        <w:tblPrEx>
          <w:tblCellMar>
            <w:top w:w="0" w:type="dxa"/>
            <w:left w:w="108" w:type="dxa"/>
            <w:bottom w:w="0" w:type="dxa"/>
            <w:right w:w="108" w:type="dxa"/>
          </w:tblCellMar>
        </w:tblPrEx>
        <w:trPr>
          <w:trHeight w:val="360" w:hRule="atLeast"/>
          <w:jc w:val="center"/>
        </w:trPr>
        <w:tc>
          <w:tcPr>
            <w:tcW w:w="1996" w:type="pct"/>
            <w:tcBorders>
              <w:top w:val="single" w:color="000000" w:sz="8" w:space="0"/>
              <w:left w:val="nil"/>
              <w:bottom w:val="single" w:color="000000" w:sz="8" w:space="0"/>
              <w:right w:val="single" w:color="000000" w:sz="8" w:space="0"/>
            </w:tcBorders>
            <w:shd w:val="clear" w:color="auto" w:fill="FFFFFF"/>
            <w:noWrap w:val="0"/>
            <w:vAlign w:val="center"/>
          </w:tcPr>
          <w:p w14:paraId="7061D52D">
            <w:pPr>
              <w:pStyle w:val="10"/>
              <w:bidi w:val="0"/>
              <w:jc w:val="center"/>
              <w:rPr>
                <w:rFonts w:hint="eastAsia"/>
                <w:color w:val="000000"/>
              </w:rPr>
            </w:pPr>
            <w:r>
              <w:rPr>
                <w:rFonts w:hint="eastAsia"/>
                <w:color w:val="000000"/>
              </w:rPr>
              <w:t>涂料</w:t>
            </w:r>
          </w:p>
        </w:tc>
        <w:tc>
          <w:tcPr>
            <w:tcW w:w="107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51B80AF">
            <w:pPr>
              <w:pStyle w:val="10"/>
              <w:bidi w:val="0"/>
              <w:jc w:val="center"/>
              <w:rPr>
                <w:rFonts w:hint="eastAsia"/>
                <w:color w:val="000000"/>
              </w:rPr>
            </w:pPr>
            <w:r>
              <w:rPr>
                <w:rFonts w:hint="eastAsia"/>
                <w:color w:val="000000"/>
              </w:rPr>
              <w:t>吨</w:t>
            </w:r>
          </w:p>
        </w:tc>
        <w:tc>
          <w:tcPr>
            <w:tcW w:w="8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1977DFB">
            <w:pPr>
              <w:pStyle w:val="10"/>
              <w:bidi w:val="0"/>
              <w:jc w:val="center"/>
              <w:rPr>
                <w:rFonts w:hint="eastAsia"/>
                <w:color w:val="000000"/>
              </w:rPr>
            </w:pPr>
            <w:r>
              <w:rPr>
                <w:rFonts w:hint="eastAsia"/>
                <w:color w:val="000000"/>
              </w:rPr>
              <w:t>134805</w:t>
            </w:r>
          </w:p>
        </w:tc>
        <w:tc>
          <w:tcPr>
            <w:tcW w:w="1051" w:type="pct"/>
            <w:tcBorders>
              <w:top w:val="single" w:color="000000" w:sz="8" w:space="0"/>
              <w:left w:val="single" w:color="000000" w:sz="8" w:space="0"/>
              <w:bottom w:val="single" w:color="000000" w:sz="8" w:space="0"/>
              <w:right w:val="nil"/>
            </w:tcBorders>
            <w:shd w:val="clear" w:color="auto" w:fill="FFFFFF"/>
            <w:noWrap w:val="0"/>
            <w:vAlign w:val="center"/>
          </w:tcPr>
          <w:p w14:paraId="37BD92AF">
            <w:pPr>
              <w:pStyle w:val="10"/>
              <w:bidi w:val="0"/>
              <w:jc w:val="center"/>
              <w:rPr>
                <w:rFonts w:hint="eastAsia"/>
                <w:color w:val="000000"/>
              </w:rPr>
            </w:pPr>
            <w:r>
              <w:rPr>
                <w:rFonts w:hint="eastAsia"/>
                <w:color w:val="000000"/>
              </w:rPr>
              <w:t>31.0</w:t>
            </w:r>
          </w:p>
        </w:tc>
      </w:tr>
      <w:tr w14:paraId="194A9422">
        <w:tblPrEx>
          <w:tblCellMar>
            <w:top w:w="0" w:type="dxa"/>
            <w:left w:w="108" w:type="dxa"/>
            <w:bottom w:w="0" w:type="dxa"/>
            <w:right w:w="108" w:type="dxa"/>
          </w:tblCellMar>
        </w:tblPrEx>
        <w:trPr>
          <w:trHeight w:val="360" w:hRule="atLeast"/>
          <w:jc w:val="center"/>
        </w:trPr>
        <w:tc>
          <w:tcPr>
            <w:tcW w:w="1996" w:type="pct"/>
            <w:tcBorders>
              <w:top w:val="single" w:color="000000" w:sz="8" w:space="0"/>
              <w:left w:val="nil"/>
              <w:bottom w:val="single" w:color="000000" w:sz="8" w:space="0"/>
              <w:right w:val="single" w:color="000000" w:sz="8" w:space="0"/>
            </w:tcBorders>
            <w:shd w:val="clear" w:color="auto" w:fill="FFFFFF"/>
            <w:noWrap w:val="0"/>
            <w:vAlign w:val="center"/>
          </w:tcPr>
          <w:p w14:paraId="08731779">
            <w:pPr>
              <w:pStyle w:val="10"/>
              <w:bidi w:val="0"/>
              <w:jc w:val="center"/>
              <w:rPr>
                <w:rFonts w:hint="eastAsia"/>
                <w:color w:val="000000"/>
              </w:rPr>
            </w:pPr>
            <w:r>
              <w:rPr>
                <w:rFonts w:hint="eastAsia"/>
                <w:color w:val="000000"/>
              </w:rPr>
              <w:t>服装</w:t>
            </w:r>
          </w:p>
        </w:tc>
        <w:tc>
          <w:tcPr>
            <w:tcW w:w="107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D8117CE">
            <w:pPr>
              <w:pStyle w:val="10"/>
              <w:bidi w:val="0"/>
              <w:jc w:val="center"/>
              <w:rPr>
                <w:rFonts w:hint="eastAsia"/>
                <w:color w:val="000000"/>
              </w:rPr>
            </w:pPr>
            <w:r>
              <w:rPr>
                <w:rFonts w:hint="eastAsia"/>
                <w:color w:val="000000"/>
              </w:rPr>
              <w:t>万件</w:t>
            </w:r>
          </w:p>
        </w:tc>
        <w:tc>
          <w:tcPr>
            <w:tcW w:w="8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E6FECC8">
            <w:pPr>
              <w:pStyle w:val="10"/>
              <w:bidi w:val="0"/>
              <w:jc w:val="center"/>
              <w:rPr>
                <w:rFonts w:hint="eastAsia"/>
                <w:color w:val="000000"/>
                <w:lang w:eastAsia="zh-CN"/>
              </w:rPr>
            </w:pPr>
            <w:r>
              <w:rPr>
                <w:rFonts w:hint="eastAsia"/>
                <w:color w:val="000000"/>
              </w:rPr>
              <w:t>24</w:t>
            </w:r>
          </w:p>
        </w:tc>
        <w:tc>
          <w:tcPr>
            <w:tcW w:w="1051" w:type="pct"/>
            <w:tcBorders>
              <w:top w:val="single" w:color="000000" w:sz="8" w:space="0"/>
              <w:left w:val="single" w:color="000000" w:sz="8" w:space="0"/>
              <w:bottom w:val="single" w:color="000000" w:sz="8" w:space="0"/>
              <w:right w:val="nil"/>
            </w:tcBorders>
            <w:shd w:val="clear" w:color="auto" w:fill="FFFFFF"/>
            <w:noWrap w:val="0"/>
            <w:vAlign w:val="center"/>
          </w:tcPr>
          <w:p w14:paraId="5D37EC4F">
            <w:pPr>
              <w:pStyle w:val="10"/>
              <w:bidi w:val="0"/>
              <w:jc w:val="center"/>
              <w:rPr>
                <w:rFonts w:hint="eastAsia"/>
                <w:color w:val="000000"/>
                <w:lang w:eastAsia="zh-CN"/>
              </w:rPr>
            </w:pPr>
            <w:r>
              <w:rPr>
                <w:rFonts w:hint="eastAsia"/>
                <w:color w:val="000000"/>
              </w:rPr>
              <w:t>30.4</w:t>
            </w:r>
          </w:p>
        </w:tc>
      </w:tr>
      <w:tr w14:paraId="26E9D1D5">
        <w:tblPrEx>
          <w:tblCellMar>
            <w:top w:w="0" w:type="dxa"/>
            <w:left w:w="108" w:type="dxa"/>
            <w:bottom w:w="0" w:type="dxa"/>
            <w:right w:w="108" w:type="dxa"/>
          </w:tblCellMar>
        </w:tblPrEx>
        <w:trPr>
          <w:trHeight w:val="360" w:hRule="atLeast"/>
          <w:jc w:val="center"/>
        </w:trPr>
        <w:tc>
          <w:tcPr>
            <w:tcW w:w="1996" w:type="pct"/>
            <w:tcBorders>
              <w:top w:val="single" w:color="000000" w:sz="8" w:space="0"/>
              <w:left w:val="nil"/>
              <w:bottom w:val="single" w:color="000000" w:sz="8" w:space="0"/>
              <w:right w:val="single" w:color="000000" w:sz="8" w:space="0"/>
            </w:tcBorders>
            <w:shd w:val="clear" w:color="auto" w:fill="FFFFFF"/>
            <w:noWrap w:val="0"/>
            <w:vAlign w:val="center"/>
          </w:tcPr>
          <w:p w14:paraId="1B67A3DA">
            <w:pPr>
              <w:pStyle w:val="10"/>
              <w:bidi w:val="0"/>
              <w:jc w:val="center"/>
              <w:rPr>
                <w:rFonts w:hint="eastAsia"/>
                <w:color w:val="000000"/>
              </w:rPr>
            </w:pPr>
            <w:r>
              <w:rPr>
                <w:rFonts w:hint="eastAsia"/>
                <w:color w:val="000000"/>
              </w:rPr>
              <w:t>塑料制品</w:t>
            </w:r>
          </w:p>
        </w:tc>
        <w:tc>
          <w:tcPr>
            <w:tcW w:w="107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B58EAC7">
            <w:pPr>
              <w:pStyle w:val="10"/>
              <w:bidi w:val="0"/>
              <w:jc w:val="center"/>
              <w:rPr>
                <w:rFonts w:hint="eastAsia"/>
                <w:color w:val="000000"/>
              </w:rPr>
            </w:pPr>
            <w:r>
              <w:rPr>
                <w:rFonts w:hint="eastAsia"/>
                <w:color w:val="000000"/>
              </w:rPr>
              <w:t>吨</w:t>
            </w:r>
          </w:p>
        </w:tc>
        <w:tc>
          <w:tcPr>
            <w:tcW w:w="8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084E60F">
            <w:pPr>
              <w:pStyle w:val="10"/>
              <w:bidi w:val="0"/>
              <w:jc w:val="center"/>
              <w:rPr>
                <w:rFonts w:hint="eastAsia"/>
                <w:color w:val="000000"/>
              </w:rPr>
            </w:pPr>
            <w:r>
              <w:rPr>
                <w:rFonts w:hint="eastAsia"/>
                <w:color w:val="000000"/>
              </w:rPr>
              <w:t>75507</w:t>
            </w:r>
          </w:p>
        </w:tc>
        <w:tc>
          <w:tcPr>
            <w:tcW w:w="1051" w:type="pct"/>
            <w:tcBorders>
              <w:top w:val="single" w:color="000000" w:sz="8" w:space="0"/>
              <w:left w:val="single" w:color="000000" w:sz="8" w:space="0"/>
              <w:bottom w:val="single" w:color="000000" w:sz="8" w:space="0"/>
              <w:right w:val="nil"/>
            </w:tcBorders>
            <w:shd w:val="clear" w:color="auto" w:fill="FFFFFF"/>
            <w:noWrap w:val="0"/>
            <w:vAlign w:val="center"/>
          </w:tcPr>
          <w:p w14:paraId="2C8DC5FC">
            <w:pPr>
              <w:pStyle w:val="10"/>
              <w:bidi w:val="0"/>
              <w:jc w:val="center"/>
              <w:rPr>
                <w:rFonts w:hint="eastAsia"/>
                <w:color w:val="000000"/>
                <w:lang w:eastAsia="zh-CN"/>
              </w:rPr>
            </w:pPr>
            <w:r>
              <w:rPr>
                <w:rFonts w:hint="eastAsia"/>
                <w:color w:val="000000"/>
              </w:rPr>
              <w:t>26.7</w:t>
            </w:r>
          </w:p>
        </w:tc>
      </w:tr>
      <w:tr w14:paraId="712357D7">
        <w:tblPrEx>
          <w:tblCellMar>
            <w:top w:w="0" w:type="dxa"/>
            <w:left w:w="108" w:type="dxa"/>
            <w:bottom w:w="0" w:type="dxa"/>
            <w:right w:w="108" w:type="dxa"/>
          </w:tblCellMar>
        </w:tblPrEx>
        <w:trPr>
          <w:trHeight w:val="360" w:hRule="atLeast"/>
          <w:jc w:val="center"/>
        </w:trPr>
        <w:tc>
          <w:tcPr>
            <w:tcW w:w="1996" w:type="pct"/>
            <w:tcBorders>
              <w:top w:val="single" w:color="000000" w:sz="8" w:space="0"/>
              <w:left w:val="nil"/>
              <w:bottom w:val="single" w:color="000000" w:sz="8" w:space="0"/>
              <w:right w:val="single" w:color="000000" w:sz="8" w:space="0"/>
            </w:tcBorders>
            <w:shd w:val="clear" w:color="auto" w:fill="FFFFFF"/>
            <w:noWrap w:val="0"/>
            <w:vAlign w:val="center"/>
          </w:tcPr>
          <w:p w14:paraId="05970755">
            <w:pPr>
              <w:pStyle w:val="10"/>
              <w:bidi w:val="0"/>
              <w:jc w:val="center"/>
              <w:rPr>
                <w:rFonts w:hint="eastAsia"/>
                <w:color w:val="000000"/>
              </w:rPr>
            </w:pPr>
            <w:r>
              <w:rPr>
                <w:rFonts w:hint="eastAsia"/>
                <w:color w:val="000000"/>
              </w:rPr>
              <w:t>瓷质砖</w:t>
            </w:r>
          </w:p>
        </w:tc>
        <w:tc>
          <w:tcPr>
            <w:tcW w:w="107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987C811">
            <w:pPr>
              <w:pStyle w:val="10"/>
              <w:bidi w:val="0"/>
              <w:jc w:val="center"/>
              <w:rPr>
                <w:rFonts w:hint="eastAsia"/>
                <w:color w:val="000000"/>
              </w:rPr>
            </w:pPr>
            <w:r>
              <w:rPr>
                <w:rFonts w:hint="eastAsia"/>
                <w:color w:val="000000"/>
              </w:rPr>
              <w:t>万平方米</w:t>
            </w:r>
          </w:p>
        </w:tc>
        <w:tc>
          <w:tcPr>
            <w:tcW w:w="8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E1269B7">
            <w:pPr>
              <w:pStyle w:val="10"/>
              <w:bidi w:val="0"/>
              <w:jc w:val="center"/>
              <w:rPr>
                <w:rFonts w:hint="eastAsia"/>
                <w:color w:val="000000"/>
              </w:rPr>
            </w:pPr>
            <w:r>
              <w:rPr>
                <w:rFonts w:hint="eastAsia"/>
                <w:color w:val="000000"/>
              </w:rPr>
              <w:t>258.05</w:t>
            </w:r>
          </w:p>
        </w:tc>
        <w:tc>
          <w:tcPr>
            <w:tcW w:w="1051" w:type="pct"/>
            <w:tcBorders>
              <w:top w:val="single" w:color="000000" w:sz="8" w:space="0"/>
              <w:left w:val="single" w:color="000000" w:sz="8" w:space="0"/>
              <w:bottom w:val="single" w:color="000000" w:sz="8" w:space="0"/>
              <w:right w:val="nil"/>
            </w:tcBorders>
            <w:shd w:val="clear" w:color="auto" w:fill="FFFFFF"/>
            <w:noWrap w:val="0"/>
            <w:vAlign w:val="center"/>
          </w:tcPr>
          <w:p w14:paraId="473EAB46">
            <w:pPr>
              <w:pStyle w:val="10"/>
              <w:bidi w:val="0"/>
              <w:jc w:val="center"/>
              <w:rPr>
                <w:rFonts w:hint="eastAsia"/>
                <w:color w:val="000000"/>
              </w:rPr>
            </w:pPr>
            <w:r>
              <w:rPr>
                <w:rFonts w:hint="eastAsia"/>
                <w:color w:val="000000"/>
              </w:rPr>
              <w:t>29.5</w:t>
            </w:r>
          </w:p>
        </w:tc>
      </w:tr>
      <w:tr w14:paraId="1DF2569C">
        <w:tblPrEx>
          <w:tblCellMar>
            <w:top w:w="0" w:type="dxa"/>
            <w:left w:w="108" w:type="dxa"/>
            <w:bottom w:w="0" w:type="dxa"/>
            <w:right w:w="108" w:type="dxa"/>
          </w:tblCellMar>
        </w:tblPrEx>
        <w:trPr>
          <w:trHeight w:val="360" w:hRule="atLeast"/>
          <w:jc w:val="center"/>
        </w:trPr>
        <w:tc>
          <w:tcPr>
            <w:tcW w:w="1996" w:type="pct"/>
            <w:tcBorders>
              <w:top w:val="single" w:color="000000" w:sz="8" w:space="0"/>
              <w:left w:val="nil"/>
              <w:bottom w:val="single" w:color="000000" w:sz="8" w:space="0"/>
              <w:right w:val="single" w:color="000000" w:sz="8" w:space="0"/>
            </w:tcBorders>
            <w:shd w:val="clear" w:color="auto" w:fill="FFFFFF"/>
            <w:noWrap w:val="0"/>
            <w:vAlign w:val="center"/>
          </w:tcPr>
          <w:p w14:paraId="4C4AD401">
            <w:pPr>
              <w:pStyle w:val="10"/>
              <w:bidi w:val="0"/>
              <w:jc w:val="center"/>
              <w:rPr>
                <w:rFonts w:hint="eastAsia"/>
                <w:color w:val="000000"/>
              </w:rPr>
            </w:pPr>
            <w:r>
              <w:rPr>
                <w:rFonts w:hint="eastAsia"/>
                <w:color w:val="000000"/>
              </w:rPr>
              <w:t>商品混凝土</w:t>
            </w:r>
          </w:p>
        </w:tc>
        <w:tc>
          <w:tcPr>
            <w:tcW w:w="107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0099E59">
            <w:pPr>
              <w:pStyle w:val="10"/>
              <w:bidi w:val="0"/>
              <w:jc w:val="center"/>
              <w:rPr>
                <w:rFonts w:hint="eastAsia"/>
                <w:color w:val="000000"/>
              </w:rPr>
            </w:pPr>
            <w:r>
              <w:rPr>
                <w:rFonts w:hint="eastAsia"/>
                <w:color w:val="000000"/>
              </w:rPr>
              <w:t>立方米</w:t>
            </w:r>
          </w:p>
        </w:tc>
        <w:tc>
          <w:tcPr>
            <w:tcW w:w="8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F23C941">
            <w:pPr>
              <w:pStyle w:val="10"/>
              <w:bidi w:val="0"/>
              <w:jc w:val="center"/>
              <w:rPr>
                <w:rFonts w:hint="eastAsia"/>
                <w:color w:val="000000"/>
              </w:rPr>
            </w:pPr>
            <w:r>
              <w:rPr>
                <w:rFonts w:hint="eastAsia"/>
                <w:color w:val="000000"/>
              </w:rPr>
              <w:t>514433</w:t>
            </w:r>
          </w:p>
        </w:tc>
        <w:tc>
          <w:tcPr>
            <w:tcW w:w="1051" w:type="pct"/>
            <w:tcBorders>
              <w:top w:val="single" w:color="000000" w:sz="8" w:space="0"/>
              <w:left w:val="single" w:color="000000" w:sz="8" w:space="0"/>
              <w:bottom w:val="single" w:color="000000" w:sz="8" w:space="0"/>
              <w:right w:val="nil"/>
            </w:tcBorders>
            <w:shd w:val="clear" w:color="auto" w:fill="FFFFFF"/>
            <w:noWrap w:val="0"/>
            <w:vAlign w:val="center"/>
          </w:tcPr>
          <w:p w14:paraId="14B3BE10">
            <w:pPr>
              <w:pStyle w:val="10"/>
              <w:bidi w:val="0"/>
              <w:jc w:val="center"/>
              <w:rPr>
                <w:rFonts w:hint="eastAsia"/>
                <w:color w:val="000000"/>
              </w:rPr>
            </w:pPr>
            <w:r>
              <w:rPr>
                <w:rFonts w:hint="eastAsia"/>
                <w:color w:val="000000"/>
              </w:rPr>
              <w:t>23.4</w:t>
            </w:r>
          </w:p>
        </w:tc>
      </w:tr>
      <w:tr w14:paraId="1218893C">
        <w:tblPrEx>
          <w:tblCellMar>
            <w:top w:w="0" w:type="dxa"/>
            <w:left w:w="108" w:type="dxa"/>
            <w:bottom w:w="0" w:type="dxa"/>
            <w:right w:w="108" w:type="dxa"/>
          </w:tblCellMar>
        </w:tblPrEx>
        <w:trPr>
          <w:trHeight w:val="360" w:hRule="atLeast"/>
          <w:jc w:val="center"/>
        </w:trPr>
        <w:tc>
          <w:tcPr>
            <w:tcW w:w="1996" w:type="pct"/>
            <w:tcBorders>
              <w:top w:val="single" w:color="000000" w:sz="8" w:space="0"/>
              <w:left w:val="nil"/>
              <w:bottom w:val="single" w:color="000000" w:sz="8" w:space="0"/>
              <w:right w:val="single" w:color="000000" w:sz="8" w:space="0"/>
            </w:tcBorders>
            <w:shd w:val="clear" w:color="auto" w:fill="FFFFFF"/>
            <w:noWrap w:val="0"/>
            <w:vAlign w:val="center"/>
          </w:tcPr>
          <w:p w14:paraId="1975F723">
            <w:pPr>
              <w:pStyle w:val="10"/>
              <w:bidi w:val="0"/>
              <w:jc w:val="center"/>
              <w:rPr>
                <w:rFonts w:hint="eastAsia"/>
                <w:color w:val="000000"/>
              </w:rPr>
            </w:pPr>
            <w:r>
              <w:rPr>
                <w:rFonts w:hint="eastAsia"/>
                <w:color w:val="000000"/>
              </w:rPr>
              <w:t>鲜、冷藏肉</w:t>
            </w:r>
          </w:p>
        </w:tc>
        <w:tc>
          <w:tcPr>
            <w:tcW w:w="107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D7DDE19">
            <w:pPr>
              <w:pStyle w:val="10"/>
              <w:bidi w:val="0"/>
              <w:jc w:val="center"/>
              <w:rPr>
                <w:rFonts w:hint="eastAsia"/>
                <w:color w:val="000000"/>
              </w:rPr>
            </w:pPr>
            <w:r>
              <w:rPr>
                <w:rFonts w:hint="eastAsia"/>
                <w:color w:val="000000"/>
              </w:rPr>
              <w:t>吨</w:t>
            </w:r>
          </w:p>
        </w:tc>
        <w:tc>
          <w:tcPr>
            <w:tcW w:w="8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6365085">
            <w:pPr>
              <w:pStyle w:val="10"/>
              <w:bidi w:val="0"/>
              <w:jc w:val="center"/>
              <w:rPr>
                <w:rFonts w:hint="eastAsia"/>
                <w:color w:val="000000"/>
                <w:lang w:eastAsia="zh-CN"/>
              </w:rPr>
            </w:pPr>
            <w:r>
              <w:rPr>
                <w:rFonts w:hint="eastAsia"/>
                <w:color w:val="000000"/>
              </w:rPr>
              <w:t>4767</w:t>
            </w:r>
          </w:p>
        </w:tc>
        <w:tc>
          <w:tcPr>
            <w:tcW w:w="1051" w:type="pct"/>
            <w:tcBorders>
              <w:top w:val="single" w:color="000000" w:sz="8" w:space="0"/>
              <w:left w:val="single" w:color="000000" w:sz="8" w:space="0"/>
              <w:bottom w:val="single" w:color="000000" w:sz="8" w:space="0"/>
              <w:right w:val="nil"/>
            </w:tcBorders>
            <w:shd w:val="clear" w:color="auto" w:fill="FFFFFF"/>
            <w:noWrap w:val="0"/>
            <w:vAlign w:val="center"/>
          </w:tcPr>
          <w:p w14:paraId="75F0358F">
            <w:pPr>
              <w:pStyle w:val="10"/>
              <w:bidi w:val="0"/>
              <w:jc w:val="center"/>
              <w:rPr>
                <w:rFonts w:hint="eastAsia"/>
                <w:color w:val="000000"/>
                <w:lang w:eastAsia="zh-CN"/>
              </w:rPr>
            </w:pPr>
            <w:r>
              <w:rPr>
                <w:rFonts w:hint="eastAsia"/>
                <w:color w:val="000000"/>
              </w:rPr>
              <w:t>15.0</w:t>
            </w:r>
          </w:p>
        </w:tc>
      </w:tr>
      <w:tr w14:paraId="56C3CD30">
        <w:tblPrEx>
          <w:tblCellMar>
            <w:top w:w="0" w:type="dxa"/>
            <w:left w:w="108" w:type="dxa"/>
            <w:bottom w:w="0" w:type="dxa"/>
            <w:right w:w="108" w:type="dxa"/>
          </w:tblCellMar>
        </w:tblPrEx>
        <w:trPr>
          <w:trHeight w:val="360" w:hRule="atLeast"/>
          <w:jc w:val="center"/>
        </w:trPr>
        <w:tc>
          <w:tcPr>
            <w:tcW w:w="1996" w:type="pct"/>
            <w:tcBorders>
              <w:top w:val="single" w:color="000000" w:sz="8" w:space="0"/>
              <w:left w:val="nil"/>
              <w:bottom w:val="single" w:color="000000" w:sz="8" w:space="0"/>
              <w:right w:val="single" w:color="000000" w:sz="8" w:space="0"/>
            </w:tcBorders>
            <w:shd w:val="clear" w:color="auto" w:fill="FFFFFF"/>
            <w:noWrap w:val="0"/>
            <w:vAlign w:val="center"/>
          </w:tcPr>
          <w:p w14:paraId="3BDFBFA4">
            <w:pPr>
              <w:pStyle w:val="10"/>
              <w:bidi w:val="0"/>
              <w:jc w:val="center"/>
              <w:rPr>
                <w:rFonts w:hint="eastAsia"/>
                <w:color w:val="000000"/>
              </w:rPr>
            </w:pPr>
            <w:r>
              <w:rPr>
                <w:rFonts w:hint="eastAsia"/>
                <w:color w:val="000000"/>
              </w:rPr>
              <w:t>自来水生产量</w:t>
            </w:r>
          </w:p>
        </w:tc>
        <w:tc>
          <w:tcPr>
            <w:tcW w:w="107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2F2DE4C">
            <w:pPr>
              <w:pStyle w:val="10"/>
              <w:bidi w:val="0"/>
              <w:jc w:val="center"/>
              <w:rPr>
                <w:rFonts w:hint="eastAsia"/>
                <w:color w:val="000000"/>
              </w:rPr>
            </w:pPr>
            <w:r>
              <w:rPr>
                <w:rFonts w:hint="eastAsia"/>
                <w:color w:val="000000"/>
              </w:rPr>
              <w:t>万立方米</w:t>
            </w:r>
          </w:p>
        </w:tc>
        <w:tc>
          <w:tcPr>
            <w:tcW w:w="8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8FB47C4">
            <w:pPr>
              <w:pStyle w:val="10"/>
              <w:bidi w:val="0"/>
              <w:jc w:val="center"/>
              <w:rPr>
                <w:rFonts w:hint="eastAsia"/>
                <w:color w:val="000000"/>
              </w:rPr>
            </w:pPr>
            <w:r>
              <w:rPr>
                <w:rFonts w:hint="eastAsia"/>
                <w:color w:val="000000"/>
              </w:rPr>
              <w:t>1954</w:t>
            </w:r>
          </w:p>
        </w:tc>
        <w:tc>
          <w:tcPr>
            <w:tcW w:w="1051" w:type="pct"/>
            <w:tcBorders>
              <w:top w:val="single" w:color="000000" w:sz="8" w:space="0"/>
              <w:left w:val="single" w:color="000000" w:sz="8" w:space="0"/>
              <w:bottom w:val="single" w:color="000000" w:sz="8" w:space="0"/>
              <w:right w:val="nil"/>
            </w:tcBorders>
            <w:shd w:val="clear" w:color="auto" w:fill="FFFFFF"/>
            <w:noWrap w:val="0"/>
            <w:vAlign w:val="center"/>
          </w:tcPr>
          <w:p w14:paraId="03F47F30">
            <w:pPr>
              <w:pStyle w:val="10"/>
              <w:bidi w:val="0"/>
              <w:jc w:val="center"/>
              <w:rPr>
                <w:rFonts w:hint="eastAsia"/>
                <w:color w:val="000000"/>
                <w:lang w:eastAsia="zh-CN"/>
              </w:rPr>
            </w:pPr>
            <w:r>
              <w:rPr>
                <w:rFonts w:hint="eastAsia"/>
                <w:color w:val="000000"/>
              </w:rPr>
              <w:t>16.9</w:t>
            </w:r>
          </w:p>
        </w:tc>
      </w:tr>
    </w:tbl>
    <w:p w14:paraId="39B33123">
      <w:r>
        <w:rPr>
          <w:rFonts w:hint="eastAsia"/>
        </w:rPr>
        <w:t>全年规模以上工业企业经济效益综合指数为</w:t>
      </w:r>
      <w:r>
        <w:t>172%，比上年提高39.35个百分点，总资产贡献</w:t>
      </w:r>
      <w:r>
        <w:rPr>
          <w:rFonts w:hint="eastAsia"/>
        </w:rPr>
        <w:t>率</w:t>
      </w:r>
      <w:r>
        <w:t>14.37%，比上年提高2.66个百分点；资产保值</w:t>
      </w:r>
      <w:r>
        <w:rPr>
          <w:rFonts w:hint="eastAsia"/>
        </w:rPr>
        <w:t>增值率</w:t>
      </w:r>
      <w:r>
        <w:t>153.56%；资产负债率52.65%，比上年下</w:t>
      </w:r>
      <w:r>
        <w:rPr>
          <w:rFonts w:hint="eastAsia"/>
        </w:rPr>
        <w:t>降</w:t>
      </w:r>
      <w:r>
        <w:t>8.39个百分点；成本费用利润率11.53%，比上</w:t>
      </w:r>
      <w:r>
        <w:rPr>
          <w:rFonts w:hint="eastAsia"/>
        </w:rPr>
        <w:t>年提高</w:t>
      </w:r>
      <w:r>
        <w:t>1.67个百分点；流动资产周转率7.01%，</w:t>
      </w:r>
      <w:r>
        <w:rPr>
          <w:rFonts w:hint="eastAsia"/>
        </w:rPr>
        <w:t>比上年提高</w:t>
      </w:r>
      <w:r>
        <w:t>0.74个百分点。主营业务收入95</w:t>
      </w:r>
      <w:r>
        <w:rPr>
          <w:rFonts w:hint="eastAsia"/>
          <w:lang w:val="en-US" w:eastAsia="zh-CN"/>
        </w:rPr>
        <w:t>.</w:t>
      </w:r>
      <w:r>
        <w:t>82亿</w:t>
      </w:r>
      <w:r>
        <w:rPr>
          <w:rFonts w:hint="eastAsia"/>
        </w:rPr>
        <w:t>元，增长</w:t>
      </w:r>
      <w:r>
        <w:t>43.0%；税金总额4.45亿元，增长40.5%；利润总额9.84亿元，增长64.9%；亏损</w:t>
      </w:r>
      <w:r>
        <w:rPr>
          <w:rFonts w:hint="eastAsia"/>
        </w:rPr>
        <w:t>企业亏损额</w:t>
      </w:r>
      <w:r>
        <w:t>0.47亿元，增长53.8%。</w:t>
      </w:r>
    </w:p>
    <w:p w14:paraId="653CACE1">
      <w:r>
        <w:rPr>
          <w:rFonts w:hint="eastAsia"/>
        </w:rPr>
        <w:t>建筑业实现增加值</w:t>
      </w:r>
      <w:r>
        <w:t>8.41亿元，增长5.1%。其</w:t>
      </w:r>
      <w:r>
        <w:rPr>
          <w:rFonts w:hint="eastAsia"/>
        </w:rPr>
        <w:t>中资质等级及以上建筑企业</w:t>
      </w:r>
      <w:r>
        <w:t>8个，比上年增加4</w:t>
      </w:r>
      <w:r>
        <w:rPr>
          <w:rFonts w:hint="eastAsia"/>
        </w:rPr>
        <w:t>个，实现建筑业增加值</w:t>
      </w:r>
      <w:r>
        <w:t>5.71亿元，增长17.7%；</w:t>
      </w:r>
      <w:r>
        <w:rPr>
          <w:rFonts w:hint="eastAsia"/>
        </w:rPr>
        <w:t>完成建筑业总产值</w:t>
      </w:r>
      <w:r>
        <w:t>17.82亿元、增长18.1%；工程</w:t>
      </w:r>
      <w:r>
        <w:rPr>
          <w:rFonts w:hint="eastAsia"/>
        </w:rPr>
        <w:t>结算收入</w:t>
      </w:r>
      <w:r>
        <w:t>15.25亿元，增长18.5%；实现利润1.81</w:t>
      </w:r>
      <w:r>
        <w:rPr>
          <w:rFonts w:hint="eastAsia"/>
        </w:rPr>
        <w:t>亿元、增长</w:t>
      </w:r>
      <w:r>
        <w:t>20.7%；上交税金1.18亿元，增长34.6%。房屋施工面积174.3万平方米，增长12.1%；房屋竣工面积87.19万平方米，增</w:t>
      </w:r>
      <w:r>
        <w:rPr>
          <w:rFonts w:hint="eastAsia"/>
        </w:rPr>
        <w:t>长</w:t>
      </w:r>
      <w:r>
        <w:t>1.2%。</w:t>
      </w:r>
    </w:p>
    <w:p w14:paraId="14CE1FEB">
      <w:pPr>
        <w:rPr>
          <w:rFonts w:hint="eastAsia"/>
          <w:b/>
          <w:bCs/>
        </w:rPr>
      </w:pPr>
      <w:r>
        <w:rPr>
          <w:rFonts w:hint="eastAsia"/>
          <w:b/>
          <w:bCs/>
        </w:rPr>
        <w:t>四、固定资产投资</w:t>
      </w:r>
    </w:p>
    <w:p w14:paraId="0C1616B4">
      <w:r>
        <w:rPr>
          <w:rFonts w:hint="eastAsia"/>
        </w:rPr>
        <w:t>固定资产投资平稳增长。全年完成固定资产投资</w:t>
      </w:r>
      <w:r>
        <w:t>82.41亿元，增长16.0%。分投资主体看，国有</w:t>
      </w:r>
      <w:r>
        <w:rPr>
          <w:rFonts w:hint="eastAsia"/>
        </w:rPr>
        <w:t>及国有控股经济投资</w:t>
      </w:r>
      <w:r>
        <w:t>27.4亿元，增长15.4%；外</w:t>
      </w:r>
      <w:r>
        <w:rPr>
          <w:rFonts w:hint="eastAsia"/>
        </w:rPr>
        <w:t>商及港澳台经济投资</w:t>
      </w:r>
      <w:r>
        <w:t>1.74亿元，增长135.5%；民</w:t>
      </w:r>
      <w:r>
        <w:rPr>
          <w:rFonts w:hint="eastAsia"/>
        </w:rPr>
        <w:t>营经济投资</w:t>
      </w:r>
      <w:r>
        <w:t>53.27亿元，增长14.4%。分三次产业</w:t>
      </w:r>
      <w:r>
        <w:rPr>
          <w:rFonts w:hint="eastAsia"/>
        </w:rPr>
        <w:t>看，第一产业完成投资</w:t>
      </w:r>
      <w:r>
        <w:t>9</w:t>
      </w:r>
      <w:r>
        <w:rPr>
          <w:rFonts w:hint="eastAsia"/>
          <w:lang w:val="en-US" w:eastAsia="zh-CN"/>
        </w:rPr>
        <w:t>.</w:t>
      </w:r>
      <w:r>
        <w:t>68亿元，增长67.6%；</w:t>
      </w:r>
      <w:r>
        <w:rPr>
          <w:rFonts w:hint="eastAsia"/>
        </w:rPr>
        <w:t>第二产业完成投资</w:t>
      </w:r>
      <w:r>
        <w:t>33.03亿元，下降0.4%；第三</w:t>
      </w:r>
      <w:r>
        <w:rPr>
          <w:rFonts w:hint="eastAsia"/>
          <w:lang w:val="en-US" w:eastAsia="zh-CN"/>
        </w:rPr>
        <w:t>产</w:t>
      </w:r>
      <w:r>
        <w:rPr>
          <w:rFonts w:hint="eastAsia"/>
        </w:rPr>
        <w:t>业完成投资</w:t>
      </w:r>
      <w:r>
        <w:t>39</w:t>
      </w:r>
      <w:r>
        <w:rPr>
          <w:rFonts w:hint="eastAsia"/>
          <w:lang w:val="en-US" w:eastAsia="zh-CN"/>
        </w:rPr>
        <w:t>.</w:t>
      </w:r>
      <w:r>
        <w:t>69亿元、增长23.8%。房地产开</w:t>
      </w:r>
      <w:r>
        <w:rPr>
          <w:rFonts w:hint="eastAsia"/>
        </w:rPr>
        <w:t>发完成投资</w:t>
      </w:r>
      <w:r>
        <w:t>5.86亿元、增长13.9%。</w:t>
      </w:r>
    </w:p>
    <w:tbl>
      <w:tblPr>
        <w:tblStyle w:val="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138AA8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548DB975">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7440" cy="4733290"/>
                  <wp:effectExtent l="0" t="0" r="3810" b="10160"/>
                  <wp:docPr id="65" name="图片 6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6"/>
                          <pic:cNvPicPr>
                            <a:picLocks noChangeAspect="1"/>
                          </pic:cNvPicPr>
                        </pic:nvPicPr>
                        <pic:blipFill>
                          <a:blip r:embed="rId135"/>
                          <a:stretch>
                            <a:fillRect/>
                          </a:stretch>
                        </pic:blipFill>
                        <pic:spPr>
                          <a:xfrm>
                            <a:off x="0" y="0"/>
                            <a:ext cx="6187440" cy="4733290"/>
                          </a:xfrm>
                          <a:prstGeom prst="rect">
                            <a:avLst/>
                          </a:prstGeom>
                        </pic:spPr>
                      </pic:pic>
                    </a:graphicData>
                  </a:graphic>
                </wp:inline>
              </w:drawing>
            </w:r>
          </w:p>
        </w:tc>
      </w:tr>
    </w:tbl>
    <w:p w14:paraId="51EF54A7">
      <w:pPr>
        <w:pStyle w:val="10"/>
        <w:bidi w:val="0"/>
        <w:jc w:val="center"/>
        <w:rPr>
          <w:rFonts w:hint="eastAsia"/>
        </w:rPr>
      </w:pPr>
      <w:r>
        <w:rPr>
          <w:rFonts w:hint="eastAsia"/>
          <w:b/>
          <w:bCs/>
        </w:rPr>
        <w:t>图6  2009-2013年固定资产投资及其增长速度</w:t>
      </w:r>
    </w:p>
    <w:p w14:paraId="51A13A37">
      <w:r>
        <w:rPr>
          <w:rFonts w:hint="eastAsia"/>
        </w:rPr>
        <w:t>重点建设项目加快推进。“三农”项目方面，湖口镇、邓坊镇两个农综项目已竣工，分别完成投资</w:t>
      </w:r>
      <w:r>
        <w:t>1320万元和1500万元；烟叶基础设施完成投资3983万元；水利投入资金1.57亿元，8个重点项</w:t>
      </w:r>
      <w:r>
        <w:rPr>
          <w:rFonts w:hint="eastAsia"/>
        </w:rPr>
        <w:t>目扎实推进；</w:t>
      </w:r>
      <w:r>
        <w:t>44个村级“一事一议”项目、2个名</w:t>
      </w:r>
      <w:r>
        <w:rPr>
          <w:rFonts w:hint="eastAsia"/>
        </w:rPr>
        <w:t>村、</w:t>
      </w:r>
      <w:r>
        <w:t>5个示范村建设全面完成。工业企业方面，乐</w:t>
      </w:r>
      <w:r>
        <w:rPr>
          <w:rFonts w:hint="eastAsia"/>
        </w:rPr>
        <w:t>华洁具二期工程投资</w:t>
      </w:r>
      <w:r>
        <w:t>9500万元，正在进行设备安</w:t>
      </w:r>
      <w:r>
        <w:rPr>
          <w:rFonts w:hint="eastAsia"/>
        </w:rPr>
        <w:t>装调试；绿洲公司扩产技改项目完成投资</w:t>
      </w:r>
      <w:r>
        <w:t>2000万</w:t>
      </w:r>
      <w:r>
        <w:rPr>
          <w:rFonts w:hint="eastAsia"/>
        </w:rPr>
        <w:t>元，已经完成土建工程；彤置富水泥生产线主体工程建设进展加快。交通基础设施方面，赣韶铁路南雄段完成铺轨，</w:t>
      </w:r>
      <w:r>
        <w:t>2014年6月将正式通车；投资2075</w:t>
      </w:r>
      <w:r>
        <w:rPr>
          <w:rFonts w:hint="eastAsia"/>
        </w:rPr>
        <w:t>万元，完成</w:t>
      </w:r>
      <w:r>
        <w:t>83公里自然村水泥公路建设，超过原</w:t>
      </w:r>
      <w:r>
        <w:rPr>
          <w:rFonts w:hint="eastAsia"/>
        </w:rPr>
        <w:t>计划</w:t>
      </w:r>
      <w:r>
        <w:t>23公里；X342线湖口至南亩县道改造，春节</w:t>
      </w:r>
      <w:r>
        <w:rPr>
          <w:rFonts w:hint="eastAsia"/>
        </w:rPr>
        <w:t>前可完成主路面工程。旅游配套项目方面，珠玑古巷停车场建设、梅岭</w:t>
      </w:r>
      <w:r>
        <w:t>50.7亩“梅园”种植已完成；</w:t>
      </w:r>
      <w:r>
        <w:rPr>
          <w:rFonts w:hint="eastAsia"/>
        </w:rPr>
        <w:t>广东奥威斯乐园完成投资</w:t>
      </w:r>
      <w:r>
        <w:t>1亿元，元升生态观光休</w:t>
      </w:r>
      <w:r>
        <w:rPr>
          <w:rFonts w:hint="eastAsia"/>
        </w:rPr>
        <w:t>闲农场完成投资</w:t>
      </w:r>
      <w:r>
        <w:t>5000万元，锦绣花园酒店完成投</w:t>
      </w:r>
      <w:r>
        <w:rPr>
          <w:rFonts w:hint="eastAsia"/>
        </w:rPr>
        <w:t>资</w:t>
      </w:r>
      <w:r>
        <w:t>3000万元，国际会展中心酒店已封顶。信息化</w:t>
      </w:r>
      <w:r>
        <w:rPr>
          <w:rFonts w:hint="eastAsia"/>
        </w:rPr>
        <w:t>建设稳步推进，光网城市宽带工程、</w:t>
      </w:r>
      <w:r>
        <w:t>C网新建等项</w:t>
      </w:r>
      <w:r>
        <w:rPr>
          <w:rFonts w:hint="eastAsia"/>
        </w:rPr>
        <w:t>目建设完成投资</w:t>
      </w:r>
      <w:r>
        <w:t>974万元。电力、能源等基础设施</w:t>
      </w:r>
      <w:r>
        <w:rPr>
          <w:rFonts w:hint="eastAsia"/>
        </w:rPr>
        <w:t>建设不断完善，农村电网改造完成投资</w:t>
      </w:r>
      <w:r>
        <w:t>3726万元，</w:t>
      </w:r>
      <w:r>
        <w:rPr>
          <w:rFonts w:hint="eastAsia"/>
        </w:rPr>
        <w:t>佛燃天然气公司完成</w:t>
      </w:r>
      <w:r>
        <w:t>20公里燃气管道铺设。</w:t>
      </w:r>
    </w:p>
    <w:p w14:paraId="6E3FC854">
      <w:pPr>
        <w:rPr>
          <w:rFonts w:hint="eastAsia"/>
          <w:lang w:eastAsia="zh-CN"/>
        </w:rPr>
      </w:pPr>
      <w:r>
        <w:rPr>
          <w:rFonts w:hint="eastAsia"/>
        </w:rPr>
        <w:t>城市建设步伐加快。城市总体规划修改和镇村规划编制工作顺利进行。南雄东方（大润发）项目</w:t>
      </w:r>
      <w:r>
        <w:rPr>
          <w:rFonts w:hint="eastAsia"/>
          <w:lang w:eastAsia="zh-CN"/>
        </w:rPr>
        <w:t>一</w:t>
      </w:r>
      <w:r>
        <w:rPr>
          <w:rFonts w:hint="eastAsia"/>
        </w:rPr>
        <w:t>期工程完成投资</w:t>
      </w:r>
      <w:r>
        <w:t>2亿元，并建成开业。大福国际</w:t>
      </w:r>
      <w:r>
        <w:rPr>
          <w:rFonts w:hint="eastAsia"/>
        </w:rPr>
        <w:t>名城一期完成投资</w:t>
      </w:r>
      <w:r>
        <w:t>1.12亿元，六栋商住楼和商业</w:t>
      </w:r>
      <w:r>
        <w:rPr>
          <w:rFonts w:hint="eastAsia"/>
        </w:rPr>
        <w:t>中心已经建成，建筑面积</w:t>
      </w:r>
      <w:r>
        <w:t>10.1万平方米；100套廉</w:t>
      </w:r>
      <w:r>
        <w:rPr>
          <w:rFonts w:hint="eastAsia"/>
        </w:rPr>
        <w:t>租房建成并完成配租；公租房一期</w:t>
      </w:r>
      <w:r>
        <w:t>54套基本完工，</w:t>
      </w:r>
      <w:r>
        <w:rPr>
          <w:rFonts w:hint="eastAsia"/>
          <w:lang w:val="en-US" w:eastAsia="zh-CN"/>
        </w:rPr>
        <w:t>二</w:t>
      </w:r>
      <w:r>
        <w:rPr>
          <w:rFonts w:hint="eastAsia"/>
        </w:rPr>
        <w:t>期项目已开工建设。雄州新城、时代广场、新雄州公园等城市精品项目加快推进</w:t>
      </w:r>
      <w:r>
        <w:rPr>
          <w:rFonts w:hint="eastAsia"/>
          <w:lang w:eastAsia="zh-CN"/>
        </w:rPr>
        <w:t>。</w:t>
      </w:r>
    </w:p>
    <w:p w14:paraId="42549E3C">
      <w:r>
        <w:rPr>
          <w:rFonts w:hint="eastAsia"/>
        </w:rPr>
        <w:t>全年商品房销售面积</w:t>
      </w:r>
      <w:r>
        <w:t>29.17万平方米、增长1.1%，其中住宅商品房销售面积25.19万平方米</w:t>
      </w:r>
      <w:r>
        <w:rPr>
          <w:rFonts w:hint="eastAsia"/>
          <w:lang w:eastAsia="zh-CN"/>
        </w:rPr>
        <w:t>、</w:t>
      </w:r>
      <w:r>
        <w:rPr>
          <w:rFonts w:hint="eastAsia"/>
        </w:rPr>
        <w:t>下降</w:t>
      </w:r>
      <w:r>
        <w:t>4.2%。商品房销售额10.09亿元、增长8.3%，其中住宅商品房销售额8.44亿元、增长2.3%。年末商品房待售面积0.04万平方米，下</w:t>
      </w:r>
      <w:r>
        <w:rPr>
          <w:rFonts w:hint="eastAsia"/>
        </w:rPr>
        <w:t>降</w:t>
      </w:r>
      <w:r>
        <w:t>64.6%。</w:t>
      </w:r>
    </w:p>
    <w:p w14:paraId="6BB8D9B7">
      <w:pPr>
        <w:rPr>
          <w:rFonts w:hint="eastAsia"/>
          <w:b/>
          <w:bCs/>
        </w:rPr>
      </w:pPr>
      <w:r>
        <w:rPr>
          <w:rFonts w:hint="eastAsia"/>
          <w:b/>
          <w:bCs/>
        </w:rPr>
        <w:t>五、贸易和外经</w:t>
      </w:r>
    </w:p>
    <w:p w14:paraId="7FE08FD0">
      <w:r>
        <w:rPr>
          <w:rFonts w:hint="eastAsia"/>
        </w:rPr>
        <w:t>年末限额以上批发零售企业</w:t>
      </w:r>
      <w:r>
        <w:t>45个，比上年增</w:t>
      </w:r>
      <w:r>
        <w:rPr>
          <w:rFonts w:hint="eastAsia"/>
        </w:rPr>
        <w:t>加</w:t>
      </w:r>
      <w:r>
        <w:t>15个；限额以上住宿餐饮企业15个，比上年增</w:t>
      </w:r>
      <w:r>
        <w:rPr>
          <w:rFonts w:hint="eastAsia"/>
        </w:rPr>
        <w:t>加</w:t>
      </w:r>
      <w:r>
        <w:t>6个。全年批发零售和住宿餐饮业销售额63.72</w:t>
      </w:r>
      <w:r>
        <w:rPr>
          <w:rFonts w:hint="eastAsia"/>
        </w:rPr>
        <w:t>亿元，增长</w:t>
      </w:r>
      <w:r>
        <w:t>24.9%。其中：批发零售业销售额58.65亿元，增长25.1%；住宿餐饮业营业额5.07</w:t>
      </w:r>
      <w:r>
        <w:rPr>
          <w:rFonts w:hint="eastAsia"/>
        </w:rPr>
        <w:t>亿元，增长</w:t>
      </w:r>
      <w:r>
        <w:t>22.5%。社会消费品零售总额35.59亿</w:t>
      </w:r>
      <w:r>
        <w:rPr>
          <w:rFonts w:hint="eastAsia"/>
        </w:rPr>
        <w:t>元，增长</w:t>
      </w:r>
      <w:r>
        <w:t>15.1%。其中：城镇消费品零售额26.81</w:t>
      </w:r>
      <w:r>
        <w:rPr>
          <w:rFonts w:hint="eastAsia"/>
        </w:rPr>
        <w:t>亿元，增长</w:t>
      </w:r>
      <w:r>
        <w:t>15.3%；乡村消费品零售额8.78亿元，</w:t>
      </w:r>
      <w:r>
        <w:rPr>
          <w:rFonts w:hint="eastAsia"/>
        </w:rPr>
        <w:t>增长</w:t>
      </w:r>
      <w:r>
        <w:t>14.6%。</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560F3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361CD83">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6170" cy="2811780"/>
                  <wp:effectExtent l="0" t="0" r="5080" b="7620"/>
                  <wp:docPr id="66" name="图片 66"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7"/>
                          <pic:cNvPicPr>
                            <a:picLocks noChangeAspect="1"/>
                          </pic:cNvPicPr>
                        </pic:nvPicPr>
                        <pic:blipFill>
                          <a:blip r:embed="rId136"/>
                          <a:stretch>
                            <a:fillRect/>
                          </a:stretch>
                        </pic:blipFill>
                        <pic:spPr>
                          <a:xfrm>
                            <a:off x="0" y="0"/>
                            <a:ext cx="6186170" cy="2811780"/>
                          </a:xfrm>
                          <a:prstGeom prst="rect">
                            <a:avLst/>
                          </a:prstGeom>
                        </pic:spPr>
                      </pic:pic>
                    </a:graphicData>
                  </a:graphic>
                </wp:inline>
              </w:drawing>
            </w:r>
          </w:p>
        </w:tc>
      </w:tr>
    </w:tbl>
    <w:p w14:paraId="1D0624BC">
      <w:pPr>
        <w:pStyle w:val="10"/>
        <w:bidi w:val="0"/>
        <w:jc w:val="center"/>
        <w:rPr>
          <w:rFonts w:hint="eastAsia"/>
          <w:b/>
          <w:bCs/>
        </w:rPr>
      </w:pPr>
      <w:r>
        <w:rPr>
          <w:rFonts w:hint="eastAsia"/>
          <w:b/>
          <w:bCs/>
        </w:rPr>
        <w:t>图7  2009-2013年社会消费品零售总额及其增长速度</w:t>
      </w:r>
    </w:p>
    <w:p w14:paraId="046C8F9E">
      <w:pPr>
        <w:rPr>
          <w:rFonts w:hint="eastAsia"/>
          <w:lang w:eastAsia="zh-CN"/>
        </w:rPr>
      </w:pPr>
      <w:r>
        <w:rPr>
          <w:rFonts w:hint="eastAsia"/>
        </w:rPr>
        <w:t>对外开放水平全面提升。利用首届“世广会”，成功举办了“南雄旅游投资环境推介会”，签约资金</w:t>
      </w:r>
      <w:r>
        <w:t>28.7亿元。全年引进投资项目27个，投资总额8.78亿元。合同利用外资3200万美元，实际利用</w:t>
      </w:r>
      <w:r>
        <w:rPr>
          <w:rFonts w:hint="eastAsia"/>
        </w:rPr>
        <w:t>外资</w:t>
      </w:r>
      <w:r>
        <w:t>22</w:t>
      </w:r>
      <w:r>
        <w:rPr>
          <w:rFonts w:hint="eastAsia"/>
          <w:lang w:val="en-US" w:eastAsia="zh-CN"/>
        </w:rPr>
        <w:t>2</w:t>
      </w:r>
      <w:r>
        <w:t>0万美元。外贸出口总额3835万美元，</w:t>
      </w:r>
      <w:r>
        <w:rPr>
          <w:rFonts w:hint="eastAsia"/>
          <w:lang w:val="en-US" w:eastAsia="zh-CN"/>
        </w:rPr>
        <w:t>同</w:t>
      </w:r>
      <w:r>
        <w:rPr>
          <w:rFonts w:hint="eastAsia"/>
        </w:rPr>
        <w:t>比增长</w:t>
      </w:r>
      <w:r>
        <w:t>34.2%</w:t>
      </w:r>
      <w:r>
        <w:rPr>
          <w:rFonts w:hint="eastAsia"/>
          <w:lang w:eastAsia="zh-CN"/>
        </w:rPr>
        <w:t>。</w:t>
      </w:r>
    </w:p>
    <w:p w14:paraId="6D657AD4">
      <w:pPr>
        <w:rPr>
          <w:rFonts w:hint="eastAsia"/>
          <w:b/>
          <w:bCs/>
        </w:rPr>
      </w:pPr>
      <w:r>
        <w:rPr>
          <w:rFonts w:hint="eastAsia"/>
          <w:b/>
          <w:bCs/>
        </w:rPr>
        <w:t>六、交通、邮电和旅游</w:t>
      </w:r>
    </w:p>
    <w:p w14:paraId="1A6503B3">
      <w:pPr>
        <w:rPr>
          <w:rFonts w:hint="eastAsia"/>
          <w:lang w:eastAsia="zh-CN"/>
        </w:rPr>
      </w:pPr>
      <w:r>
        <w:rPr>
          <w:rFonts w:hint="eastAsia"/>
          <w:lang w:eastAsia="zh-CN"/>
        </w:rPr>
        <w:t>全</w:t>
      </w:r>
      <w:r>
        <w:rPr>
          <w:rFonts w:hint="eastAsia"/>
        </w:rPr>
        <w:t>年交通运输、仓储和邮政业增加值</w:t>
      </w:r>
      <w:r>
        <w:t>5.3亿</w:t>
      </w:r>
      <w:r>
        <w:rPr>
          <w:rFonts w:hint="eastAsia"/>
        </w:rPr>
        <w:t>元，增长</w:t>
      </w:r>
      <w:r>
        <w:t>16.3%</w:t>
      </w:r>
      <w:r>
        <w:rPr>
          <w:rFonts w:hint="eastAsia"/>
          <w:lang w:eastAsia="zh-CN"/>
        </w:rPr>
        <w:t>。</w:t>
      </w:r>
    </w:p>
    <w:p w14:paraId="44A7968B">
      <w:r>
        <w:rPr>
          <w:rFonts w:hint="eastAsia"/>
        </w:rPr>
        <w:t>公路货运周转量</w:t>
      </w:r>
      <w:r>
        <w:t>21114万吨公里，客运周转量23565万人公里。年</w:t>
      </w:r>
      <w:r>
        <w:rPr>
          <w:rFonts w:hint="eastAsia"/>
          <w:lang w:val="en-US" w:eastAsia="zh-CN"/>
        </w:rPr>
        <w:t>末</w:t>
      </w:r>
      <w:r>
        <w:t>公路通车里程2272.375公里</w:t>
      </w:r>
      <w:r>
        <w:rPr>
          <w:rFonts w:hint="eastAsia"/>
        </w:rPr>
        <w:t>（公路密度</w:t>
      </w:r>
      <w:r>
        <w:t>106.88公里</w:t>
      </w:r>
      <w:r>
        <w:rPr>
          <w:rFonts w:hint="eastAsia"/>
          <w:lang w:val="en-US" w:eastAsia="zh-CN"/>
        </w:rPr>
        <w:t>/</w:t>
      </w:r>
      <w:r>
        <w:t>百平方公里），其中高等级</w:t>
      </w:r>
      <w:r>
        <w:rPr>
          <w:rFonts w:hint="eastAsia"/>
        </w:rPr>
        <w:t>路面公路</w:t>
      </w:r>
      <w:r>
        <w:t>161.996公里，等级公路2098.427公里。</w:t>
      </w:r>
      <w:r>
        <w:rPr>
          <w:rFonts w:hint="eastAsia"/>
        </w:rPr>
        <w:t>当年新建公路里程</w:t>
      </w:r>
      <w:r>
        <w:t>66.7公里，新建桥梁3座。全</w:t>
      </w:r>
      <w:r>
        <w:rPr>
          <w:rFonts w:hint="eastAsia"/>
        </w:rPr>
        <w:t>市新增民用汽车</w:t>
      </w:r>
      <w:r>
        <w:t>1525辆，新增摩托车1278辆。</w:t>
      </w:r>
    </w:p>
    <w:p w14:paraId="2C8FA714">
      <w:r>
        <w:rPr>
          <w:rFonts w:hint="eastAsia"/>
        </w:rPr>
        <w:t>年末实有公共汽车营运车辆</w:t>
      </w:r>
      <w:r>
        <w:t>302辆，其中出租</w:t>
      </w:r>
      <w:r>
        <w:rPr>
          <w:rFonts w:hint="eastAsia"/>
        </w:rPr>
        <w:t>汽车</w:t>
      </w:r>
      <w:r>
        <w:t>76辆。</w:t>
      </w:r>
    </w:p>
    <w:p w14:paraId="3B323D03">
      <w:pPr>
        <w:rPr>
          <w:rFonts w:hint="eastAsia"/>
        </w:rPr>
      </w:pPr>
      <w:r>
        <w:rPr>
          <w:rFonts w:hint="eastAsia"/>
        </w:rPr>
        <w:t>全年完成邮电通信业务总量（按</w:t>
      </w:r>
      <w:r>
        <w:t>2010年不变</w:t>
      </w:r>
      <w:r>
        <w:rPr>
          <w:rFonts w:hint="eastAsia"/>
        </w:rPr>
        <w:t>价格计算，下同）</w:t>
      </w:r>
      <w:r>
        <w:t>1.77亿元，增长15.5%。其中：</w:t>
      </w:r>
      <w:r>
        <w:rPr>
          <w:rFonts w:hint="eastAsia"/>
        </w:rPr>
        <w:t>邮政业务总量</w:t>
      </w:r>
      <w:r>
        <w:t>0.19亿元，增长28.9%；通信业务</w:t>
      </w:r>
      <w:r>
        <w:rPr>
          <w:rFonts w:hint="eastAsia"/>
        </w:rPr>
        <w:t>总量</w:t>
      </w:r>
      <w:r>
        <w:t>1.58亿元，增长14.0%。年末电话交换机总</w:t>
      </w:r>
      <w:r>
        <w:rPr>
          <w:rFonts w:hint="eastAsia"/>
        </w:rPr>
        <w:t>容量</w:t>
      </w:r>
      <w:r>
        <w:t>8.92万门，固定电话5.51万户，移动电话用</w:t>
      </w:r>
      <w:r>
        <w:rPr>
          <w:rFonts w:hint="eastAsia"/>
        </w:rPr>
        <w:t>户</w:t>
      </w:r>
      <w:r>
        <w:t>24.07万户。按常住人口计算，移动电话普及率</w:t>
      </w:r>
      <w:r>
        <w:rPr>
          <w:rFonts w:hint="eastAsia"/>
        </w:rPr>
        <w:t>达到每百人</w:t>
      </w:r>
      <w:r>
        <w:t>73.83部。全市家庭宽带用户数10.81</w:t>
      </w:r>
      <w:r>
        <w:rPr>
          <w:rFonts w:hint="eastAsia"/>
        </w:rPr>
        <w:t>万户。</w:t>
      </w:r>
    </w:p>
    <w:p w14:paraId="211155D0">
      <w:r>
        <w:rPr>
          <w:rFonts w:hint="eastAsia"/>
        </w:rPr>
        <w:t>旅游产业不断壮大。珠玑古巷、梅岭梅花、帽子峰林场及坪田银杏等特色旅游知名度全面提升。全年接待旅游者人数</w:t>
      </w:r>
      <w:r>
        <w:t>220.85万人次、增长28%；</w:t>
      </w:r>
      <w:r>
        <w:rPr>
          <w:rFonts w:hint="eastAsia"/>
        </w:rPr>
        <w:t>旅游总收入</w:t>
      </w:r>
      <w:r>
        <w:t>15.55亿元，增长32.7%。</w:t>
      </w:r>
    </w:p>
    <w:p w14:paraId="35731B90">
      <w:pPr>
        <w:rPr>
          <w:rFonts w:hint="eastAsia"/>
          <w:b/>
          <w:bCs/>
        </w:rPr>
      </w:pPr>
      <w:r>
        <w:rPr>
          <w:rFonts w:hint="eastAsia"/>
          <w:b/>
          <w:bCs/>
        </w:rPr>
        <w:t>七、金融和保险业</w:t>
      </w:r>
    </w:p>
    <w:p w14:paraId="3A11039F">
      <w:r>
        <w:rPr>
          <w:rFonts w:hint="eastAsia"/>
        </w:rPr>
        <w:t>年末金融机构本外币各项存款余额</w:t>
      </w:r>
      <w:r>
        <w:t>91.7亿元，</w:t>
      </w:r>
      <w:r>
        <w:rPr>
          <w:rFonts w:hint="eastAsia"/>
        </w:rPr>
        <w:t>比年初增加</w:t>
      </w:r>
      <w:r>
        <w:t>16.27亿元，增长21.6%。其中，城乡</w:t>
      </w:r>
      <w:r>
        <w:rPr>
          <w:rFonts w:hint="eastAsia"/>
        </w:rPr>
        <w:t>居民本外币储蓄存款余额</w:t>
      </w:r>
      <w:r>
        <w:t>69.7亿元，比年初增加9.76亿元，增长16.3%。年末金融机构本外币各</w:t>
      </w:r>
      <w:r>
        <w:rPr>
          <w:rFonts w:hint="eastAsia"/>
        </w:rPr>
        <w:t>项贷款余额</w:t>
      </w:r>
      <w:r>
        <w:t>37.2亿元，比年初增加14.12亿元，增</w:t>
      </w:r>
      <w:r>
        <w:rPr>
          <w:rFonts w:hint="eastAsia"/>
        </w:rPr>
        <w:t>长</w:t>
      </w:r>
      <w:r>
        <w:t>61.2%。个人消费贷款12.75亿元，增长28.5%。其中，个人中长期消费贷款12.46亿元，</w:t>
      </w:r>
      <w:r>
        <w:rPr>
          <w:rFonts w:hint="eastAsia"/>
        </w:rPr>
        <w:t>增长</w:t>
      </w:r>
      <w:r>
        <w:t>28.4%；个人短期消费贷款0.29亿元，增</w:t>
      </w:r>
      <w:r>
        <w:rPr>
          <w:rFonts w:hint="eastAsia"/>
        </w:rPr>
        <w:t>长</w:t>
      </w:r>
      <w:r>
        <w:t>0.4%。</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689CB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11AB8C2">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7440" cy="2674620"/>
                  <wp:effectExtent l="0" t="0" r="3810" b="11430"/>
                  <wp:docPr id="67" name="图片 67"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8"/>
                          <pic:cNvPicPr>
                            <a:picLocks noChangeAspect="1"/>
                          </pic:cNvPicPr>
                        </pic:nvPicPr>
                        <pic:blipFill>
                          <a:blip r:embed="rId137"/>
                          <a:stretch>
                            <a:fillRect/>
                          </a:stretch>
                        </pic:blipFill>
                        <pic:spPr>
                          <a:xfrm>
                            <a:off x="0" y="0"/>
                            <a:ext cx="6187440" cy="2674620"/>
                          </a:xfrm>
                          <a:prstGeom prst="rect">
                            <a:avLst/>
                          </a:prstGeom>
                        </pic:spPr>
                      </pic:pic>
                    </a:graphicData>
                  </a:graphic>
                </wp:inline>
              </w:drawing>
            </w:r>
          </w:p>
        </w:tc>
      </w:tr>
    </w:tbl>
    <w:p w14:paraId="0F5D75BD">
      <w:pPr>
        <w:pStyle w:val="10"/>
        <w:bidi w:val="0"/>
        <w:jc w:val="center"/>
        <w:rPr>
          <w:rFonts w:hint="eastAsia"/>
          <w:b/>
          <w:bCs/>
        </w:rPr>
      </w:pPr>
      <w:r>
        <w:rPr>
          <w:rFonts w:hint="eastAsia"/>
          <w:b/>
          <w:bCs/>
        </w:rPr>
        <w:t>图8  2009-2013年城乡居民储蓄存款余额及其增长速度</w:t>
      </w:r>
    </w:p>
    <w:p w14:paraId="35156035">
      <w:r>
        <w:rPr>
          <w:rFonts w:hint="eastAsia"/>
        </w:rPr>
        <w:t>全年保费总收入</w:t>
      </w:r>
      <w:r>
        <w:t>9638万元，增长7.0%。其</w:t>
      </w:r>
      <w:r>
        <w:rPr>
          <w:rFonts w:hint="eastAsia"/>
        </w:rPr>
        <w:t>中，寿险保费收入</w:t>
      </w:r>
      <w:r>
        <w:t>6923万元，下降1.7%；财产险</w:t>
      </w:r>
      <w:r>
        <w:rPr>
          <w:rFonts w:hint="eastAsia"/>
        </w:rPr>
        <w:t>保费收入</w:t>
      </w:r>
      <w:r>
        <w:t>2715万元，增长38.4%。支付各项赔款</w:t>
      </w:r>
      <w:r>
        <w:rPr>
          <w:rFonts w:hint="eastAsia"/>
        </w:rPr>
        <w:t>给付</w:t>
      </w:r>
      <w:r>
        <w:t>2855万元，其中财产险赔付支出1188万元，</w:t>
      </w:r>
      <w:r>
        <w:rPr>
          <w:rFonts w:hint="eastAsia"/>
        </w:rPr>
        <w:t>下降</w:t>
      </w:r>
      <w:r>
        <w:t>5.5%；人身险赔付支出1667万元，增</w:t>
      </w:r>
      <w:r>
        <w:rPr>
          <w:rFonts w:hint="eastAsia"/>
        </w:rPr>
        <w:t>长</w:t>
      </w:r>
      <w:r>
        <w:t>55.2%</w:t>
      </w:r>
      <w:r>
        <w:rPr>
          <w:rFonts w:hint="eastAsia"/>
          <w:lang w:eastAsia="zh-CN"/>
        </w:rPr>
        <w:t>。</w:t>
      </w:r>
      <w:r>
        <w:rPr>
          <w:rFonts w:hint="eastAsia"/>
        </w:rPr>
        <w:t>八、教育和科学技术教育均衡化成效显著。争取各方资金</w:t>
      </w:r>
      <w:r>
        <w:t>3700多</w:t>
      </w:r>
      <w:r>
        <w:rPr>
          <w:rFonts w:hint="eastAsia"/>
        </w:rPr>
        <w:t>万元，不断优化学校办学条件，在办学条件和标准上城乡统一，着力实现城乡教育一体化，不断缩小城乡教育差距；投入</w:t>
      </w:r>
      <w:r>
        <w:t>8600多万元建设古市、邓坊、</w:t>
      </w:r>
      <w:r>
        <w:rPr>
          <w:rFonts w:hint="eastAsia"/>
        </w:rPr>
        <w:t>雄州街道等</w:t>
      </w:r>
      <w:r>
        <w:t>3个“省教育强镇”；投入3亿多元巨</w:t>
      </w:r>
      <w:r>
        <w:rPr>
          <w:rFonts w:hint="eastAsia"/>
        </w:rPr>
        <w:t>资高标准建设占地</w:t>
      </w:r>
      <w:r>
        <w:t>233多亩、建设面积达8万平方</w:t>
      </w:r>
      <w:r>
        <w:rPr>
          <w:rFonts w:hint="eastAsia"/>
        </w:rPr>
        <w:t>米的教育“四大”民生工程全面启用，为教育强市建设奠定了更加坚实的基础；投入</w:t>
      </w:r>
      <w:r>
        <w:t>1000多万元完</w:t>
      </w:r>
      <w:r>
        <w:rPr>
          <w:rFonts w:hint="eastAsia"/>
        </w:rPr>
        <w:t>善全市中小学的教育信息技术装备，为全市</w:t>
      </w:r>
      <w:r>
        <w:t>64个</w:t>
      </w:r>
      <w:r>
        <w:rPr>
          <w:rFonts w:hint="eastAsia"/>
        </w:rPr>
        <w:t>教学点建设了教学点卫星数字教育资源全覆盖项目；投入</w:t>
      </w:r>
      <w:r>
        <w:t>1000多万元建设邓坊、珠玑等镇中心幼</w:t>
      </w:r>
      <w:r>
        <w:rPr>
          <w:rFonts w:hint="eastAsia"/>
        </w:rPr>
        <w:t>儿园，改善</w:t>
      </w:r>
      <w:r>
        <w:t>14所城区公办和民办园的办园条件，</w:t>
      </w:r>
      <w:r>
        <w:rPr>
          <w:rFonts w:hint="eastAsia"/>
        </w:rPr>
        <w:t>全市规范化幼儿园覆盖率为</w:t>
      </w:r>
      <w:r>
        <w:t>52%，公办幼儿园覆盖</w:t>
      </w:r>
      <w:r>
        <w:rPr>
          <w:rFonts w:hint="eastAsia"/>
        </w:rPr>
        <w:t>率为</w:t>
      </w:r>
      <w:r>
        <w:t>37.5%，在园幼儿人数1</w:t>
      </w:r>
      <w:r>
        <w:rPr>
          <w:rFonts w:hint="eastAsia"/>
          <w:lang w:val="en-US" w:eastAsia="zh-CN"/>
        </w:rPr>
        <w:t>.</w:t>
      </w:r>
      <w:r>
        <w:t>4万，学前三年毛入</w:t>
      </w:r>
      <w:r>
        <w:rPr>
          <w:rFonts w:hint="eastAsia"/>
        </w:rPr>
        <w:t>园率达</w:t>
      </w:r>
      <w:r>
        <w:t>90.3%；全市小学入学率达104%，小学五</w:t>
      </w:r>
      <w:r>
        <w:rPr>
          <w:rFonts w:hint="eastAsia"/>
        </w:rPr>
        <w:t>年保留率达</w:t>
      </w:r>
      <w:r>
        <w:t>100%；初中入学率达129%，三年保</w:t>
      </w:r>
      <w:r>
        <w:rPr>
          <w:rFonts w:hint="eastAsia"/>
        </w:rPr>
        <w:t>留率达</w:t>
      </w:r>
      <w:r>
        <w:t>98.2%，全市的义务教育规范化学校覆盖率</w:t>
      </w:r>
      <w:r>
        <w:rPr>
          <w:rFonts w:hint="eastAsia"/>
        </w:rPr>
        <w:t>达</w:t>
      </w:r>
      <w:r>
        <w:t>100%；高中入学率达到了95.6%。高考再创辉</w:t>
      </w:r>
      <w:r>
        <w:rPr>
          <w:rFonts w:hint="eastAsia"/>
        </w:rPr>
        <w:t>煌，各批次上线人数位居韶关各县（市区）前列；中等职业学校就业班应届毕业生就业率达</w:t>
      </w:r>
      <w:r>
        <w:t>100%，</w:t>
      </w:r>
      <w:r>
        <w:rPr>
          <w:rFonts w:hint="eastAsia"/>
        </w:rPr>
        <w:t>“</w:t>
      </w:r>
      <w:r>
        <w:t>3+证书</w:t>
      </w:r>
      <w:r>
        <w:rPr>
          <w:rFonts w:hint="eastAsia" w:ascii="宋体" w:hAnsi="宋体" w:cs="宋体"/>
        </w:rPr>
        <w:t>”</w:t>
      </w:r>
      <w:r>
        <w:t>高考上线率达94.4%。</w:t>
      </w:r>
    </w:p>
    <w:p w14:paraId="13CB0B6D">
      <w:pPr>
        <w:pStyle w:val="10"/>
        <w:bidi w:val="0"/>
        <w:jc w:val="center"/>
        <w:rPr>
          <w:rFonts w:hint="eastAsia"/>
          <w:b/>
          <w:bCs/>
        </w:rPr>
      </w:pPr>
      <w:r>
        <w:rPr>
          <w:rFonts w:hint="eastAsia"/>
          <w:b/>
          <w:bCs/>
        </w:rPr>
        <w:t>各类学校教育发展情况</w:t>
      </w:r>
    </w:p>
    <w:p w14:paraId="10E6A44A">
      <w:pPr>
        <w:bidi w:val="0"/>
        <w:rPr>
          <w:rFonts w:hint="eastAsia"/>
        </w:rPr>
      </w:pPr>
      <w:r>
        <w:rPr>
          <w:rFonts w:hint="eastAsia"/>
        </w:rPr>
        <w:t>表44</w:t>
      </w:r>
    </w:p>
    <w:tbl>
      <w:tblPr>
        <w:tblStyle w:val="7"/>
        <w:tblW w:w="4998"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108" w:type="dxa"/>
          <w:bottom w:w="0" w:type="dxa"/>
          <w:right w:w="108" w:type="dxa"/>
        </w:tblCellMar>
      </w:tblPr>
      <w:tblGrid>
        <w:gridCol w:w="2164"/>
        <w:gridCol w:w="1732"/>
        <w:gridCol w:w="2165"/>
        <w:gridCol w:w="2075"/>
        <w:gridCol w:w="1822"/>
      </w:tblGrid>
      <w:tr w14:paraId="43FCDB5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450" w:hRule="atLeast"/>
        </w:trPr>
        <w:tc>
          <w:tcPr>
            <w:tcW w:w="1086" w:type="pct"/>
            <w:tcBorders>
              <w:top w:val="single" w:color="000000" w:sz="8" w:space="0"/>
              <w:bottom w:val="single" w:color="000000" w:sz="8" w:space="0"/>
              <w:right w:val="single" w:color="000000" w:sz="8" w:space="0"/>
            </w:tcBorders>
            <w:shd w:val="clear" w:color="auto" w:fill="FFFFFF"/>
            <w:noWrap w:val="0"/>
            <w:vAlign w:val="center"/>
          </w:tcPr>
          <w:p w14:paraId="5892290C">
            <w:pPr>
              <w:pStyle w:val="10"/>
              <w:bidi w:val="0"/>
              <w:jc w:val="center"/>
              <w:rPr>
                <w:b/>
                <w:bCs/>
                <w:color w:val="000000"/>
              </w:rPr>
            </w:pPr>
          </w:p>
        </w:tc>
        <w:tc>
          <w:tcPr>
            <w:tcW w:w="86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B1EF431">
            <w:pPr>
              <w:pStyle w:val="10"/>
              <w:bidi w:val="0"/>
              <w:jc w:val="center"/>
              <w:rPr>
                <w:rFonts w:hint="eastAsia" w:eastAsia="宋体"/>
                <w:b/>
                <w:bCs/>
                <w:color w:val="000000"/>
                <w:lang w:eastAsia="zh-CN"/>
              </w:rPr>
            </w:pPr>
            <w:r>
              <w:rPr>
                <w:rFonts w:hint="eastAsia"/>
                <w:b/>
                <w:bCs/>
                <w:color w:val="000000"/>
              </w:rPr>
              <w:t>学校数（所）</w:t>
            </w:r>
          </w:p>
        </w:tc>
        <w:tc>
          <w:tcPr>
            <w:tcW w:w="108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E59ABB7">
            <w:pPr>
              <w:pStyle w:val="10"/>
              <w:bidi w:val="0"/>
              <w:jc w:val="center"/>
              <w:rPr>
                <w:rFonts w:hint="eastAsia" w:eastAsia="宋体"/>
                <w:b/>
                <w:bCs/>
                <w:color w:val="000000"/>
                <w:lang w:eastAsia="zh-CN"/>
              </w:rPr>
            </w:pPr>
            <w:r>
              <w:rPr>
                <w:rFonts w:hint="eastAsia"/>
                <w:b/>
                <w:bCs/>
                <w:color w:val="000000"/>
              </w:rPr>
              <w:t>招生数（人）</w:t>
            </w:r>
          </w:p>
        </w:tc>
        <w:tc>
          <w:tcPr>
            <w:tcW w:w="104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E3A44C0">
            <w:pPr>
              <w:pStyle w:val="10"/>
              <w:bidi w:val="0"/>
              <w:jc w:val="center"/>
              <w:rPr>
                <w:rFonts w:hint="eastAsia" w:eastAsia="宋体"/>
                <w:b/>
                <w:bCs/>
                <w:color w:val="000000"/>
                <w:lang w:eastAsia="zh-CN"/>
              </w:rPr>
            </w:pPr>
            <w:r>
              <w:rPr>
                <w:rFonts w:hint="eastAsia"/>
                <w:b/>
                <w:bCs/>
                <w:color w:val="000000"/>
              </w:rPr>
              <w:t>在校学生（人）</w:t>
            </w:r>
          </w:p>
        </w:tc>
        <w:tc>
          <w:tcPr>
            <w:tcW w:w="914" w:type="pct"/>
            <w:tcBorders>
              <w:top w:val="single" w:color="000000" w:sz="8" w:space="0"/>
              <w:left w:val="single" w:color="000000" w:sz="8" w:space="0"/>
              <w:bottom w:val="single" w:color="000000" w:sz="8" w:space="0"/>
            </w:tcBorders>
            <w:shd w:val="clear" w:color="auto" w:fill="FFFFFF"/>
            <w:noWrap w:val="0"/>
            <w:vAlign w:val="center"/>
          </w:tcPr>
          <w:p w14:paraId="24FA46BC">
            <w:pPr>
              <w:pStyle w:val="10"/>
              <w:bidi w:val="0"/>
              <w:jc w:val="center"/>
              <w:rPr>
                <w:rFonts w:hint="eastAsia"/>
                <w:b/>
                <w:bCs/>
                <w:color w:val="000000"/>
              </w:rPr>
            </w:pPr>
            <w:r>
              <w:rPr>
                <w:rFonts w:hint="eastAsia"/>
                <w:b/>
                <w:bCs/>
                <w:color w:val="000000"/>
              </w:rPr>
              <w:t>毕业人数</w:t>
            </w:r>
          </w:p>
        </w:tc>
      </w:tr>
      <w:tr w14:paraId="7FCFDBF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450" w:hRule="atLeast"/>
        </w:trPr>
        <w:tc>
          <w:tcPr>
            <w:tcW w:w="1086" w:type="pct"/>
            <w:tcBorders>
              <w:top w:val="single" w:color="000000" w:sz="8" w:space="0"/>
              <w:bottom w:val="single" w:color="000000" w:sz="8" w:space="0"/>
              <w:right w:val="single" w:color="000000" w:sz="8" w:space="0"/>
            </w:tcBorders>
            <w:shd w:val="clear" w:color="auto" w:fill="FFFFFF"/>
            <w:noWrap w:val="0"/>
            <w:vAlign w:val="center"/>
          </w:tcPr>
          <w:p w14:paraId="00D49BB5">
            <w:pPr>
              <w:pStyle w:val="10"/>
              <w:bidi w:val="0"/>
              <w:jc w:val="center"/>
              <w:rPr>
                <w:color w:val="000000"/>
              </w:rPr>
            </w:pPr>
            <w:r>
              <w:rPr>
                <w:rFonts w:hint="eastAsia"/>
                <w:color w:val="000000"/>
              </w:rPr>
              <w:t>幼儿园</w:t>
            </w:r>
          </w:p>
        </w:tc>
        <w:tc>
          <w:tcPr>
            <w:tcW w:w="86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E71DCBD">
            <w:pPr>
              <w:pStyle w:val="10"/>
              <w:bidi w:val="0"/>
              <w:jc w:val="center"/>
              <w:rPr>
                <w:rFonts w:hint="eastAsia"/>
                <w:color w:val="000000"/>
              </w:rPr>
            </w:pPr>
            <w:r>
              <w:rPr>
                <w:rFonts w:hint="eastAsia"/>
                <w:color w:val="000000"/>
              </w:rPr>
              <w:t>50</w:t>
            </w:r>
          </w:p>
        </w:tc>
        <w:tc>
          <w:tcPr>
            <w:tcW w:w="108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BA48841">
            <w:pPr>
              <w:pStyle w:val="10"/>
              <w:bidi w:val="0"/>
              <w:jc w:val="center"/>
              <w:rPr>
                <w:rFonts w:hint="eastAsia"/>
                <w:color w:val="000000"/>
              </w:rPr>
            </w:pPr>
            <w:r>
              <w:rPr>
                <w:rFonts w:hint="eastAsia"/>
                <w:color w:val="000000"/>
              </w:rPr>
              <w:t>6979</w:t>
            </w:r>
          </w:p>
        </w:tc>
        <w:tc>
          <w:tcPr>
            <w:tcW w:w="104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5E4094D">
            <w:pPr>
              <w:pStyle w:val="10"/>
              <w:bidi w:val="0"/>
              <w:jc w:val="center"/>
              <w:rPr>
                <w:rFonts w:hint="eastAsia"/>
                <w:color w:val="000000"/>
              </w:rPr>
            </w:pPr>
            <w:r>
              <w:rPr>
                <w:rFonts w:hint="eastAsia"/>
                <w:color w:val="000000"/>
              </w:rPr>
              <w:t>14608</w:t>
            </w:r>
          </w:p>
        </w:tc>
        <w:tc>
          <w:tcPr>
            <w:tcW w:w="914" w:type="pct"/>
            <w:tcBorders>
              <w:top w:val="single" w:color="000000" w:sz="8" w:space="0"/>
              <w:left w:val="single" w:color="000000" w:sz="8" w:space="0"/>
              <w:bottom w:val="single" w:color="000000" w:sz="8" w:space="0"/>
            </w:tcBorders>
            <w:shd w:val="clear" w:color="auto" w:fill="FFFFFF"/>
            <w:noWrap w:val="0"/>
            <w:vAlign w:val="center"/>
          </w:tcPr>
          <w:p w14:paraId="0E579525">
            <w:pPr>
              <w:pStyle w:val="10"/>
              <w:bidi w:val="0"/>
              <w:jc w:val="center"/>
              <w:rPr>
                <w:rFonts w:hint="eastAsia"/>
                <w:color w:val="000000"/>
              </w:rPr>
            </w:pPr>
            <w:r>
              <w:rPr>
                <w:rFonts w:hint="eastAsia"/>
                <w:color w:val="000000"/>
              </w:rPr>
              <w:t>4627</w:t>
            </w:r>
          </w:p>
        </w:tc>
      </w:tr>
      <w:tr w14:paraId="301D210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450" w:hRule="atLeast"/>
        </w:trPr>
        <w:tc>
          <w:tcPr>
            <w:tcW w:w="1086" w:type="pct"/>
            <w:tcBorders>
              <w:top w:val="single" w:color="000000" w:sz="8" w:space="0"/>
              <w:bottom w:val="single" w:color="000000" w:sz="8" w:space="0"/>
              <w:right w:val="single" w:color="000000" w:sz="8" w:space="0"/>
            </w:tcBorders>
            <w:shd w:val="clear" w:color="auto" w:fill="FFFFFF"/>
            <w:noWrap w:val="0"/>
            <w:vAlign w:val="center"/>
          </w:tcPr>
          <w:p w14:paraId="1FA8772D">
            <w:pPr>
              <w:pStyle w:val="10"/>
              <w:bidi w:val="0"/>
              <w:jc w:val="center"/>
              <w:rPr>
                <w:color w:val="000000"/>
              </w:rPr>
            </w:pPr>
            <w:r>
              <w:rPr>
                <w:rFonts w:hint="eastAsia"/>
                <w:color w:val="000000"/>
              </w:rPr>
              <w:t>义务教育</w:t>
            </w:r>
          </w:p>
        </w:tc>
        <w:tc>
          <w:tcPr>
            <w:tcW w:w="86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5694780">
            <w:pPr>
              <w:pStyle w:val="10"/>
              <w:bidi w:val="0"/>
              <w:jc w:val="center"/>
              <w:rPr>
                <w:rFonts w:hint="eastAsia"/>
                <w:color w:val="000000"/>
              </w:rPr>
            </w:pPr>
            <w:r>
              <w:rPr>
                <w:rFonts w:hint="eastAsia"/>
                <w:color w:val="000000"/>
              </w:rPr>
              <w:t>45</w:t>
            </w:r>
          </w:p>
        </w:tc>
        <w:tc>
          <w:tcPr>
            <w:tcW w:w="108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0154C6B">
            <w:pPr>
              <w:pStyle w:val="10"/>
              <w:bidi w:val="0"/>
              <w:jc w:val="center"/>
              <w:rPr>
                <w:rFonts w:hint="eastAsia"/>
                <w:color w:val="000000"/>
              </w:rPr>
            </w:pPr>
            <w:r>
              <w:rPr>
                <w:rFonts w:hint="eastAsia"/>
                <w:color w:val="000000"/>
              </w:rPr>
              <w:t>8970</w:t>
            </w:r>
          </w:p>
        </w:tc>
        <w:tc>
          <w:tcPr>
            <w:tcW w:w="104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93BA900">
            <w:pPr>
              <w:pStyle w:val="10"/>
              <w:bidi w:val="0"/>
              <w:jc w:val="center"/>
              <w:rPr>
                <w:rFonts w:hint="eastAsia"/>
                <w:color w:val="000000"/>
              </w:rPr>
            </w:pPr>
            <w:r>
              <w:rPr>
                <w:rFonts w:hint="eastAsia"/>
                <w:color w:val="000000"/>
              </w:rPr>
              <w:t>41227</w:t>
            </w:r>
          </w:p>
        </w:tc>
        <w:tc>
          <w:tcPr>
            <w:tcW w:w="914" w:type="pct"/>
            <w:tcBorders>
              <w:top w:val="single" w:color="000000" w:sz="8" w:space="0"/>
              <w:left w:val="single" w:color="000000" w:sz="8" w:space="0"/>
              <w:bottom w:val="single" w:color="000000" w:sz="8" w:space="0"/>
            </w:tcBorders>
            <w:shd w:val="clear" w:color="auto" w:fill="FFFFFF"/>
            <w:noWrap w:val="0"/>
            <w:vAlign w:val="center"/>
          </w:tcPr>
          <w:p w14:paraId="776C6023">
            <w:pPr>
              <w:pStyle w:val="10"/>
              <w:bidi w:val="0"/>
              <w:jc w:val="center"/>
              <w:rPr>
                <w:rFonts w:hint="eastAsia"/>
                <w:color w:val="000000"/>
              </w:rPr>
            </w:pPr>
            <w:r>
              <w:rPr>
                <w:rFonts w:hint="eastAsia"/>
                <w:color w:val="000000"/>
              </w:rPr>
              <w:t>11267</w:t>
            </w:r>
          </w:p>
        </w:tc>
      </w:tr>
      <w:tr w14:paraId="2F9A552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450" w:hRule="atLeast"/>
        </w:trPr>
        <w:tc>
          <w:tcPr>
            <w:tcW w:w="1086" w:type="pct"/>
            <w:tcBorders>
              <w:top w:val="single" w:color="000000" w:sz="8" w:space="0"/>
              <w:bottom w:val="single" w:color="000000" w:sz="8" w:space="0"/>
              <w:right w:val="single" w:color="000000" w:sz="8" w:space="0"/>
            </w:tcBorders>
            <w:shd w:val="clear" w:color="auto" w:fill="FFFFFF"/>
            <w:noWrap w:val="0"/>
            <w:vAlign w:val="center"/>
          </w:tcPr>
          <w:p w14:paraId="3A658ECF">
            <w:pPr>
              <w:pStyle w:val="10"/>
              <w:bidi w:val="0"/>
              <w:jc w:val="center"/>
              <w:rPr>
                <w:rFonts w:hint="eastAsia" w:eastAsia="宋体"/>
                <w:color w:val="000000"/>
                <w:lang w:eastAsia="zh-CN"/>
              </w:rPr>
            </w:pPr>
            <w:r>
              <w:rPr>
                <w:rFonts w:hint="eastAsia"/>
                <w:color w:val="000000"/>
              </w:rPr>
              <w:t>其中：小学</w:t>
            </w:r>
          </w:p>
        </w:tc>
        <w:tc>
          <w:tcPr>
            <w:tcW w:w="86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842845D">
            <w:pPr>
              <w:pStyle w:val="10"/>
              <w:bidi w:val="0"/>
              <w:jc w:val="center"/>
              <w:rPr>
                <w:rFonts w:hint="eastAsia"/>
                <w:color w:val="000000"/>
              </w:rPr>
            </w:pPr>
            <w:r>
              <w:rPr>
                <w:rFonts w:hint="eastAsia"/>
                <w:color w:val="000000"/>
              </w:rPr>
              <w:t>29</w:t>
            </w:r>
          </w:p>
        </w:tc>
        <w:tc>
          <w:tcPr>
            <w:tcW w:w="108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798BA39">
            <w:pPr>
              <w:pStyle w:val="10"/>
              <w:bidi w:val="0"/>
              <w:jc w:val="center"/>
              <w:rPr>
                <w:rFonts w:hint="eastAsia"/>
                <w:color w:val="000000"/>
              </w:rPr>
            </w:pPr>
            <w:r>
              <w:rPr>
                <w:rFonts w:hint="eastAsia"/>
                <w:color w:val="000000"/>
              </w:rPr>
              <w:t>4595</w:t>
            </w:r>
          </w:p>
        </w:tc>
        <w:tc>
          <w:tcPr>
            <w:tcW w:w="104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E597B2D">
            <w:pPr>
              <w:pStyle w:val="10"/>
              <w:bidi w:val="0"/>
              <w:jc w:val="center"/>
              <w:rPr>
                <w:rFonts w:hint="eastAsia"/>
                <w:color w:val="000000"/>
              </w:rPr>
            </w:pPr>
            <w:r>
              <w:rPr>
                <w:rFonts w:hint="eastAsia"/>
                <w:color w:val="000000"/>
              </w:rPr>
              <w:t>27336</w:t>
            </w:r>
          </w:p>
        </w:tc>
        <w:tc>
          <w:tcPr>
            <w:tcW w:w="914" w:type="pct"/>
            <w:tcBorders>
              <w:top w:val="single" w:color="000000" w:sz="8" w:space="0"/>
              <w:left w:val="single" w:color="000000" w:sz="8" w:space="0"/>
              <w:bottom w:val="single" w:color="000000" w:sz="8" w:space="0"/>
            </w:tcBorders>
            <w:shd w:val="clear" w:color="auto" w:fill="FFFFFF"/>
            <w:noWrap w:val="0"/>
            <w:vAlign w:val="center"/>
          </w:tcPr>
          <w:p w14:paraId="1E271D5D">
            <w:pPr>
              <w:pStyle w:val="10"/>
              <w:bidi w:val="0"/>
              <w:jc w:val="center"/>
              <w:rPr>
                <w:rFonts w:hint="eastAsia"/>
                <w:color w:val="000000"/>
              </w:rPr>
            </w:pPr>
            <w:r>
              <w:rPr>
                <w:rFonts w:hint="eastAsia"/>
                <w:color w:val="000000"/>
              </w:rPr>
              <w:t>4712</w:t>
            </w:r>
          </w:p>
        </w:tc>
      </w:tr>
      <w:tr w14:paraId="68F880C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450" w:hRule="atLeast"/>
        </w:trPr>
        <w:tc>
          <w:tcPr>
            <w:tcW w:w="1086" w:type="pct"/>
            <w:tcBorders>
              <w:top w:val="single" w:color="000000" w:sz="8" w:space="0"/>
              <w:bottom w:val="single" w:color="000000" w:sz="8" w:space="0"/>
              <w:right w:val="single" w:color="000000" w:sz="8" w:space="0"/>
            </w:tcBorders>
            <w:shd w:val="clear" w:color="auto" w:fill="FFFFFF"/>
            <w:noWrap w:val="0"/>
            <w:vAlign w:val="center"/>
          </w:tcPr>
          <w:p w14:paraId="0C2EFA24">
            <w:pPr>
              <w:pStyle w:val="10"/>
              <w:bidi w:val="0"/>
              <w:jc w:val="center"/>
              <w:rPr>
                <w:color w:val="000000"/>
              </w:rPr>
            </w:pPr>
            <w:r>
              <w:rPr>
                <w:rFonts w:hint="eastAsia"/>
                <w:color w:val="000000"/>
              </w:rPr>
              <w:t>初中</w:t>
            </w:r>
          </w:p>
        </w:tc>
        <w:tc>
          <w:tcPr>
            <w:tcW w:w="86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F053920">
            <w:pPr>
              <w:pStyle w:val="10"/>
              <w:bidi w:val="0"/>
              <w:jc w:val="center"/>
              <w:rPr>
                <w:rFonts w:hint="eastAsia"/>
                <w:color w:val="000000"/>
              </w:rPr>
            </w:pPr>
            <w:r>
              <w:rPr>
                <w:rFonts w:hint="eastAsia"/>
                <w:color w:val="000000"/>
              </w:rPr>
              <w:t>16</w:t>
            </w:r>
          </w:p>
        </w:tc>
        <w:tc>
          <w:tcPr>
            <w:tcW w:w="108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8D094EE">
            <w:pPr>
              <w:pStyle w:val="10"/>
              <w:bidi w:val="0"/>
              <w:jc w:val="center"/>
              <w:rPr>
                <w:rFonts w:hint="eastAsia"/>
                <w:color w:val="000000"/>
              </w:rPr>
            </w:pPr>
            <w:r>
              <w:rPr>
                <w:rFonts w:hint="eastAsia"/>
                <w:color w:val="000000"/>
              </w:rPr>
              <w:t>4375</w:t>
            </w:r>
          </w:p>
        </w:tc>
        <w:tc>
          <w:tcPr>
            <w:tcW w:w="104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07E6638">
            <w:pPr>
              <w:pStyle w:val="10"/>
              <w:bidi w:val="0"/>
              <w:jc w:val="center"/>
              <w:rPr>
                <w:rFonts w:hint="eastAsia"/>
                <w:color w:val="000000"/>
              </w:rPr>
            </w:pPr>
            <w:r>
              <w:rPr>
                <w:rFonts w:hint="eastAsia"/>
                <w:color w:val="000000"/>
              </w:rPr>
              <w:t>13891</w:t>
            </w:r>
          </w:p>
        </w:tc>
        <w:tc>
          <w:tcPr>
            <w:tcW w:w="914" w:type="pct"/>
            <w:tcBorders>
              <w:top w:val="single" w:color="000000" w:sz="8" w:space="0"/>
              <w:left w:val="single" w:color="000000" w:sz="8" w:space="0"/>
              <w:bottom w:val="single" w:color="000000" w:sz="8" w:space="0"/>
            </w:tcBorders>
            <w:shd w:val="clear" w:color="auto" w:fill="FFFFFF"/>
            <w:noWrap w:val="0"/>
            <w:vAlign w:val="center"/>
          </w:tcPr>
          <w:p w14:paraId="1BE22343">
            <w:pPr>
              <w:pStyle w:val="10"/>
              <w:bidi w:val="0"/>
              <w:jc w:val="center"/>
              <w:rPr>
                <w:rFonts w:hint="eastAsia"/>
                <w:color w:val="000000"/>
              </w:rPr>
            </w:pPr>
            <w:r>
              <w:rPr>
                <w:rFonts w:hint="eastAsia"/>
                <w:color w:val="000000"/>
              </w:rPr>
              <w:t>6555</w:t>
            </w:r>
          </w:p>
        </w:tc>
      </w:tr>
      <w:tr w14:paraId="176F552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450" w:hRule="atLeast"/>
        </w:trPr>
        <w:tc>
          <w:tcPr>
            <w:tcW w:w="1086" w:type="pct"/>
            <w:tcBorders>
              <w:top w:val="single" w:color="000000" w:sz="8" w:space="0"/>
              <w:bottom w:val="single" w:color="000000" w:sz="8" w:space="0"/>
              <w:right w:val="single" w:color="000000" w:sz="8" w:space="0"/>
            </w:tcBorders>
            <w:shd w:val="clear" w:color="auto" w:fill="FFFFFF"/>
            <w:noWrap w:val="0"/>
            <w:vAlign w:val="center"/>
          </w:tcPr>
          <w:p w14:paraId="56324A84">
            <w:pPr>
              <w:pStyle w:val="10"/>
              <w:bidi w:val="0"/>
              <w:jc w:val="center"/>
              <w:rPr>
                <w:rFonts w:hint="eastAsia" w:eastAsia="宋体"/>
                <w:color w:val="000000"/>
                <w:lang w:eastAsia="zh-CN"/>
              </w:rPr>
            </w:pPr>
            <w:r>
              <w:rPr>
                <w:rFonts w:hint="eastAsia"/>
                <w:color w:val="000000"/>
              </w:rPr>
              <w:t>高中</w:t>
            </w:r>
          </w:p>
        </w:tc>
        <w:tc>
          <w:tcPr>
            <w:tcW w:w="86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59D6295">
            <w:pPr>
              <w:pStyle w:val="10"/>
              <w:bidi w:val="0"/>
              <w:jc w:val="center"/>
              <w:rPr>
                <w:rFonts w:hint="eastAsia"/>
                <w:color w:val="000000"/>
              </w:rPr>
            </w:pPr>
            <w:r>
              <w:rPr>
                <w:rFonts w:hint="eastAsia"/>
                <w:color w:val="000000"/>
              </w:rPr>
              <w:t>3</w:t>
            </w:r>
          </w:p>
        </w:tc>
        <w:tc>
          <w:tcPr>
            <w:tcW w:w="108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D0D9EEB">
            <w:pPr>
              <w:pStyle w:val="10"/>
              <w:bidi w:val="0"/>
              <w:jc w:val="center"/>
              <w:rPr>
                <w:rFonts w:hint="eastAsia"/>
                <w:color w:val="000000"/>
              </w:rPr>
            </w:pPr>
            <w:r>
              <w:rPr>
                <w:rFonts w:hint="eastAsia"/>
                <w:color w:val="000000"/>
              </w:rPr>
              <w:t>3632</w:t>
            </w:r>
          </w:p>
        </w:tc>
        <w:tc>
          <w:tcPr>
            <w:tcW w:w="104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21A2C83">
            <w:pPr>
              <w:pStyle w:val="10"/>
              <w:bidi w:val="0"/>
              <w:jc w:val="center"/>
              <w:rPr>
                <w:rFonts w:hint="eastAsia"/>
                <w:color w:val="000000"/>
              </w:rPr>
            </w:pPr>
            <w:r>
              <w:rPr>
                <w:rFonts w:hint="eastAsia"/>
                <w:color w:val="000000"/>
              </w:rPr>
              <w:t>10105</w:t>
            </w:r>
          </w:p>
        </w:tc>
        <w:tc>
          <w:tcPr>
            <w:tcW w:w="914" w:type="pct"/>
            <w:tcBorders>
              <w:top w:val="single" w:color="000000" w:sz="8" w:space="0"/>
              <w:left w:val="single" w:color="000000" w:sz="8" w:space="0"/>
              <w:bottom w:val="single" w:color="000000" w:sz="8" w:space="0"/>
            </w:tcBorders>
            <w:shd w:val="clear" w:color="auto" w:fill="FFFFFF"/>
            <w:noWrap w:val="0"/>
            <w:vAlign w:val="center"/>
          </w:tcPr>
          <w:p w14:paraId="0D962DCF">
            <w:pPr>
              <w:pStyle w:val="10"/>
              <w:bidi w:val="0"/>
              <w:jc w:val="center"/>
              <w:rPr>
                <w:rFonts w:hint="eastAsia"/>
                <w:color w:val="000000"/>
              </w:rPr>
            </w:pPr>
            <w:r>
              <w:rPr>
                <w:rFonts w:hint="eastAsia"/>
                <w:color w:val="000000"/>
              </w:rPr>
              <w:t>2949</w:t>
            </w:r>
          </w:p>
        </w:tc>
      </w:tr>
      <w:tr w14:paraId="0857004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450" w:hRule="atLeast"/>
        </w:trPr>
        <w:tc>
          <w:tcPr>
            <w:tcW w:w="1086" w:type="pct"/>
            <w:tcBorders>
              <w:top w:val="single" w:color="000000" w:sz="8" w:space="0"/>
              <w:bottom w:val="single" w:color="000000" w:sz="8" w:space="0"/>
              <w:right w:val="single" w:color="000000" w:sz="8" w:space="0"/>
            </w:tcBorders>
            <w:shd w:val="clear" w:color="auto" w:fill="FFFFFF"/>
            <w:noWrap w:val="0"/>
            <w:vAlign w:val="center"/>
          </w:tcPr>
          <w:p w14:paraId="0B4F6C50">
            <w:pPr>
              <w:pStyle w:val="10"/>
              <w:bidi w:val="0"/>
              <w:jc w:val="center"/>
              <w:rPr>
                <w:color w:val="000000"/>
              </w:rPr>
            </w:pPr>
            <w:r>
              <w:rPr>
                <w:rFonts w:hint="eastAsia"/>
                <w:color w:val="000000"/>
              </w:rPr>
              <w:t>特殊教育学校</w:t>
            </w:r>
          </w:p>
        </w:tc>
        <w:tc>
          <w:tcPr>
            <w:tcW w:w="86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6813A6E">
            <w:pPr>
              <w:pStyle w:val="10"/>
              <w:bidi w:val="0"/>
              <w:jc w:val="center"/>
              <w:rPr>
                <w:color w:val="000000"/>
              </w:rPr>
            </w:pPr>
            <w:r>
              <w:rPr>
                <w:rFonts w:hint="eastAsia"/>
                <w:color w:val="000000"/>
              </w:rPr>
              <w:t>1</w:t>
            </w:r>
          </w:p>
        </w:tc>
        <w:tc>
          <w:tcPr>
            <w:tcW w:w="108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695B2AE">
            <w:pPr>
              <w:pStyle w:val="10"/>
              <w:bidi w:val="0"/>
              <w:jc w:val="center"/>
              <w:rPr>
                <w:rFonts w:hint="eastAsia"/>
                <w:color w:val="000000"/>
              </w:rPr>
            </w:pPr>
            <w:r>
              <w:rPr>
                <w:rFonts w:hint="eastAsia"/>
                <w:color w:val="000000"/>
              </w:rPr>
              <w:t>6</w:t>
            </w:r>
          </w:p>
        </w:tc>
        <w:tc>
          <w:tcPr>
            <w:tcW w:w="104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21DD893">
            <w:pPr>
              <w:pStyle w:val="10"/>
              <w:bidi w:val="0"/>
              <w:jc w:val="center"/>
              <w:rPr>
                <w:rFonts w:hint="eastAsia"/>
                <w:color w:val="000000"/>
              </w:rPr>
            </w:pPr>
            <w:r>
              <w:rPr>
                <w:rFonts w:hint="eastAsia"/>
                <w:color w:val="000000"/>
              </w:rPr>
              <w:t>72</w:t>
            </w:r>
          </w:p>
        </w:tc>
        <w:tc>
          <w:tcPr>
            <w:tcW w:w="914" w:type="pct"/>
            <w:tcBorders>
              <w:top w:val="single" w:color="000000" w:sz="8" w:space="0"/>
              <w:left w:val="single" w:color="000000" w:sz="8" w:space="0"/>
              <w:bottom w:val="single" w:color="000000" w:sz="8" w:space="0"/>
            </w:tcBorders>
            <w:shd w:val="clear" w:color="auto" w:fill="FFFFFF"/>
            <w:noWrap w:val="0"/>
            <w:vAlign w:val="center"/>
          </w:tcPr>
          <w:p w14:paraId="65415E23">
            <w:pPr>
              <w:pStyle w:val="10"/>
              <w:bidi w:val="0"/>
              <w:jc w:val="center"/>
              <w:rPr>
                <w:rFonts w:hint="eastAsia"/>
                <w:color w:val="000000"/>
              </w:rPr>
            </w:pPr>
            <w:r>
              <w:rPr>
                <w:rFonts w:hint="eastAsia"/>
                <w:color w:val="000000"/>
              </w:rPr>
              <w:t>1</w:t>
            </w:r>
          </w:p>
        </w:tc>
      </w:tr>
      <w:tr w14:paraId="2ED35A1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450" w:hRule="atLeast"/>
        </w:trPr>
        <w:tc>
          <w:tcPr>
            <w:tcW w:w="1086" w:type="pct"/>
            <w:tcBorders>
              <w:top w:val="single" w:color="000000" w:sz="8" w:space="0"/>
              <w:bottom w:val="single" w:color="000000" w:sz="8" w:space="0"/>
              <w:right w:val="single" w:color="000000" w:sz="8" w:space="0"/>
            </w:tcBorders>
            <w:shd w:val="clear" w:color="auto" w:fill="FFFFFF"/>
            <w:noWrap w:val="0"/>
            <w:vAlign w:val="center"/>
          </w:tcPr>
          <w:p w14:paraId="5E422574">
            <w:pPr>
              <w:pStyle w:val="10"/>
              <w:bidi w:val="0"/>
              <w:jc w:val="center"/>
              <w:rPr>
                <w:color w:val="000000"/>
              </w:rPr>
            </w:pPr>
            <w:r>
              <w:rPr>
                <w:rFonts w:hint="eastAsia"/>
                <w:color w:val="000000"/>
              </w:rPr>
              <w:t>合计</w:t>
            </w:r>
          </w:p>
        </w:tc>
        <w:tc>
          <w:tcPr>
            <w:tcW w:w="86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1D94110">
            <w:pPr>
              <w:pStyle w:val="10"/>
              <w:bidi w:val="0"/>
              <w:jc w:val="center"/>
              <w:rPr>
                <w:rFonts w:hint="eastAsia"/>
                <w:color w:val="000000"/>
              </w:rPr>
            </w:pPr>
            <w:r>
              <w:rPr>
                <w:rFonts w:hint="eastAsia"/>
                <w:color w:val="000000"/>
              </w:rPr>
              <w:t>99</w:t>
            </w:r>
          </w:p>
        </w:tc>
        <w:tc>
          <w:tcPr>
            <w:tcW w:w="108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E375C53">
            <w:pPr>
              <w:pStyle w:val="10"/>
              <w:bidi w:val="0"/>
              <w:jc w:val="center"/>
              <w:rPr>
                <w:rFonts w:hint="eastAsia"/>
                <w:color w:val="000000"/>
              </w:rPr>
            </w:pPr>
            <w:r>
              <w:rPr>
                <w:rFonts w:hint="eastAsia"/>
                <w:color w:val="000000"/>
              </w:rPr>
              <w:t>19587</w:t>
            </w:r>
          </w:p>
        </w:tc>
        <w:tc>
          <w:tcPr>
            <w:tcW w:w="104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C26D5B9">
            <w:pPr>
              <w:pStyle w:val="10"/>
              <w:bidi w:val="0"/>
              <w:jc w:val="center"/>
              <w:rPr>
                <w:rFonts w:hint="eastAsia"/>
                <w:color w:val="000000"/>
              </w:rPr>
            </w:pPr>
            <w:r>
              <w:rPr>
                <w:rFonts w:hint="eastAsia"/>
                <w:color w:val="000000"/>
              </w:rPr>
              <w:t>66012</w:t>
            </w:r>
          </w:p>
        </w:tc>
        <w:tc>
          <w:tcPr>
            <w:tcW w:w="914" w:type="pct"/>
            <w:tcBorders>
              <w:top w:val="single" w:color="000000" w:sz="8" w:space="0"/>
              <w:left w:val="single" w:color="000000" w:sz="8" w:space="0"/>
              <w:bottom w:val="single" w:color="000000" w:sz="8" w:space="0"/>
            </w:tcBorders>
            <w:shd w:val="clear" w:color="auto" w:fill="FFFFFF"/>
            <w:noWrap w:val="0"/>
            <w:vAlign w:val="center"/>
          </w:tcPr>
          <w:p w14:paraId="2C2F20E8">
            <w:pPr>
              <w:pStyle w:val="10"/>
              <w:bidi w:val="0"/>
              <w:jc w:val="center"/>
              <w:rPr>
                <w:rFonts w:hint="eastAsia"/>
                <w:color w:val="000000"/>
              </w:rPr>
            </w:pPr>
            <w:r>
              <w:rPr>
                <w:rFonts w:hint="eastAsia"/>
                <w:color w:val="000000"/>
              </w:rPr>
              <w:t>18844</w:t>
            </w:r>
          </w:p>
        </w:tc>
      </w:tr>
    </w:tbl>
    <w:p w14:paraId="391145E4">
      <w:pPr>
        <w:rPr>
          <w:rFonts w:hint="eastAsia"/>
        </w:rPr>
      </w:pPr>
      <w:r>
        <w:rPr>
          <w:rFonts w:hint="eastAsia"/>
        </w:rPr>
        <w:t>科技工作再获佳绩。全年举办科技交流会</w:t>
      </w:r>
      <w:r>
        <w:t>3</w:t>
      </w:r>
      <w:r>
        <w:rPr>
          <w:rFonts w:hint="eastAsia"/>
        </w:rPr>
        <w:t>次，交流会参加人数</w:t>
      </w:r>
      <w:r>
        <w:t>700多人次；举办科普讲座5</w:t>
      </w:r>
      <w:r>
        <w:rPr>
          <w:rFonts w:hint="eastAsia"/>
        </w:rPr>
        <w:t>次，科普讲座参加人数</w:t>
      </w:r>
      <w:r>
        <w:t>1000多人次；科技攻关项</w:t>
      </w:r>
      <w:r>
        <w:rPr>
          <w:rFonts w:hint="eastAsia"/>
        </w:rPr>
        <w:t>目</w:t>
      </w:r>
      <w:r>
        <w:t>19个，全年专利申请146件。获韶关市科学技</w:t>
      </w:r>
      <w:r>
        <w:rPr>
          <w:rFonts w:hint="eastAsia"/>
        </w:rPr>
        <w:t>术进步奖</w:t>
      </w:r>
      <w:r>
        <w:t>5项（一等奖1项，二等奖2项，三等奖2项）。南雄市阳普医疗科技有限公司被认定为2013年广东省第一批高新技术企业；也是目前我市</w:t>
      </w:r>
      <w:r>
        <w:rPr>
          <w:rFonts w:hint="eastAsia"/>
        </w:rPr>
        <w:t>第一家成功获得认定的高新技术企业。我市申报的“全安镇精细化工技术创新专业镇”获得省科技厅批准，成为韶关市第一家工业类的技术创新专业镇。与省科协“广东省科技工作者服务中心”合作，在我市成立了全省第一家县级“科技工作者服务站”，服务南雄各类企业；组织科技工作者、科技专家参与科普宣传活动，向群众普及科学知识，使群众得到实惠；与市广播电视台共同搭建科普平台，联合制作《农村百事》节目，帮助农村和农民解决生产生活中的难题；在市电视台开办《科普大蓬车》栏目，把科普知识送到千家万户。</w:t>
      </w:r>
    </w:p>
    <w:p w14:paraId="07965C7F">
      <w:pPr>
        <w:rPr>
          <w:rFonts w:hint="eastAsia"/>
          <w:b/>
          <w:bCs/>
        </w:rPr>
      </w:pPr>
      <w:r>
        <w:rPr>
          <w:rFonts w:hint="eastAsia"/>
          <w:b/>
          <w:bCs/>
        </w:rPr>
        <w:t>九、文化卫生和体育</w:t>
      </w:r>
    </w:p>
    <w:p w14:paraId="72DB14C2">
      <w:pPr>
        <w:rPr>
          <w:rFonts w:hint="eastAsia"/>
        </w:rPr>
      </w:pPr>
      <w:r>
        <w:rPr>
          <w:rFonts w:hint="eastAsia"/>
        </w:rPr>
        <w:t>文化工作有序推进。城乡公共文化服务设施逐步完善；精神文明建设成果突出，顺利通过了省文明城市的复</w:t>
      </w:r>
      <w:r>
        <w:rPr>
          <w:rFonts w:hint="eastAsia"/>
          <w:lang w:eastAsia="zh-CN"/>
        </w:rPr>
        <w:t>查</w:t>
      </w:r>
      <w:r>
        <w:rPr>
          <w:rFonts w:hint="eastAsia"/>
        </w:rPr>
        <w:t>，全市公民的文明素质和社会文明程度不断提升。加强公益性博物馆、图书馆、文化馆的免费开放力度，着力提升三馆的服务水平，为市民提供优质多样的文化服务。广播电视“户户通”工程开展顺利，为</w:t>
      </w:r>
      <w:r>
        <w:t>431个自然村5472户农户免费</w:t>
      </w:r>
      <w:r>
        <w:rPr>
          <w:rFonts w:hint="eastAsia"/>
        </w:rPr>
        <w:t>安装了广播电视接收设备，并成立了</w:t>
      </w:r>
      <w:r>
        <w:t>6个便民维修</w:t>
      </w:r>
      <w:r>
        <w:rPr>
          <w:rFonts w:hint="eastAsia"/>
        </w:rPr>
        <w:t>服务点，使偏远地区群众享受同等文化服务。顺利通过了南</w:t>
      </w:r>
      <w:r>
        <w:rPr>
          <w:rFonts w:hint="eastAsia"/>
          <w:lang w:eastAsia="zh-CN"/>
        </w:rPr>
        <w:t>粤</w:t>
      </w:r>
      <w:r>
        <w:rPr>
          <w:rFonts w:hint="eastAsia"/>
        </w:rPr>
        <w:t>雄关与古道为第七批全国重点文物保护单位；大成殿、溪头塔、罗田塔为第七批省级文物保护单位；协助完成省文化厅组织的“广东非物质百集记录之南雄舞龙（香火龙）”拍摄工作；成功申报民间文学《珠玑巷人南迁》为第五批省级非物质文化遗产项目，恐龙自然保护区获得“省级地质公园”资格。充分发挥三影塔广场服务平台的作用，组织全市各类文艺队伍、广大群众开展每月</w:t>
      </w:r>
      <w:r>
        <w:rPr>
          <w:rFonts w:hint="eastAsia"/>
          <w:lang w:val="en-US" w:eastAsia="zh-CN"/>
        </w:rPr>
        <w:t>一</w:t>
      </w:r>
      <w:r>
        <w:rPr>
          <w:rFonts w:hint="eastAsia"/>
        </w:rPr>
        <w:t>演广场群众文化活动。举办了</w:t>
      </w:r>
      <w:r>
        <w:t>2013年经贸杯</w:t>
      </w:r>
      <w:r>
        <w:rPr>
          <w:rFonts w:hint="eastAsia" w:ascii="宋体" w:hAnsi="宋体" w:cs="宋体"/>
        </w:rPr>
        <w:t>“</w:t>
      </w:r>
      <w:r>
        <w:t>开</w:t>
      </w:r>
      <w:r>
        <w:rPr>
          <w:rFonts w:hint="eastAsia"/>
        </w:rPr>
        <w:t>心广场幸福南雄”群众歌咏大赛。采茶歌舞《珠玑巷里故事多》，赴韶关参加广东省广府人世界张氏恳亲大会演出。采茶传统节目《阿三戏公爷》选送至广东戏剧大典库。全市拥有影剧院</w:t>
      </w:r>
      <w:r>
        <w:t>1间，市级公</w:t>
      </w:r>
      <w:r>
        <w:rPr>
          <w:rFonts w:hint="eastAsia"/>
        </w:rPr>
        <w:t>共图书馆</w:t>
      </w:r>
      <w:r>
        <w:t>1间，公共图书馆图书总藏量8.17万册。</w:t>
      </w:r>
      <w:r>
        <w:rPr>
          <w:rFonts w:hint="eastAsia"/>
        </w:rPr>
        <w:t>有线电视用户</w:t>
      </w:r>
      <w:r>
        <w:t>5万户。</w:t>
      </w:r>
      <w:r>
        <w:rPr>
          <w:rFonts w:hint="eastAsia"/>
        </w:rPr>
        <w:t>体育工作取得新进展。</w:t>
      </w:r>
    </w:p>
    <w:p w14:paraId="147FCB89">
      <w:pPr>
        <w:rPr>
          <w:rFonts w:hint="eastAsia"/>
        </w:rPr>
      </w:pPr>
      <w:r>
        <w:rPr>
          <w:rFonts w:hint="eastAsia"/>
        </w:rPr>
        <w:t>全市体育场</w:t>
      </w:r>
      <w:r>
        <w:t>12个，250</w:t>
      </w:r>
      <w:r>
        <w:rPr>
          <w:rFonts w:hint="eastAsia"/>
        </w:rPr>
        <w:t>米田径场</w:t>
      </w:r>
      <w:r>
        <w:t>28个。以节日文体活动为载体，广泛开</w:t>
      </w:r>
      <w:r>
        <w:rPr>
          <w:rFonts w:hint="eastAsia"/>
        </w:rPr>
        <w:t>展假日体育活动，经常性地开展全民健身活动，实现了“月月有竞赛活动”的目标。各类单位举办各类运动会</w:t>
      </w:r>
      <w:r>
        <w:t>53次，参加比赛3.48万人次，其中组织</w:t>
      </w:r>
      <w:r>
        <w:rPr>
          <w:rFonts w:hint="eastAsia"/>
        </w:rPr>
        <w:t>开展篮球赛、象棋、羽毛球、趣味体育等系列体育活动；开展首届“镇机关运动会”。完成黄坑、邓坊、全安、澜河等</w:t>
      </w:r>
      <w:r>
        <w:t>4个镇的镇级农民健身工程建</w:t>
      </w:r>
      <w:r>
        <w:rPr>
          <w:rFonts w:hint="eastAsia"/>
        </w:rPr>
        <w:t>设。参加韶关市青少年锦标赛，获团体总分第四名。我市输送的运动员马丽芸代表广东队参加第十二届全运会自行车女子</w:t>
      </w:r>
      <w:r>
        <w:t>BMX越野赛摘得铜牌。大</w:t>
      </w:r>
      <w:r>
        <w:rPr>
          <w:rFonts w:hint="eastAsia"/>
        </w:rPr>
        <w:t>力开展青少年阳光体育运动，发现和培养一批体育新苗。</w:t>
      </w:r>
    </w:p>
    <w:p w14:paraId="1705DED8">
      <w:pPr>
        <w:rPr>
          <w:rFonts w:hint="eastAsia"/>
          <w:lang w:eastAsia="zh-CN"/>
        </w:rPr>
      </w:pPr>
      <w:r>
        <w:rPr>
          <w:rFonts w:hint="eastAsia"/>
        </w:rPr>
        <w:t>稳妥推进医药卫生体制改革，医疗卫生服务体系更加健全。年末共有医疗卫生机构</w:t>
      </w:r>
      <w:r>
        <w:t>28个，其中：</w:t>
      </w:r>
      <w:r>
        <w:rPr>
          <w:rFonts w:hint="eastAsia"/>
        </w:rPr>
        <w:t>医院（卫生院）</w:t>
      </w:r>
      <w:r>
        <w:t>21个。病床位1132张。各类卫生</w:t>
      </w:r>
      <w:r>
        <w:rPr>
          <w:rFonts w:hint="eastAsia"/>
        </w:rPr>
        <w:t>技术人员</w:t>
      </w:r>
      <w:r>
        <w:t>1083人。其中：执业（助理）医师439</w:t>
      </w:r>
      <w:r>
        <w:rPr>
          <w:rFonts w:hint="eastAsia"/>
        </w:rPr>
        <w:t>人。全年诊疗</w:t>
      </w:r>
      <w:r>
        <w:t>34.04万人次，产妇住院分娩率100%，婴儿死亡率0.514%，五岁以下儿童死亡</w:t>
      </w:r>
      <w:r>
        <w:rPr>
          <w:rFonts w:hint="eastAsia"/>
        </w:rPr>
        <w:t>率</w:t>
      </w:r>
      <w:r>
        <w:t>0.714%</w:t>
      </w:r>
      <w:r>
        <w:rPr>
          <w:rFonts w:hint="eastAsia"/>
          <w:lang w:eastAsia="zh-CN"/>
        </w:rPr>
        <w:t>。</w:t>
      </w:r>
    </w:p>
    <w:p w14:paraId="0CCC902C">
      <w:pPr>
        <w:rPr>
          <w:rFonts w:hint="eastAsia"/>
          <w:b/>
          <w:bCs/>
        </w:rPr>
      </w:pPr>
      <w:r>
        <w:rPr>
          <w:rFonts w:hint="eastAsia"/>
          <w:b/>
          <w:bCs/>
        </w:rPr>
        <w:t>十、人民生活与社会保障</w:t>
      </w:r>
    </w:p>
    <w:p w14:paraId="6848EFBC">
      <w:r>
        <w:rPr>
          <w:rFonts w:hint="eastAsia"/>
        </w:rPr>
        <w:t>城乡居民收入继续增加。全市城乡居民人均收入</w:t>
      </w:r>
      <w:r>
        <w:t>12784元，增长12.4%，扣除价格因素，实际增</w:t>
      </w:r>
      <w:r>
        <w:rPr>
          <w:rFonts w:hint="eastAsia"/>
        </w:rPr>
        <w:t>长</w:t>
      </w:r>
      <w:r>
        <w:t>10.3%。城乡居民收入比为1.8618，比上年低0.01个百分点，城乡收入差距继续缩小。</w:t>
      </w:r>
    </w:p>
    <w:p w14:paraId="072C4E40">
      <w:r>
        <w:rPr>
          <w:rFonts w:hint="eastAsia"/>
        </w:rPr>
        <w:t>城镇居民人均可支配收入</w:t>
      </w:r>
      <w:r>
        <w:t>17134元，增长11.9%，扣除价格因素，实际增长9.8%；居民家</w:t>
      </w:r>
      <w:r>
        <w:rPr>
          <w:rFonts w:hint="eastAsia"/>
        </w:rPr>
        <w:t>庭食品消费支出占消费总支出的比重（恩格尔系数）为</w:t>
      </w:r>
      <w:r>
        <w:t>41.94%。城镇居民人均住房建筑面积28.56平方米。</w:t>
      </w:r>
    </w:p>
    <w:p w14:paraId="15461582">
      <w:pPr>
        <w:rPr>
          <w:rFonts w:hint="eastAsia" w:eastAsia="宋体"/>
          <w:lang w:eastAsia="zh-CN"/>
        </w:rPr>
      </w:pPr>
      <w:r>
        <w:rPr>
          <w:rFonts w:hint="eastAsia"/>
        </w:rPr>
        <w:t>农民人均纯收入</w:t>
      </w:r>
      <w:r>
        <w:t>9203元，增长12.5%，扣除</w:t>
      </w:r>
      <w:r>
        <w:rPr>
          <w:rFonts w:hint="eastAsia"/>
        </w:rPr>
        <w:t>价格因素，实际增长</w:t>
      </w:r>
      <w:r>
        <w:t>10.4%。农村居民人均住房面</w:t>
      </w:r>
      <w:r>
        <w:rPr>
          <w:rFonts w:hint="eastAsia"/>
        </w:rPr>
        <w:t>积</w:t>
      </w:r>
      <w:r>
        <w:t>29.37平方米。</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4FD6E0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AAB21D3">
            <w:pPr>
              <w:ind w:left="0" w:leftChars="0" w:firstLine="0" w:firstLineChars="0"/>
              <w:jc w:val="center"/>
              <w:rPr>
                <w:vertAlign w:val="baseline"/>
              </w:rPr>
            </w:pPr>
            <w:r>
              <w:rPr>
                <w:rFonts w:hint="eastAsia" w:eastAsia="宋体"/>
                <w:lang w:eastAsia="zh-CN"/>
              </w:rPr>
              <w:drawing>
                <wp:inline distT="0" distB="0" distL="114300" distR="114300">
                  <wp:extent cx="6179820" cy="2834640"/>
                  <wp:effectExtent l="0" t="0" r="11430" b="3810"/>
                  <wp:docPr id="68" name="图片 68"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9"/>
                          <pic:cNvPicPr>
                            <a:picLocks noChangeAspect="1"/>
                          </pic:cNvPicPr>
                        </pic:nvPicPr>
                        <pic:blipFill>
                          <a:blip r:embed="rId138"/>
                          <a:stretch>
                            <a:fillRect/>
                          </a:stretch>
                        </pic:blipFill>
                        <pic:spPr>
                          <a:xfrm>
                            <a:off x="0" y="0"/>
                            <a:ext cx="6179820" cy="2834640"/>
                          </a:xfrm>
                          <a:prstGeom prst="rect">
                            <a:avLst/>
                          </a:prstGeom>
                        </pic:spPr>
                      </pic:pic>
                    </a:graphicData>
                  </a:graphic>
                </wp:inline>
              </w:drawing>
            </w:r>
          </w:p>
        </w:tc>
      </w:tr>
    </w:tbl>
    <w:p w14:paraId="0B0AC9E1">
      <w:pPr>
        <w:pStyle w:val="10"/>
        <w:bidi w:val="0"/>
        <w:jc w:val="center"/>
        <w:rPr>
          <w:rFonts w:hint="eastAsia"/>
          <w:b/>
          <w:bCs/>
        </w:rPr>
      </w:pPr>
      <w:r>
        <w:rPr>
          <w:rFonts w:hint="eastAsia"/>
          <w:b/>
          <w:bCs/>
        </w:rPr>
        <w:t>图9  2009-2013年农民人均纯收入及其增长速度</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15930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C2B7142">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7440" cy="2674620"/>
                  <wp:effectExtent l="0" t="0" r="3810" b="11430"/>
                  <wp:docPr id="69" name="图片 69"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10"/>
                          <pic:cNvPicPr>
                            <a:picLocks noChangeAspect="1"/>
                          </pic:cNvPicPr>
                        </pic:nvPicPr>
                        <pic:blipFill>
                          <a:blip r:embed="rId139"/>
                          <a:stretch>
                            <a:fillRect/>
                          </a:stretch>
                        </pic:blipFill>
                        <pic:spPr>
                          <a:xfrm>
                            <a:off x="0" y="0"/>
                            <a:ext cx="6187440" cy="2674620"/>
                          </a:xfrm>
                          <a:prstGeom prst="rect">
                            <a:avLst/>
                          </a:prstGeom>
                        </pic:spPr>
                      </pic:pic>
                    </a:graphicData>
                  </a:graphic>
                </wp:inline>
              </w:drawing>
            </w:r>
          </w:p>
        </w:tc>
      </w:tr>
    </w:tbl>
    <w:p w14:paraId="156BE59C">
      <w:pPr>
        <w:pStyle w:val="10"/>
        <w:bidi w:val="0"/>
        <w:jc w:val="center"/>
        <w:rPr>
          <w:b/>
          <w:bCs/>
        </w:rPr>
      </w:pPr>
      <w:r>
        <w:rPr>
          <w:rFonts w:hint="eastAsia"/>
          <w:b/>
          <w:bCs/>
        </w:rPr>
        <w:t>图10  2009-2013年城镇居民人均可支配收入及其增长速度</w:t>
      </w:r>
    </w:p>
    <w:p w14:paraId="0CC962DB">
      <w:r>
        <w:rPr>
          <w:rFonts w:hint="eastAsia"/>
        </w:rPr>
        <w:t>新一轮扶贫开发“双到”工作扎实推进，全市</w:t>
      </w:r>
      <w:r>
        <w:t>59个重点帮扶村已全面对接，已落实帮扶资金1.5</w:t>
      </w:r>
      <w:r>
        <w:rPr>
          <w:rFonts w:hint="eastAsia"/>
        </w:rPr>
        <w:t>亿元，完成</w:t>
      </w:r>
      <w:r>
        <w:t>250户农村困难户住房改造任务。</w:t>
      </w:r>
    </w:p>
    <w:p w14:paraId="6270B9EA">
      <w:r>
        <w:rPr>
          <w:rFonts w:hint="eastAsia"/>
        </w:rPr>
        <w:t>社会保险覆盖面不断扩大，</w:t>
      </w:r>
      <w:r>
        <w:t>16.5万人参加了城</w:t>
      </w:r>
      <w:r>
        <w:rPr>
          <w:rFonts w:hint="eastAsia"/>
        </w:rPr>
        <w:t>乡居民养老保险，</w:t>
      </w:r>
      <w:r>
        <w:t>35.5万人参加城乡居民医疗保</w:t>
      </w:r>
      <w:r>
        <w:rPr>
          <w:rFonts w:hint="eastAsia"/>
        </w:rPr>
        <w:t>险。社会救助体系不断完善，年末拥有敬老院</w:t>
      </w:r>
      <w:r>
        <w:t>18</w:t>
      </w:r>
      <w:r>
        <w:rPr>
          <w:rFonts w:hint="eastAsia"/>
        </w:rPr>
        <w:t>个、城镇社区服务点</w:t>
      </w:r>
      <w:r>
        <w:t>2个，敬老院供养人数336</w:t>
      </w:r>
      <w:r>
        <w:rPr>
          <w:rFonts w:hint="eastAsia"/>
        </w:rPr>
        <w:t>人，社会各界捐款</w:t>
      </w:r>
      <w:r>
        <w:t>220万元。支出低保资金1020</w:t>
      </w:r>
      <w:r>
        <w:rPr>
          <w:rFonts w:hint="eastAsia"/>
        </w:rPr>
        <w:t>万元，为</w:t>
      </w:r>
      <w:r>
        <w:t>4820户8100名困难群众提供了基本生活</w:t>
      </w:r>
      <w:r>
        <w:rPr>
          <w:rFonts w:hint="eastAsia"/>
        </w:rPr>
        <w:t>保障；五保老人生活标准有新的提高，在院老人月供养标准从</w:t>
      </w:r>
      <w:r>
        <w:t>460元/人提高到了510元/人，散居五</w:t>
      </w:r>
      <w:r>
        <w:rPr>
          <w:rFonts w:hint="eastAsia"/>
        </w:rPr>
        <w:t>保老人从</w:t>
      </w:r>
      <w:r>
        <w:t>360元/人提高到410元/人；建立医疗救</w:t>
      </w:r>
      <w:r>
        <w:rPr>
          <w:rFonts w:hint="eastAsia"/>
        </w:rPr>
        <w:t>助“一站式”服务系统，彻底解决了城乡低保户五保户及部分因病困难群众“住院难、报销难”问题。救灾救济工作及时有力，拨付</w:t>
      </w:r>
      <w:r>
        <w:t>267万元帮助178户全倒户和重危房户重建家园。</w:t>
      </w:r>
    </w:p>
    <w:p w14:paraId="785F3DA9">
      <w:pPr>
        <w:rPr>
          <w:rFonts w:hint="eastAsia"/>
          <w:b/>
          <w:bCs/>
        </w:rPr>
      </w:pPr>
      <w:r>
        <w:rPr>
          <w:rFonts w:hint="eastAsia"/>
          <w:b/>
          <w:bCs/>
        </w:rPr>
        <w:t>十一、人口、资源、环境和社会</w:t>
      </w:r>
    </w:p>
    <w:p w14:paraId="7D347B3C">
      <w:r>
        <w:rPr>
          <w:rFonts w:hint="eastAsia"/>
        </w:rPr>
        <w:t>年末常住人口</w:t>
      </w:r>
      <w:r>
        <w:t>32.6万人，比上年增加0.28万</w:t>
      </w:r>
      <w:r>
        <w:rPr>
          <w:rFonts w:hint="eastAsia"/>
        </w:rPr>
        <w:t>人，增长</w:t>
      </w:r>
      <w:r>
        <w:t>0.87%。城镇人口比重45.15%，比上年</w:t>
      </w:r>
      <w:r>
        <w:rPr>
          <w:rFonts w:hint="eastAsia"/>
        </w:rPr>
        <w:t>提高</w:t>
      </w:r>
      <w:r>
        <w:t>0.41个百分点。户籍人口47.79万人，其中非</w:t>
      </w:r>
      <w:r>
        <w:rPr>
          <w:rFonts w:hint="eastAsia"/>
        </w:rPr>
        <w:t>农业人口</w:t>
      </w:r>
      <w:r>
        <w:t>8.69万人。全年出生人口7331人，人口</w:t>
      </w:r>
      <w:r>
        <w:rPr>
          <w:rFonts w:hint="eastAsia"/>
        </w:rPr>
        <w:t>出生率</w:t>
      </w:r>
      <w:r>
        <w:t>14.95‰；死亡人口2720人，死亡率5.55%；人口自然增长率9.4‰。</w:t>
      </w:r>
    </w:p>
    <w:p w14:paraId="4E60F910">
      <w:pPr>
        <w:rPr>
          <w:rFonts w:hint="eastAsia"/>
        </w:rPr>
      </w:pPr>
      <w:r>
        <w:rPr>
          <w:rFonts w:hint="eastAsia"/>
        </w:rPr>
        <w:t>生态环境保护力度加大。我市以新一轮绿化</w:t>
      </w:r>
      <w:r>
        <w:rPr>
          <w:rFonts w:hint="eastAsia"/>
          <w:lang w:val="en-US" w:eastAsia="zh-CN"/>
        </w:rPr>
        <w:t>广</w:t>
      </w:r>
      <w:r>
        <w:rPr>
          <w:rFonts w:hint="eastAsia"/>
        </w:rPr>
        <w:t>东大行动为契机，全面推进生态林业强市建设。全市已建立自然保护区</w:t>
      </w:r>
      <w:r>
        <w:t>3个，面积17.7万亩；已建</w:t>
      </w:r>
      <w:r>
        <w:rPr>
          <w:rFonts w:hint="eastAsia"/>
        </w:rPr>
        <w:t>立县级森林公园</w:t>
      </w:r>
      <w:r>
        <w:t>6个，森林公园划定面积16.9万</w:t>
      </w:r>
      <w:r>
        <w:rPr>
          <w:rFonts w:hint="eastAsia"/>
        </w:rPr>
        <w:t>亩；建立国家级湿地公园</w:t>
      </w:r>
      <w:r>
        <w:t>1个，面积2.5万亩。以</w:t>
      </w:r>
      <w:r>
        <w:rPr>
          <w:rFonts w:hint="eastAsia"/>
        </w:rPr>
        <w:t>城区和珠玑、乌迳、黄坑等三个中心镇为重点，大力开展农村违法用地和市区违章建筑整治活动，城乡建设秩序不断规范；加快完善城乡生活垃圾处理设施，城乡人居环境不断改善。继续加强对林业资源、土地资源、矿产资源、水资源和野生动植物的保护和监管力度，生态环境进一步得到有效保护。</w:t>
      </w:r>
    </w:p>
    <w:p w14:paraId="47E703E8">
      <w:r>
        <w:rPr>
          <w:rFonts w:hint="eastAsia"/>
        </w:rPr>
        <w:t>水利资源丰富。全市大小河流</w:t>
      </w:r>
      <w:r>
        <w:t>110条，多年平</w:t>
      </w:r>
      <w:r>
        <w:rPr>
          <w:rFonts w:hint="eastAsia"/>
        </w:rPr>
        <w:t>均地表径流总量</w:t>
      </w:r>
      <w:r>
        <w:t>18亿立方米。库塘水面1467公</w:t>
      </w:r>
      <w:r>
        <w:rPr>
          <w:rFonts w:hint="eastAsia"/>
        </w:rPr>
        <w:t>顷，蓄水量</w:t>
      </w:r>
      <w:r>
        <w:t>2.1亿立方米。全年降雨量1349.1毫</w:t>
      </w:r>
      <w:r>
        <w:rPr>
          <w:rFonts w:hint="eastAsia"/>
        </w:rPr>
        <w:t>米，比上年减少</w:t>
      </w:r>
      <w:r>
        <w:t>593.7毫米，比历年平均降雨量减</w:t>
      </w:r>
      <w:r>
        <w:rPr>
          <w:rFonts w:hint="eastAsia"/>
        </w:rPr>
        <w:t>少</w:t>
      </w:r>
      <w:r>
        <w:t>149毫米。年平均气温20.2℃，比上年提</w:t>
      </w:r>
      <w:r>
        <w:rPr>
          <w:rFonts w:hint="eastAsia"/>
        </w:rPr>
        <w:t>高</w:t>
      </w:r>
      <w:r>
        <w:t>0.3℃。</w:t>
      </w:r>
    </w:p>
    <w:p w14:paraId="7668D8CD">
      <w:pPr>
        <w:rPr>
          <w:rFonts w:hint="eastAsia"/>
        </w:rPr>
      </w:pPr>
      <w:r>
        <w:rPr>
          <w:rFonts w:hint="eastAsia"/>
        </w:rPr>
        <w:t>行政区域土地面积</w:t>
      </w:r>
      <w:r>
        <w:t>2326.18平方公里，其中建</w:t>
      </w:r>
      <w:r>
        <w:rPr>
          <w:rFonts w:hint="eastAsia"/>
        </w:rPr>
        <w:t>成区面积</w:t>
      </w:r>
      <w:r>
        <w:t>86.5平方公里。年末耕地总资源65.13万</w:t>
      </w:r>
      <w:r>
        <w:rPr>
          <w:rFonts w:hint="eastAsia"/>
        </w:rPr>
        <w:t>亩，其中水田</w:t>
      </w:r>
      <w:r>
        <w:t>44.05万亩，水浇地0.11万亩；年末</w:t>
      </w:r>
      <w:r>
        <w:rPr>
          <w:rFonts w:hint="eastAsia"/>
        </w:rPr>
        <w:t>有效灌溉面积</w:t>
      </w:r>
      <w:r>
        <w:t>44.17万亩，减少耕地10956亩。年</w:t>
      </w:r>
      <w:r>
        <w:rPr>
          <w:rFonts w:hint="eastAsia"/>
        </w:rPr>
        <w:t>末林业用地面积</w:t>
      </w:r>
      <w:r>
        <w:t>15.94万公顷，森林覆盖率64.98%，林木蓄积量823.56万立方米。银杏基地2.35万亩，毛竹基地39.14万亩，松林基地73.61</w:t>
      </w:r>
      <w:r>
        <w:rPr>
          <w:rFonts w:hint="eastAsia"/>
        </w:rPr>
        <w:t>万亩。</w:t>
      </w:r>
    </w:p>
    <w:p w14:paraId="6E804A99">
      <w:r>
        <w:rPr>
          <w:rFonts w:hint="eastAsia"/>
        </w:rPr>
        <w:t>年末园林绿化面积</w:t>
      </w:r>
      <w:r>
        <w:t>193公顷，其中公共绿地面</w:t>
      </w:r>
      <w:r>
        <w:rPr>
          <w:rFonts w:hint="eastAsia"/>
        </w:rPr>
        <w:t>积</w:t>
      </w:r>
      <w:r>
        <w:t>120公顷。建成区绿化覆盖面积471公顷。</w:t>
      </w:r>
    </w:p>
    <w:p w14:paraId="1F146133">
      <w:r>
        <w:rPr>
          <w:rFonts w:hint="eastAsia"/>
        </w:rPr>
        <w:t>全年规模以上工业综合能源消耗量</w:t>
      </w:r>
      <w:r>
        <w:t>10.07万吨</w:t>
      </w:r>
      <w:r>
        <w:rPr>
          <w:rFonts w:hint="eastAsia"/>
        </w:rPr>
        <w:t>标准煤，增长</w:t>
      </w:r>
      <w:r>
        <w:t>4.3%。全年全社会用电量32779万</w:t>
      </w:r>
      <w:r>
        <w:rPr>
          <w:rFonts w:hint="eastAsia"/>
        </w:rPr>
        <w:t>千瓦小时，增长</w:t>
      </w:r>
      <w:r>
        <w:t>1.8%。其中：工业用电16910万</w:t>
      </w:r>
      <w:r>
        <w:rPr>
          <w:rFonts w:hint="eastAsia"/>
        </w:rPr>
        <w:t>千瓦小时，增长</w:t>
      </w:r>
      <w:r>
        <w:t>1.7%；商业用电2957万千瓦小</w:t>
      </w:r>
      <w:r>
        <w:rPr>
          <w:rFonts w:hint="eastAsia"/>
        </w:rPr>
        <w:t>时，增长</w:t>
      </w:r>
      <w:r>
        <w:t>11.1%；居民生活用电11517万千瓦小</w:t>
      </w:r>
      <w:r>
        <w:rPr>
          <w:rFonts w:hint="eastAsia"/>
        </w:rPr>
        <w:t>时，增长</w:t>
      </w:r>
      <w:r>
        <w:t>7.7%。全市废水排放总量950.83万吨，</w:t>
      </w:r>
      <w:r>
        <w:rPr>
          <w:rFonts w:hint="eastAsia"/>
        </w:rPr>
        <w:t>下降</w:t>
      </w:r>
      <w:r>
        <w:t>9.1%；废气排放总量64546万标立方米，增</w:t>
      </w:r>
      <w:r>
        <w:rPr>
          <w:rFonts w:hint="eastAsia"/>
        </w:rPr>
        <w:t>长</w:t>
      </w:r>
      <w:r>
        <w:t>20.5%；生活污水处理率91.93%，提高1.61个</w:t>
      </w:r>
      <w:r>
        <w:rPr>
          <w:rFonts w:hint="eastAsia"/>
        </w:rPr>
        <w:t>百分点；环境污染治理资金</w:t>
      </w:r>
      <w:r>
        <w:t>650万元，增</w:t>
      </w:r>
      <w:r>
        <w:rPr>
          <w:rFonts w:hint="eastAsia"/>
        </w:rPr>
        <w:t>长</w:t>
      </w:r>
      <w:r>
        <w:t>22.6%。</w:t>
      </w:r>
    </w:p>
    <w:p w14:paraId="7DC66CAD">
      <w:pPr>
        <w:rPr>
          <w:rFonts w:hint="eastAsia"/>
        </w:rPr>
      </w:pPr>
      <w:r>
        <w:rPr>
          <w:rFonts w:hint="eastAsia"/>
        </w:rPr>
        <w:t>社会管理不断加强。全力推进平安南雄建设，开展“打四黑除四害”等系列专项整治工作，视频监控系统“一类点”</w:t>
      </w:r>
      <w:r>
        <w:t>274个高清视频监控探头建成</w:t>
      </w:r>
      <w:r>
        <w:rPr>
          <w:rFonts w:hint="eastAsia"/>
        </w:rPr>
        <w:t>使用，二期视频监控系统建设已经启动。扎实开展</w:t>
      </w:r>
      <w:r>
        <w:rPr>
          <w:rFonts w:hint="eastAsia"/>
          <w:lang w:eastAsia="zh-CN"/>
        </w:rPr>
        <w:t>“</w:t>
      </w:r>
      <w:r>
        <w:t>两违</w:t>
      </w:r>
      <w:r>
        <w:rPr>
          <w:rFonts w:hint="eastAsia"/>
          <w:lang w:eastAsia="zh-CN"/>
        </w:rPr>
        <w:t>”</w:t>
      </w:r>
      <w:r>
        <w:t>整治工作，依法拆除</w:t>
      </w:r>
      <w:r>
        <w:rPr>
          <w:rFonts w:hint="eastAsia"/>
          <w:lang w:val="en-US" w:eastAsia="zh-CN"/>
        </w:rPr>
        <w:t>“</w:t>
      </w:r>
      <w:r>
        <w:t>两违</w:t>
      </w:r>
      <w:r>
        <w:rPr>
          <w:rFonts w:hint="eastAsia"/>
          <w:lang w:eastAsia="zh-CN"/>
        </w:rPr>
        <w:t>”</w:t>
      </w:r>
      <w:r>
        <w:t>建筑26宗3610平方米。综治信访维稳工作扎实推进，各类矛</w:t>
      </w:r>
      <w:r>
        <w:rPr>
          <w:rFonts w:hint="eastAsia"/>
        </w:rPr>
        <w:t>盾纠纷得到有效化解。刑事立案</w:t>
      </w:r>
      <w:r>
        <w:t>117件，下降4.9%；民事立案1167件，下降23.8%。完成食品</w:t>
      </w:r>
      <w:r>
        <w:rPr>
          <w:rFonts w:hint="eastAsia"/>
        </w:rPr>
        <w:t>药品安全监督管理改革，构建了市镇村三级监管网络，餐饮食品安全示范县创建工作通过了省级考评验收。落实安全监管主体责任，安全生产标准化工作得到加强。</w:t>
      </w:r>
    </w:p>
    <w:p w14:paraId="11415A0B">
      <w:pPr>
        <w:rPr>
          <w:rFonts w:hint="eastAsia"/>
          <w:lang w:eastAsia="zh-CN"/>
        </w:rPr>
      </w:pPr>
      <w:r>
        <w:rPr>
          <w:rFonts w:hint="eastAsia"/>
        </w:rPr>
        <w:t>政府自身建设不断强化。积极贯彻落实中央八项规定，深入开展“面向基层、整顿作风、服务群众”主题学习教育活动，公职人员的群众观念、服务意识和机关作风不断加强。自觉接受市人大监督和市政协参政议政，办理人大议案及建议</w:t>
      </w:r>
      <w:r>
        <w:t>19</w:t>
      </w:r>
      <w:r>
        <w:rPr>
          <w:rFonts w:hint="eastAsia"/>
        </w:rPr>
        <w:t>件、政协提案</w:t>
      </w:r>
      <w:r>
        <w:t>57件，办复率达100%。重点项目</w:t>
      </w:r>
      <w:r>
        <w:rPr>
          <w:rFonts w:hint="eastAsia"/>
          <w:lang w:eastAsia="zh-CN"/>
        </w:rPr>
        <w:t>、</w:t>
      </w:r>
      <w:r>
        <w:rPr>
          <w:rFonts w:hint="eastAsia"/>
        </w:rPr>
        <w:t>重要工作督</w:t>
      </w:r>
      <w:r>
        <w:rPr>
          <w:rFonts w:hint="eastAsia"/>
          <w:lang w:eastAsia="zh-CN"/>
        </w:rPr>
        <w:t>查</w:t>
      </w:r>
      <w:r>
        <w:rPr>
          <w:rFonts w:hint="eastAsia"/>
        </w:rPr>
        <w:t>督办机制不断健全。民主法制建设、廉政建设不断深入，依法行政水平进一步提高。全面推行政务公开，电子政务办公业务系统建设顺利推进；深化行政审批制度改革，</w:t>
      </w:r>
      <w:r>
        <w:t>58个部门657项服</w:t>
      </w:r>
      <w:r>
        <w:rPr>
          <w:rFonts w:hint="eastAsia"/>
        </w:rPr>
        <w:t>务事项进入网上办事大厅，完成镇级便民服务中心建设，权力真正在阳光下运行</w:t>
      </w:r>
      <w:r>
        <w:rPr>
          <w:rFonts w:hint="eastAsia"/>
          <w:lang w:eastAsia="zh-CN"/>
        </w:rPr>
        <w:t>。</w:t>
      </w:r>
    </w:p>
    <w:p w14:paraId="0269D218">
      <w:pPr>
        <w:rPr>
          <w:rFonts w:hint="eastAsia"/>
          <w:b/>
          <w:bCs/>
          <w:lang w:eastAsia="zh-CN"/>
        </w:rPr>
      </w:pPr>
      <w:r>
        <w:rPr>
          <w:rFonts w:hint="eastAsia"/>
          <w:b/>
          <w:bCs/>
        </w:rPr>
        <w:t>注</w:t>
      </w:r>
      <w:r>
        <w:rPr>
          <w:rFonts w:hint="eastAsia"/>
          <w:b/>
          <w:bCs/>
          <w:lang w:eastAsia="zh-CN"/>
        </w:rPr>
        <w:t>：</w:t>
      </w:r>
    </w:p>
    <w:p w14:paraId="20F90304">
      <w:pPr>
        <w:rPr>
          <w:rFonts w:hint="eastAsia"/>
          <w:lang w:eastAsia="zh-CN"/>
        </w:rPr>
      </w:pPr>
      <w:r>
        <w:t>1.本公报中各项统计数据为初步统计数，部分</w:t>
      </w:r>
      <w:r>
        <w:rPr>
          <w:rFonts w:hint="eastAsia"/>
        </w:rPr>
        <w:t>数据因四舍五入的原因，存在着与分项合计不等的情况</w:t>
      </w:r>
      <w:r>
        <w:rPr>
          <w:rFonts w:hint="eastAsia"/>
          <w:lang w:eastAsia="zh-CN"/>
        </w:rPr>
        <w:t>。</w:t>
      </w:r>
    </w:p>
    <w:p w14:paraId="47F04459">
      <w:pPr>
        <w:rPr>
          <w:rFonts w:hint="eastAsia"/>
        </w:rPr>
      </w:pPr>
      <w:r>
        <w:t>2.地区生产总值、增加值、产值绝对数按当年</w:t>
      </w:r>
      <w:r>
        <w:rPr>
          <w:rFonts w:hint="eastAsia"/>
        </w:rPr>
        <w:t>价计算，增长速度按可比价计算。</w:t>
      </w:r>
    </w:p>
    <w:p w14:paraId="152D5BB4">
      <w:pPr>
        <w:rPr>
          <w:rFonts w:hint="eastAsia"/>
        </w:rPr>
      </w:pPr>
      <w:r>
        <w:t>3.从2011年起，规模以上工业统计口径由500</w:t>
      </w:r>
      <w:r>
        <w:rPr>
          <w:rFonts w:hint="eastAsia"/>
        </w:rPr>
        <w:t>万元调整为</w:t>
      </w:r>
      <w:r>
        <w:t>2000万元及以上；固定资产投资项目</w:t>
      </w:r>
      <w:r>
        <w:rPr>
          <w:rFonts w:hint="eastAsia"/>
        </w:rPr>
        <w:t>统计起点由计划总投资</w:t>
      </w:r>
      <w:r>
        <w:t>50万元提高到500万元；</w:t>
      </w:r>
      <w:r>
        <w:rPr>
          <w:rFonts w:hint="eastAsia"/>
        </w:rPr>
        <w:t>限额以上批发企业标准，年销售额</w:t>
      </w:r>
      <w:r>
        <w:t>2000万元以上；</w:t>
      </w:r>
      <w:r>
        <w:rPr>
          <w:rFonts w:hint="eastAsia"/>
        </w:rPr>
        <w:t>限额以上零售企业标准，年零售额</w:t>
      </w:r>
      <w:r>
        <w:t>500万元以上；</w:t>
      </w:r>
      <w:r>
        <w:rPr>
          <w:rFonts w:hint="eastAsia"/>
        </w:rPr>
        <w:t>限额以上住宿餐饮企业标准，年营业额</w:t>
      </w:r>
      <w:r>
        <w:t>200万元</w:t>
      </w:r>
      <w:r>
        <w:rPr>
          <w:rFonts w:hint="eastAsia"/>
        </w:rPr>
        <w:t>以上。</w:t>
      </w:r>
    </w:p>
    <w:p w14:paraId="34AD7037">
      <w:r>
        <w:t>4.2013年人民币对美元平均汇率为6.1932。</w:t>
      </w:r>
    </w:p>
    <w:p w14:paraId="7651B98B">
      <w:pPr>
        <w:rPr>
          <w:rFonts w:hint="eastAsia"/>
        </w:rPr>
      </w:pPr>
      <w:r>
        <w:t>5.资料来源：本公报中城镇新增就业、登记失</w:t>
      </w:r>
      <w:r>
        <w:rPr>
          <w:rFonts w:hint="eastAsia"/>
        </w:rPr>
        <w:t>业率、社会保障数据来自市人力资源社会保障局</w:t>
      </w:r>
      <w:r>
        <w:rPr>
          <w:rFonts w:hint="eastAsia"/>
          <w:lang w:eastAsia="zh-CN"/>
        </w:rPr>
        <w:t>；</w:t>
      </w:r>
      <w:r>
        <w:rPr>
          <w:rFonts w:hint="eastAsia"/>
        </w:rPr>
        <w:t>财政数据来自市财政局；货币金融数据、外贸出口总额等数据来自中国人民银行南雄支行；外商直接投资、对外直接投资等数据来自市外经局；国际互联网用户、邮电业务总量等数据来自邮政及通信部门（单位）；旅游数据来自市旅游局；教育数据来自市教育局；专利数据来自市科技局；气象数据来自市气象局；用水数据来自市水务局；用电量数据来自广东电网韶关南雄供电局；测绘数据来自市国土资源局；艺术表演团体、博物馆、公共图书馆</w:t>
      </w:r>
      <w:r>
        <w:rPr>
          <w:rFonts w:hint="eastAsia"/>
          <w:lang w:eastAsia="zh-CN"/>
        </w:rPr>
        <w:t>、</w:t>
      </w:r>
      <w:r>
        <w:rPr>
          <w:rFonts w:hint="eastAsia"/>
        </w:rPr>
        <w:t>文化馆数据来自市文广新局；广播、电视数据来自市电视台；体育数据来自市体育局；卫生、新农合数据来自市卫生局；低保、社会组织数据来自市民政局；环境监测数据来自市环保局；林业数据来自市林业局；户籍人口数据来自市公安局；计划生育数据来自市计生局；其他数据来自市统计局。</w:t>
      </w:r>
    </w:p>
    <w:p w14:paraId="50B1CFAC">
      <w:pPr>
        <w:pStyle w:val="2"/>
        <w:bidi w:val="0"/>
        <w:rPr>
          <w:rFonts w:hint="eastAsia"/>
        </w:rPr>
      </w:pPr>
      <w:r>
        <w:rPr>
          <w:rFonts w:hint="eastAsia"/>
        </w:rPr>
        <w:t>附录</w:t>
      </w:r>
    </w:p>
    <w:p w14:paraId="51BEC346">
      <w:pPr>
        <w:pStyle w:val="3"/>
        <w:bidi w:val="0"/>
        <w:rPr>
          <w:rFonts w:hint="eastAsia"/>
        </w:rPr>
      </w:pPr>
      <w:r>
        <w:rPr>
          <w:rFonts w:hint="eastAsia"/>
        </w:rPr>
        <w:t>南雄市人才工作实施办法（修订）</w:t>
      </w:r>
    </w:p>
    <w:p w14:paraId="2A80E016">
      <w:pPr>
        <w:pStyle w:val="10"/>
        <w:bidi w:val="0"/>
        <w:jc w:val="center"/>
        <w:rPr>
          <w:rFonts w:hint="eastAsia"/>
          <w:b/>
          <w:bCs/>
        </w:rPr>
      </w:pPr>
      <w:r>
        <w:rPr>
          <w:rFonts w:hint="eastAsia"/>
          <w:b/>
          <w:bCs/>
        </w:rPr>
        <w:t>第一章</w:t>
      </w:r>
      <w:r>
        <w:rPr>
          <w:rFonts w:hint="eastAsia"/>
          <w:b/>
          <w:bCs/>
          <w:lang w:val="en-US" w:eastAsia="zh-CN"/>
        </w:rPr>
        <w:t xml:space="preserve">  </w:t>
      </w:r>
      <w:r>
        <w:rPr>
          <w:rFonts w:hint="eastAsia"/>
          <w:b/>
          <w:bCs/>
        </w:rPr>
        <w:t>总则</w:t>
      </w:r>
    </w:p>
    <w:p w14:paraId="5E717582">
      <w:pPr>
        <w:rPr>
          <w:rFonts w:hint="eastAsia"/>
        </w:rPr>
      </w:pPr>
      <w:r>
        <w:rPr>
          <w:rFonts w:hint="eastAsia"/>
          <w:b/>
          <w:bCs/>
        </w:rPr>
        <w:t>第一条</w:t>
      </w:r>
      <w:r>
        <w:rPr>
          <w:rFonts w:hint="eastAsia"/>
          <w:b/>
          <w:bCs/>
          <w:lang w:val="en-US" w:eastAsia="zh-CN"/>
        </w:rPr>
        <w:t xml:space="preserve"> </w:t>
      </w:r>
      <w:r>
        <w:rPr>
          <w:rFonts w:hint="eastAsia"/>
          <w:lang w:val="en-US" w:eastAsia="zh-CN"/>
        </w:rPr>
        <w:t xml:space="preserve"> </w:t>
      </w:r>
      <w:r>
        <w:rPr>
          <w:rFonts w:hint="eastAsia"/>
        </w:rPr>
        <w:t>为进一步优化我市人才发展环境，加快人才引进、培养，改善人才队伍结构，提升自主创新能力，强化人才保证和智力支持。根据上级有关文件精神，特对</w:t>
      </w:r>
      <w:r>
        <w:t>2011年我市颁发的《南雄市人</w:t>
      </w:r>
      <w:r>
        <w:rPr>
          <w:rFonts w:hint="eastAsia"/>
        </w:rPr>
        <w:t>才工作实施办法》进行修订。</w:t>
      </w:r>
    </w:p>
    <w:p w14:paraId="010AC0AE">
      <w:pPr>
        <w:pStyle w:val="10"/>
        <w:bidi w:val="0"/>
        <w:jc w:val="center"/>
        <w:rPr>
          <w:rFonts w:hint="eastAsia"/>
          <w:b/>
          <w:bCs/>
        </w:rPr>
      </w:pPr>
      <w:r>
        <w:rPr>
          <w:rFonts w:hint="eastAsia"/>
          <w:b/>
          <w:bCs/>
        </w:rPr>
        <w:t>第二章</w:t>
      </w:r>
      <w:r>
        <w:rPr>
          <w:rFonts w:hint="eastAsia"/>
          <w:b/>
          <w:bCs/>
          <w:lang w:val="en-US" w:eastAsia="zh-CN"/>
        </w:rPr>
        <w:t xml:space="preserve">  </w:t>
      </w:r>
      <w:r>
        <w:rPr>
          <w:rFonts w:hint="eastAsia"/>
          <w:b/>
          <w:bCs/>
        </w:rPr>
        <w:t>人才引进</w:t>
      </w:r>
    </w:p>
    <w:p w14:paraId="48F28D4F">
      <w:pPr>
        <w:rPr>
          <w:rFonts w:hint="eastAsia"/>
        </w:rPr>
      </w:pPr>
      <w:r>
        <w:rPr>
          <w:rFonts w:hint="eastAsia"/>
        </w:rPr>
        <w:t>的范围、重点与方式第二条坚持按需引进、突出重点、讲求实效的方针，结合我市产业转移工业园建设、重大项目建设和行业、专业发展，积极引进急需人才、紧缺人才。重点引进以下人才：</w:t>
      </w:r>
    </w:p>
    <w:p w14:paraId="18059E33">
      <w:pPr>
        <w:rPr>
          <w:rFonts w:hint="eastAsia"/>
        </w:rPr>
      </w:pPr>
      <w:r>
        <w:rPr>
          <w:rFonts w:hint="eastAsia"/>
        </w:rPr>
        <w:t>（一）我市支柱产业、新兴产业、重点工程亟需的专业技术人才、经营管理人才，如现代农业</w:t>
      </w:r>
      <w:r>
        <w:rPr>
          <w:rFonts w:hint="eastAsia"/>
          <w:lang w:eastAsia="zh-CN"/>
        </w:rPr>
        <w:t>、</w:t>
      </w:r>
      <w:r>
        <w:rPr>
          <w:rFonts w:hint="eastAsia"/>
        </w:rPr>
        <w:t>现代烟草、精细化工、机械电器、新型能源、高性能建材等。</w:t>
      </w:r>
    </w:p>
    <w:p w14:paraId="31BC98FF">
      <w:pPr>
        <w:rPr>
          <w:rFonts w:hint="eastAsia"/>
        </w:rPr>
      </w:pPr>
      <w:r>
        <w:rPr>
          <w:rFonts w:hint="eastAsia"/>
        </w:rPr>
        <w:t>（二）新材料与新工艺等新兴工业产业和高新技术产业方面的人才。</w:t>
      </w:r>
    </w:p>
    <w:p w14:paraId="03DAEEE7">
      <w:pPr>
        <w:rPr>
          <w:rFonts w:hint="eastAsia"/>
          <w:lang w:eastAsia="zh-CN"/>
        </w:rPr>
      </w:pPr>
      <w:r>
        <w:rPr>
          <w:rFonts w:hint="eastAsia"/>
        </w:rPr>
        <w:t>（三）围绕旅游休闲、宜居宜商建设目标，加快引进旅游、经营管理、物流、商贸、金融、交通、房产、城市规划、产业规划、医疗卫生、文化艺术、环境保护、生态建设、信息服务等方面的人才</w:t>
      </w:r>
      <w:r>
        <w:rPr>
          <w:rFonts w:hint="eastAsia"/>
          <w:lang w:eastAsia="zh-CN"/>
        </w:rPr>
        <w:t>。</w:t>
      </w:r>
    </w:p>
    <w:p w14:paraId="4A12CA7E">
      <w:pPr>
        <w:rPr>
          <w:rFonts w:hint="eastAsia"/>
        </w:rPr>
      </w:pPr>
      <w:r>
        <w:rPr>
          <w:rFonts w:hint="eastAsia"/>
        </w:rPr>
        <w:t>（四）国内外某一学科或技术领域带头人。拥有自主知识产权、重大发明创造和具有高新技术核心技术或可转让科技成果的人才；熟悉战略规划、资本运作、科技管理与项目管理的领军人才和科技创新企业家；拥有精湛技艺的技术能手、体育教练；具有较高造诣的文化艺术专家和社科理论专家；文化创意与文化产业领军人才。</w:t>
      </w:r>
    </w:p>
    <w:p w14:paraId="2085801B">
      <w:pPr>
        <w:rPr>
          <w:rFonts w:hint="eastAsia"/>
          <w:lang w:eastAsia="zh-CN"/>
        </w:rPr>
      </w:pPr>
      <w:r>
        <w:rPr>
          <w:rFonts w:hint="eastAsia"/>
        </w:rPr>
        <w:t>（五）重点引进我市优先发展产业急需的创新科研团队。引进具有国内外一流水平，对我市产业发展有重大影响，能带来显著经济效益或社会效益的创新科研团队</w:t>
      </w:r>
      <w:r>
        <w:rPr>
          <w:rFonts w:hint="eastAsia"/>
          <w:lang w:eastAsia="zh-CN"/>
        </w:rPr>
        <w:t>。</w:t>
      </w:r>
    </w:p>
    <w:p w14:paraId="6D7D21D6">
      <w:pPr>
        <w:rPr>
          <w:rFonts w:hint="eastAsia"/>
        </w:rPr>
      </w:pPr>
      <w:r>
        <w:rPr>
          <w:rFonts w:hint="eastAsia"/>
        </w:rPr>
        <w:t>（六）引进地方、部门或单位紧缺的各类高层次人才。</w:t>
      </w:r>
    </w:p>
    <w:p w14:paraId="1E897CCC">
      <w:pPr>
        <w:rPr>
          <w:rFonts w:hint="eastAsia"/>
        </w:rPr>
      </w:pPr>
      <w:r>
        <w:rPr>
          <w:rFonts w:hint="eastAsia"/>
          <w:b/>
          <w:bCs/>
        </w:rPr>
        <w:t>第三条</w:t>
      </w:r>
      <w:r>
        <w:rPr>
          <w:rFonts w:hint="eastAsia"/>
          <w:lang w:val="en-US" w:eastAsia="zh-CN"/>
        </w:rPr>
        <w:t xml:space="preserve">  </w:t>
      </w:r>
      <w:r>
        <w:rPr>
          <w:rFonts w:hint="eastAsia"/>
        </w:rPr>
        <w:t>人才的引进方式。可以采取工作调动、职位录用、岗位聘用、项目聘用、任务聘用</w:t>
      </w:r>
      <w:r>
        <w:rPr>
          <w:rFonts w:hint="eastAsia"/>
          <w:lang w:eastAsia="zh-CN"/>
        </w:rPr>
        <w:t>、</w:t>
      </w:r>
      <w:r>
        <w:rPr>
          <w:rFonts w:hint="eastAsia"/>
        </w:rPr>
        <w:t>特聘、租赁、兼职、咨询、讲学、科研、项目合作、技术合作、技术入股、投资创业等多种形式引进人才。</w:t>
      </w:r>
    </w:p>
    <w:p w14:paraId="1640C1A1">
      <w:pPr>
        <w:rPr>
          <w:rFonts w:hint="eastAsia"/>
        </w:rPr>
      </w:pPr>
      <w:r>
        <w:rPr>
          <w:rFonts w:hint="eastAsia"/>
        </w:rPr>
        <w:t>（一）项目引才。通过招商引资项目、民营企业发展项目，重点工程建设项目、科技攻关项目和重点投资项目，招揽工程建设与管理方面的人才。</w:t>
      </w:r>
    </w:p>
    <w:p w14:paraId="35769C52">
      <w:pPr>
        <w:rPr>
          <w:rFonts w:hint="eastAsia"/>
        </w:rPr>
      </w:pPr>
      <w:r>
        <w:rPr>
          <w:rFonts w:hint="eastAsia"/>
        </w:rPr>
        <w:t>（二）产业招才。通过我市支柱产业、特色产业、新兴产业、转移产业的发展壮大形成产业集群，实现相关产业的高层次人才集纳。</w:t>
      </w:r>
    </w:p>
    <w:p w14:paraId="37ABA5D8">
      <w:pPr>
        <w:rPr>
          <w:rFonts w:hint="eastAsia"/>
        </w:rPr>
      </w:pPr>
      <w:r>
        <w:rPr>
          <w:rFonts w:hint="eastAsia"/>
        </w:rPr>
        <w:t>（三）市场引才。通过网络人才市场、有形人才市场等各类人才市场引进高层次的科研、技术</w:t>
      </w:r>
      <w:r>
        <w:rPr>
          <w:rFonts w:hint="eastAsia"/>
          <w:lang w:eastAsia="zh-CN"/>
        </w:rPr>
        <w:t>、</w:t>
      </w:r>
      <w:r>
        <w:rPr>
          <w:rFonts w:hint="eastAsia"/>
        </w:rPr>
        <w:t>管理方面人才。</w:t>
      </w:r>
    </w:p>
    <w:p w14:paraId="095B5713">
      <w:pPr>
        <w:rPr>
          <w:rFonts w:hint="eastAsia"/>
        </w:rPr>
      </w:pPr>
      <w:r>
        <w:rPr>
          <w:rFonts w:hint="eastAsia"/>
        </w:rPr>
        <w:t>（四）岗位引才。行政机关根据工作需要，对空缺职位通过商调、招录或公开选拔等方式引进高层次人才。</w:t>
      </w:r>
    </w:p>
    <w:p w14:paraId="29CFD0C9">
      <w:pPr>
        <w:rPr>
          <w:rFonts w:hint="eastAsia"/>
        </w:rPr>
      </w:pPr>
      <w:r>
        <w:rPr>
          <w:rFonts w:hint="eastAsia"/>
        </w:rPr>
        <w:t>（五）柔性引才。本着“不求所有、不求所在</w:t>
      </w:r>
      <w:r>
        <w:rPr>
          <w:rFonts w:hint="eastAsia"/>
          <w:lang w:eastAsia="zh-CN"/>
        </w:rPr>
        <w:t>、</w:t>
      </w:r>
      <w:r>
        <w:rPr>
          <w:rFonts w:hint="eastAsia"/>
        </w:rPr>
        <w:t>但求所用”的方针，采取灵活多样的方式，引进高层次人才来我市短期服务。</w:t>
      </w:r>
    </w:p>
    <w:p w14:paraId="2EB54E65">
      <w:pPr>
        <w:rPr>
          <w:rFonts w:hint="eastAsia"/>
        </w:rPr>
      </w:pPr>
      <w:r>
        <w:rPr>
          <w:rFonts w:hint="eastAsia"/>
        </w:rPr>
        <w:t>引进的人才应具有良好的职业道德，遵纪守法，身体健康。除通过职位录用、调任的按有关规定执行外，其余通过工作调动、岗位聘用方式引进的人才，年龄一般在</w:t>
      </w:r>
      <w:r>
        <w:t>45周岁以下。原则上须具有</w:t>
      </w:r>
      <w:r>
        <w:rPr>
          <w:rFonts w:hint="eastAsia"/>
        </w:rPr>
        <w:t>研究生以上学位或副高以上专业技术职务资格。紧缺或特殊人才，可适当放宽年龄限制和条件。</w:t>
      </w:r>
    </w:p>
    <w:p w14:paraId="5C9A8133">
      <w:pPr>
        <w:rPr>
          <w:rFonts w:hint="eastAsia"/>
        </w:rPr>
      </w:pPr>
      <w:r>
        <w:rPr>
          <w:rFonts w:hint="eastAsia"/>
          <w:b/>
          <w:bCs/>
        </w:rPr>
        <w:t>第四条</w:t>
      </w:r>
      <w:r>
        <w:rPr>
          <w:rFonts w:hint="eastAsia"/>
          <w:lang w:val="en-US" w:eastAsia="zh-CN"/>
        </w:rPr>
        <w:t xml:space="preserve">  </w:t>
      </w:r>
      <w:r>
        <w:rPr>
          <w:rFonts w:hint="eastAsia"/>
        </w:rPr>
        <w:t>人才的平台建设。</w:t>
      </w:r>
    </w:p>
    <w:p w14:paraId="279A1B55">
      <w:pPr>
        <w:rPr>
          <w:rFonts w:hint="eastAsia"/>
        </w:rPr>
      </w:pPr>
      <w:r>
        <w:rPr>
          <w:rFonts w:hint="eastAsia"/>
        </w:rPr>
        <w:t>（一）建立信息平台。建立人才需求信息报送制度，及时了解、公布本地紧缺人才的供需信息依托南雄市人才网等有关网站，实现人才信息全面、准确、实时、动态的管理及人才信息资源共享。</w:t>
      </w:r>
    </w:p>
    <w:p w14:paraId="147B28D8">
      <w:pPr>
        <w:rPr>
          <w:rFonts w:hint="eastAsia"/>
          <w:lang w:eastAsia="zh-CN"/>
        </w:rPr>
      </w:pPr>
      <w:r>
        <w:rPr>
          <w:rFonts w:hint="eastAsia"/>
        </w:rPr>
        <w:t>（二）搭建创新平台。</w:t>
      </w:r>
      <w:r>
        <w:rPr>
          <w:rFonts w:hint="eastAsia"/>
          <w:lang w:val="en-US" w:eastAsia="zh-CN"/>
        </w:rPr>
        <w:t>围</w:t>
      </w:r>
      <w:r>
        <w:rPr>
          <w:rFonts w:hint="eastAsia"/>
        </w:rPr>
        <w:t>绕产业发展，提升企业自主创新能力与产业核心竞争力，加快建立健全以企业为主体、市场为导向、产学研结合的技术创新体系，推进产学研创新联盟等创新平台建设。打造我市技术创新、管理创新、产品创新平台，加快科技向现实生产力转化。市财政给予一定的科研经费补助</w:t>
      </w:r>
      <w:r>
        <w:rPr>
          <w:rFonts w:hint="eastAsia"/>
          <w:lang w:eastAsia="zh-CN"/>
        </w:rPr>
        <w:t>。</w:t>
      </w:r>
    </w:p>
    <w:p w14:paraId="3B850DE3">
      <w:pPr>
        <w:rPr>
          <w:rFonts w:hint="eastAsia"/>
        </w:rPr>
      </w:pPr>
      <w:r>
        <w:rPr>
          <w:rFonts w:hint="eastAsia"/>
        </w:rPr>
        <w:t>（三）建立创业平台。依托东莞大岭山（南雄）产业转移工业园，利用我市特色资源优势、区位比较优势，鼓励国内外人才自带技术、项目</w:t>
      </w:r>
      <w:r>
        <w:rPr>
          <w:rFonts w:hint="eastAsia"/>
          <w:lang w:eastAsia="zh-CN"/>
        </w:rPr>
        <w:t>、</w:t>
      </w:r>
      <w:r>
        <w:rPr>
          <w:rFonts w:hint="eastAsia"/>
          <w:lang w:val="en-US" w:eastAsia="zh-CN"/>
        </w:rPr>
        <w:t>产</w:t>
      </w:r>
      <w:r>
        <w:rPr>
          <w:rFonts w:hint="eastAsia"/>
        </w:rPr>
        <w:t>品、专利、资金来我市创业。政府创造有利条件为各类人才搭建成长平台。</w:t>
      </w:r>
    </w:p>
    <w:p w14:paraId="47A0981D">
      <w:pPr>
        <w:pStyle w:val="10"/>
        <w:bidi w:val="0"/>
        <w:jc w:val="center"/>
        <w:rPr>
          <w:rFonts w:hint="eastAsia"/>
          <w:b/>
          <w:bCs/>
        </w:rPr>
      </w:pPr>
      <w:r>
        <w:rPr>
          <w:rFonts w:hint="eastAsia"/>
          <w:b/>
          <w:bCs/>
        </w:rPr>
        <w:t>第三章</w:t>
      </w:r>
      <w:r>
        <w:rPr>
          <w:rFonts w:hint="eastAsia"/>
          <w:b/>
          <w:bCs/>
          <w:lang w:val="en-US" w:eastAsia="zh-CN"/>
        </w:rPr>
        <w:t xml:space="preserve">  </w:t>
      </w:r>
      <w:r>
        <w:rPr>
          <w:rFonts w:hint="eastAsia"/>
          <w:b/>
          <w:bCs/>
        </w:rPr>
        <w:t>人才的待遇、服务与管理</w:t>
      </w:r>
    </w:p>
    <w:p w14:paraId="47200C14">
      <w:pPr>
        <w:rPr>
          <w:rFonts w:hint="eastAsia"/>
        </w:rPr>
      </w:pPr>
      <w:r>
        <w:rPr>
          <w:rFonts w:hint="eastAsia"/>
          <w:b/>
          <w:bCs/>
        </w:rPr>
        <w:t>第五条</w:t>
      </w:r>
      <w:r>
        <w:rPr>
          <w:rFonts w:hint="eastAsia"/>
          <w:lang w:val="en-US" w:eastAsia="zh-CN"/>
        </w:rPr>
        <w:t xml:space="preserve">  </w:t>
      </w:r>
      <w:r>
        <w:rPr>
          <w:rFonts w:hint="eastAsia"/>
        </w:rPr>
        <w:t>建立和完善人才待遇保障机制。积极创造条件，营造事业留人、感情留人、待遇留人的良好氛围。</w:t>
      </w:r>
    </w:p>
    <w:p w14:paraId="5D323F94">
      <w:pPr>
        <w:rPr>
          <w:rFonts w:hint="eastAsia"/>
        </w:rPr>
      </w:pPr>
      <w:r>
        <w:rPr>
          <w:rFonts w:hint="eastAsia"/>
        </w:rPr>
        <w:t>（一）由市统一招录或引进到党政机关、事业单位工作的研究生以上学位或副高以上职称的高层次专业技术人才，市财政给予补贴和上浮工资津贴。补贴标准为：硕士研究生或副高职称为</w:t>
      </w:r>
      <w:r>
        <w:t>18000</w:t>
      </w:r>
      <w:r>
        <w:rPr>
          <w:rFonts w:hint="eastAsia"/>
        </w:rPr>
        <w:t>元，博</w:t>
      </w:r>
      <w:r>
        <w:rPr>
          <w:rFonts w:hint="eastAsia"/>
          <w:lang w:val="en-US" w:eastAsia="zh-CN"/>
        </w:rPr>
        <w:t>士</w:t>
      </w:r>
      <w:r>
        <w:rPr>
          <w:rFonts w:hint="eastAsia"/>
        </w:rPr>
        <w:t>研究生或正高职称为</w:t>
      </w:r>
      <w:r>
        <w:t>25000元。以上补贴3年内分期付给，在本市服务不满3年者，不能全</w:t>
      </w:r>
      <w:r>
        <w:rPr>
          <w:rFonts w:hint="eastAsia"/>
        </w:rPr>
        <w:t>额享受该项补贴。上浮工资标准为其标准工资的</w:t>
      </w:r>
      <w:r>
        <w:rPr>
          <w:rFonts w:hint="eastAsia"/>
          <w:lang w:val="en-US" w:eastAsia="zh-CN"/>
        </w:rPr>
        <w:t>一</w:t>
      </w:r>
      <w:r>
        <w:rPr>
          <w:rFonts w:hint="eastAsia"/>
        </w:rPr>
        <w:t>倍。其他单位自行引进具有以上条件的人才，可参照市的补贴、津贴标准，资金由用人单位负担。</w:t>
      </w:r>
    </w:p>
    <w:p w14:paraId="5C899463">
      <w:pPr>
        <w:rPr>
          <w:rFonts w:hint="eastAsia"/>
          <w:lang w:eastAsia="zh-CN"/>
        </w:rPr>
      </w:pPr>
      <w:r>
        <w:rPr>
          <w:rFonts w:hint="eastAsia"/>
        </w:rPr>
        <w:t>（二）由我市引进在机关、企事业单位工作或服务的，具有硕士研究生以上学位或副高以上职称的人才，并指定到市人才公寓租住的，由市财政承担部分租房补贴。补贴标准为：博士研究生或正高级职称的人才，每年补贴</w:t>
      </w:r>
      <w:r>
        <w:t>10000元；硕士研究生或</w:t>
      </w:r>
      <w:r>
        <w:rPr>
          <w:rFonts w:hint="eastAsia"/>
        </w:rPr>
        <w:t>副高级职称的人才每年补贴</w:t>
      </w:r>
      <w:r>
        <w:t>8000元</w:t>
      </w:r>
      <w:r>
        <w:rPr>
          <w:rFonts w:hint="eastAsia"/>
          <w:lang w:eastAsia="zh-CN"/>
        </w:rPr>
        <w:t>。</w:t>
      </w:r>
    </w:p>
    <w:p w14:paraId="6EC41E03">
      <w:pPr>
        <w:rPr>
          <w:rFonts w:hint="eastAsia"/>
        </w:rPr>
      </w:pPr>
      <w:r>
        <w:rPr>
          <w:rFonts w:hint="eastAsia"/>
          <w:lang w:eastAsia="zh-CN"/>
        </w:rPr>
        <w:t>（</w:t>
      </w:r>
      <w:r>
        <w:rPr>
          <w:rFonts w:hint="eastAsia"/>
        </w:rPr>
        <w:t>三）进一步改善专业技术拔尖人才工作和生活条件，提高拔尖人才管理水平。本市专业技术拔尖人才每期选拔</w:t>
      </w:r>
      <w:r>
        <w:t>10名左右，4年为一个管理期。管</w:t>
      </w:r>
      <w:r>
        <w:rPr>
          <w:rFonts w:hint="eastAsia"/>
        </w:rPr>
        <w:t>理经费按每人每年</w:t>
      </w:r>
      <w:r>
        <w:t>6000元拨给，由市委组织部统</w:t>
      </w:r>
      <w:r>
        <w:rPr>
          <w:rFonts w:hint="eastAsia"/>
          <w:lang w:val="en-US" w:eastAsia="zh-CN"/>
        </w:rPr>
        <w:t>一</w:t>
      </w:r>
      <w:r>
        <w:rPr>
          <w:rFonts w:hint="eastAsia"/>
        </w:rPr>
        <w:t>管理，其中技术津贴每月</w:t>
      </w:r>
      <w:r>
        <w:t>400元，按季度发放</w:t>
      </w:r>
      <w:r>
        <w:rPr>
          <w:rFonts w:hint="eastAsia"/>
          <w:lang w:eastAsia="zh-CN"/>
        </w:rPr>
        <w:t>；</w:t>
      </w:r>
      <w:r>
        <w:rPr>
          <w:rFonts w:hint="eastAsia"/>
        </w:rPr>
        <w:t>其余作为考察、慰问、表彰、召开座谈会等工作经费。今后根据经济发展水平不断提高拔尖人才管理经费。</w:t>
      </w:r>
    </w:p>
    <w:p w14:paraId="1E2C36A4">
      <w:pPr>
        <w:rPr>
          <w:rFonts w:hint="eastAsia"/>
        </w:rPr>
      </w:pPr>
      <w:r>
        <w:rPr>
          <w:rFonts w:hint="eastAsia"/>
        </w:rPr>
        <w:t>（四）对在我市工作的一线在岗副高级职称专业技术人才，由市财政每人每月补贴</w:t>
      </w:r>
      <w:r>
        <w:t>200元的岗位</w:t>
      </w:r>
      <w:r>
        <w:rPr>
          <w:rFonts w:hint="eastAsia"/>
        </w:rPr>
        <w:t>津贴，正高级职称专业技术人才，每人每月补贴</w:t>
      </w:r>
      <w:r>
        <w:t>400元的岗位津贴。该津贴实行动态管理，每年考</w:t>
      </w:r>
      <w:r>
        <w:rPr>
          <w:rFonts w:hint="eastAsia"/>
        </w:rPr>
        <w:t>核调整一次。要求在职在岗并正式聘用，每年完成相应的工作量，方能享受该项津贴。</w:t>
      </w:r>
    </w:p>
    <w:p w14:paraId="427250B8">
      <w:r>
        <w:rPr>
          <w:rFonts w:hint="eastAsia"/>
        </w:rPr>
        <w:t>（五）在教育、卫生系统及其他专业领域的市级以上拔尖人才、副高以上职称人员、获得过国家级科技进步（成果）三等奖以上，省级二等奖以上奖励的主要贡献者到符合年龄退休时，在工作需要、身体健康、本人自愿的前提下，经批准可适当延期退休。对办理逾期退休手续的，其工资除享受在职时一切待遇外，由用人单位每月给予不低于</w:t>
      </w:r>
      <w:r>
        <w:t>1000元以上的生活津贴。</w:t>
      </w:r>
    </w:p>
    <w:p w14:paraId="462EE5AC">
      <w:pPr>
        <w:rPr>
          <w:rFonts w:hint="eastAsia"/>
        </w:rPr>
      </w:pPr>
      <w:r>
        <w:rPr>
          <w:rFonts w:hint="eastAsia"/>
          <w:lang w:eastAsia="zh-CN"/>
        </w:rPr>
        <w:t>（</w:t>
      </w:r>
      <w:r>
        <w:rPr>
          <w:rFonts w:hint="eastAsia"/>
        </w:rPr>
        <w:t>六）鼓励企业经营管理人才以各种方式到我市投资创业。对于携带高新技术项目、资金等来我市创业的企业管理或科技人才，享有与外商同等待遇。凡科技人才在我市从事技术转让，技术开发及与之相关的技术咨询、技术服务取得的收入，经有关部门认定，可享受外商税收优惠政策。</w:t>
      </w:r>
    </w:p>
    <w:p w14:paraId="6F5E1087">
      <w:pPr>
        <w:rPr>
          <w:rFonts w:hint="eastAsia"/>
        </w:rPr>
      </w:pPr>
      <w:r>
        <w:rPr>
          <w:rFonts w:hint="eastAsia"/>
        </w:rPr>
        <w:t>（七）凡属我市引进的高层次人才，经市有关部门审核认定后，发给准入“绿卡”，不受单位性质、人员编制、财政拨款、专业技术职务</w:t>
      </w:r>
      <w:r>
        <w:rPr>
          <w:rFonts w:hint="eastAsia"/>
          <w:lang w:eastAsia="zh-CN"/>
        </w:rPr>
        <w:t>岗位</w:t>
      </w:r>
      <w:r>
        <w:rPr>
          <w:rFonts w:hint="eastAsia"/>
        </w:rPr>
        <w:t>比例等限制（党政机关和依照国家公务员管理的单位除外），由人社局办理人才引进的各项具体手续。对来我市工作的硕士研究生以上学位或副高以上职称的高层次专业技术人才，经批准，承认其原有的专业技术职务，工龄连续计算。涉及人才引进需办理聘（录）用、人事代理、入户、认证、保险、入学（园）等手续的，组织、人社、公安、教育等有关部门应按有关规定从优从快办理。</w:t>
      </w:r>
    </w:p>
    <w:p w14:paraId="3D44854F">
      <w:pPr>
        <w:rPr>
          <w:rFonts w:hint="eastAsia"/>
        </w:rPr>
      </w:pPr>
      <w:r>
        <w:rPr>
          <w:rFonts w:hint="eastAsia"/>
          <w:b/>
          <w:bCs/>
        </w:rPr>
        <w:t>第六条</w:t>
      </w:r>
      <w:r>
        <w:rPr>
          <w:rFonts w:hint="eastAsia"/>
          <w:lang w:val="en-US" w:eastAsia="zh-CN"/>
        </w:rPr>
        <w:t xml:space="preserve">  </w:t>
      </w:r>
      <w:r>
        <w:rPr>
          <w:rFonts w:hint="eastAsia"/>
        </w:rPr>
        <w:t>完善人才服务机制。创造有利条件，提供优质服务，做好服务人才工作。</w:t>
      </w:r>
    </w:p>
    <w:p w14:paraId="744CBA24">
      <w:pPr>
        <w:rPr>
          <w:rFonts w:hint="eastAsia"/>
        </w:rPr>
      </w:pPr>
      <w:r>
        <w:rPr>
          <w:rFonts w:hint="eastAsia"/>
        </w:rPr>
        <w:t>（一）简化人才流动手续。人社局、人才服务机构和各类用人单位，要减少流转环节，简化审批手续，减免相关费用，为引进人才提供方便快捷的服务。直接调入的，经组织部门或人社局审定后办理工作调动手续；合同聘用的，由用人单位与受聘人才签订有关协议。对原单位不同意移交人事档案的紧缺急需人才，经用人单位考核，主管部门审定，或经主管部门考核鉴定同意接收的，</w:t>
      </w:r>
      <w:r>
        <w:rPr>
          <w:rFonts w:hint="eastAsia"/>
          <w:lang w:eastAsia="zh-CN"/>
        </w:rPr>
        <w:t>入</w:t>
      </w:r>
      <w:r>
        <w:rPr>
          <w:rFonts w:hint="eastAsia"/>
        </w:rPr>
        <w:t>社局可通过特殊方式办理聘用手续。合同聘用期未满的，不予迁移人事档案。</w:t>
      </w:r>
    </w:p>
    <w:p w14:paraId="22937B42">
      <w:pPr>
        <w:rPr>
          <w:rFonts w:hint="eastAsia"/>
        </w:rPr>
      </w:pPr>
      <w:r>
        <w:rPr>
          <w:rFonts w:hint="eastAsia"/>
        </w:rPr>
        <w:t>（二）实行人事代理制度。引进到非公有制单位工作的高层次人才，其人事关系和档案由各级政府人社局所属的人才服务机构免费（个人支付部分）代理、代管，同时为其按单位同类人员标准确定指导工资、办理晋档增资、申报专业技术职务任职资格等事项。</w:t>
      </w:r>
    </w:p>
    <w:p w14:paraId="165A406B">
      <w:pPr>
        <w:rPr>
          <w:rFonts w:hint="eastAsia"/>
        </w:rPr>
      </w:pPr>
      <w:r>
        <w:rPr>
          <w:rFonts w:hint="eastAsia"/>
        </w:rPr>
        <w:t>（三）实行人才保障制度。引进到非公有制单位工作的，用人单位须按有关规定为其办理社会保险、缴纳社会保险费和住房公积金。社会保险经办机构要为其接续社会保险关系。</w:t>
      </w:r>
    </w:p>
    <w:p w14:paraId="42D1ED7F">
      <w:pPr>
        <w:rPr>
          <w:rFonts w:hint="eastAsia"/>
        </w:rPr>
      </w:pPr>
      <w:r>
        <w:rPr>
          <w:rFonts w:hint="eastAsia"/>
          <w:lang w:eastAsia="zh-CN"/>
        </w:rPr>
        <w:t>（</w:t>
      </w:r>
      <w:r>
        <w:rPr>
          <w:rFonts w:hint="eastAsia"/>
        </w:rPr>
        <w:t>四）实行人才保健制度。建立高层次人才健康档案，提供个性化医疗保健服务。用人单位要完善高层次人才体检和带薪休假制度，每两年组织</w:t>
      </w:r>
      <w:r>
        <w:rPr>
          <w:rFonts w:hint="eastAsia"/>
          <w:lang w:val="en-US" w:eastAsia="zh-CN"/>
        </w:rPr>
        <w:t>一</w:t>
      </w:r>
      <w:r>
        <w:rPr>
          <w:rFonts w:hint="eastAsia"/>
        </w:rPr>
        <w:t>次免费常规身体检</w:t>
      </w:r>
      <w:r>
        <w:rPr>
          <w:rFonts w:hint="eastAsia"/>
          <w:lang w:eastAsia="zh-CN"/>
        </w:rPr>
        <w:t>查</w:t>
      </w:r>
      <w:r>
        <w:rPr>
          <w:rFonts w:hint="eastAsia"/>
        </w:rPr>
        <w:t>，有条件的，可安排休养考察活动。</w:t>
      </w:r>
    </w:p>
    <w:p w14:paraId="6D50F679">
      <w:pPr>
        <w:rPr>
          <w:rFonts w:hint="eastAsia"/>
        </w:rPr>
      </w:pPr>
      <w:r>
        <w:rPr>
          <w:rFonts w:hint="eastAsia"/>
        </w:rPr>
        <w:t>（五）实施人才保护制度。科技、知识产权部门要为高层次人才申请专利提供帮助，为高层次人才提供知识产权政策和相关信息咨询与服务，加大知识产权保护力度。对敢于创新、创业的高层次人才给予更多的理解和支持，保护他们的积极性和创造性。</w:t>
      </w:r>
    </w:p>
    <w:p w14:paraId="4AFC97CD">
      <w:pPr>
        <w:rPr>
          <w:rFonts w:hint="eastAsia"/>
        </w:rPr>
      </w:pPr>
      <w:r>
        <w:rPr>
          <w:rFonts w:hint="eastAsia"/>
        </w:rPr>
        <w:t>（六）做好人才测评工作。充分发挥企事业单位在吸引人才中的主体作用，加强对引进的高层次人才的考核评价，对其学术水平、专业技术水平及管理能力、创新能力进行科学的测评和论证。测评和论证有困难的，可委托人才测评机构进行。</w:t>
      </w:r>
    </w:p>
    <w:p w14:paraId="6AA3120A">
      <w:pPr>
        <w:rPr>
          <w:rFonts w:hint="eastAsia"/>
        </w:rPr>
      </w:pPr>
      <w:r>
        <w:rPr>
          <w:rFonts w:hint="eastAsia"/>
          <w:lang w:eastAsia="zh-CN"/>
        </w:rPr>
        <w:t>（</w:t>
      </w:r>
      <w:r>
        <w:rPr>
          <w:rFonts w:hint="eastAsia"/>
        </w:rPr>
        <w:t>七）妥善解决职称评聘问题。对引进的高层次人才的职称评聘，按人才专业技术职务资格认定制度的有关规定执行。原已获得专业技术职务任职资格的，用人单位可根据需要聘任相应的专业技术职务；未评审相应专业技术职务任职资格的，可先由用人单位设置特聘岗位予以解决，然后按规定程序申报评审，且不受岗位职数限制；教师职称由教育部门按照省定各等级学校不同职称数额要求，实行评、聘分开，以能力和业绩为标准，通过考试、竞争上岗等方式聘用，聘用后享受相应工资待遇。事业单位引进高层次紧缺人才，因岗位职数不足的，可向编制部门申请追加职数。</w:t>
      </w:r>
    </w:p>
    <w:p w14:paraId="7DC17B89">
      <w:pPr>
        <w:rPr>
          <w:rFonts w:hint="eastAsia"/>
        </w:rPr>
      </w:pPr>
      <w:r>
        <w:rPr>
          <w:rFonts w:hint="eastAsia"/>
          <w:b/>
          <w:bCs/>
        </w:rPr>
        <w:t>第七条</w:t>
      </w:r>
      <w:r>
        <w:rPr>
          <w:rFonts w:hint="eastAsia"/>
          <w:b/>
          <w:bCs/>
          <w:lang w:val="en-US" w:eastAsia="zh-CN"/>
        </w:rPr>
        <w:t xml:space="preserve"> </w:t>
      </w:r>
      <w:r>
        <w:rPr>
          <w:rFonts w:hint="eastAsia"/>
          <w:lang w:val="en-US" w:eastAsia="zh-CN"/>
        </w:rPr>
        <w:t xml:space="preserve"> </w:t>
      </w:r>
      <w:r>
        <w:rPr>
          <w:rFonts w:hint="eastAsia"/>
        </w:rPr>
        <w:t>建立健全人才管理机制。加强市内人才流动的管理，打破人才流动的壁垒，放宽各部门之间人才的流动，允许部门之间相互聘用人才。</w:t>
      </w:r>
    </w:p>
    <w:p w14:paraId="2325E4F2">
      <w:pPr>
        <w:rPr>
          <w:rFonts w:hint="eastAsia"/>
        </w:rPr>
      </w:pPr>
      <w:r>
        <w:rPr>
          <w:rFonts w:hint="eastAsia"/>
        </w:rPr>
        <w:t>（一）建立人才信息管理制度。加快人才电子政务建设，完善人才信息网络和数据库。对在我市工作或服务的人才实行动态管理，增强人才引进工作的计划性和实效性。建立人才资源年度统计调</w:t>
      </w:r>
      <w:r>
        <w:rPr>
          <w:rFonts w:hint="eastAsia"/>
          <w:lang w:eastAsia="zh-CN"/>
        </w:rPr>
        <w:t>查</w:t>
      </w:r>
      <w:r>
        <w:rPr>
          <w:rFonts w:hint="eastAsia"/>
        </w:rPr>
        <w:t>和定期发布制度，提高人才资源管理的信息化水平。</w:t>
      </w:r>
    </w:p>
    <w:p w14:paraId="6EB83CF4">
      <w:pPr>
        <w:rPr>
          <w:rFonts w:hint="eastAsia"/>
        </w:rPr>
      </w:pPr>
      <w:r>
        <w:rPr>
          <w:rFonts w:hint="eastAsia"/>
          <w:lang w:eastAsia="zh-CN"/>
        </w:rPr>
        <w:t>（</w:t>
      </w:r>
      <w:r>
        <w:rPr>
          <w:rFonts w:hint="eastAsia"/>
        </w:rPr>
        <w:t>二）健全联系人才工作协调制度。建立人才工作领导小组成员单位分工协调机制和市党政领导、组织、人社部门以及用人单位领导联系高层次人才制度。通过探望慰问、集体座谈、个别访谈等形式进行沟通交流，听取他们的意见、建议，掌握他们的思想、工作、学习、生活情况，帮助他们解决实际问题。</w:t>
      </w:r>
    </w:p>
    <w:p w14:paraId="01654457">
      <w:pPr>
        <w:pStyle w:val="10"/>
        <w:bidi w:val="0"/>
        <w:jc w:val="center"/>
        <w:rPr>
          <w:rFonts w:hint="eastAsia"/>
          <w:b/>
          <w:bCs/>
        </w:rPr>
      </w:pPr>
      <w:r>
        <w:rPr>
          <w:rFonts w:hint="eastAsia"/>
          <w:b/>
          <w:bCs/>
        </w:rPr>
        <w:t>第四章</w:t>
      </w:r>
      <w:r>
        <w:rPr>
          <w:rFonts w:hint="eastAsia"/>
          <w:b/>
          <w:bCs/>
          <w:lang w:val="en-US" w:eastAsia="zh-CN"/>
        </w:rPr>
        <w:t xml:space="preserve">  </w:t>
      </w:r>
      <w:r>
        <w:rPr>
          <w:rFonts w:hint="eastAsia"/>
          <w:b/>
          <w:bCs/>
        </w:rPr>
        <w:t>人才的培养、使用与激励</w:t>
      </w:r>
    </w:p>
    <w:p w14:paraId="53EFD165">
      <w:pPr>
        <w:rPr>
          <w:rFonts w:hint="eastAsia"/>
        </w:rPr>
      </w:pPr>
      <w:r>
        <w:rPr>
          <w:rFonts w:hint="eastAsia"/>
          <w:b/>
          <w:bCs/>
        </w:rPr>
        <w:t>第八条</w:t>
      </w:r>
      <w:r>
        <w:rPr>
          <w:rFonts w:hint="eastAsia"/>
          <w:lang w:val="en-US" w:eastAsia="zh-CN"/>
        </w:rPr>
        <w:t xml:space="preserve">  </w:t>
      </w:r>
      <w:r>
        <w:rPr>
          <w:rFonts w:hint="eastAsia"/>
        </w:rPr>
        <w:t>建立人才培养开发机制，加快人才培养。在加快人才引进的同时，健全人才培训机制，完善培训规划，创新培养模式，对党政人才、专业技术人才的教育培训实行统一规划、统一管理，强化人才继续教育，打造人才孵化基地，不断壮大我市人才队伍。</w:t>
      </w:r>
    </w:p>
    <w:p w14:paraId="2DA5BDC4">
      <w:pPr>
        <w:rPr>
          <w:rFonts w:hint="eastAsia"/>
        </w:rPr>
      </w:pPr>
      <w:r>
        <w:rPr>
          <w:rFonts w:hint="eastAsia"/>
          <w:b/>
          <w:bCs/>
        </w:rPr>
        <w:t>第九条</w:t>
      </w:r>
      <w:r>
        <w:rPr>
          <w:rFonts w:hint="eastAsia"/>
          <w:b/>
          <w:bCs/>
          <w:lang w:val="en-US" w:eastAsia="zh-CN"/>
        </w:rPr>
        <w:t xml:space="preserve"> </w:t>
      </w:r>
      <w:r>
        <w:rPr>
          <w:rFonts w:hint="eastAsia"/>
          <w:lang w:val="en-US" w:eastAsia="zh-CN"/>
        </w:rPr>
        <w:t xml:space="preserve"> </w:t>
      </w:r>
      <w:r>
        <w:rPr>
          <w:rFonts w:hint="eastAsia"/>
        </w:rPr>
        <w:t>推进人才培养载体建设。围绕我市主导产业、特色产业、重点行业、重大工程项目和重要科研技术领域，强化教育培训职能，加快发展职业技术教育。加强对党政人才、企业经营管理人才、专业技术人才、高技能人才、社会管理人才农村实用人才的培训，适应科学发展对人才的合理需求。</w:t>
      </w:r>
    </w:p>
    <w:p w14:paraId="23769F0D">
      <w:pPr>
        <w:rPr>
          <w:rFonts w:hint="eastAsia"/>
        </w:rPr>
      </w:pPr>
      <w:r>
        <w:rPr>
          <w:rFonts w:hint="eastAsia"/>
          <w:b/>
          <w:bCs/>
        </w:rPr>
        <w:t>第十条</w:t>
      </w:r>
      <w:r>
        <w:rPr>
          <w:rFonts w:hint="eastAsia"/>
          <w:lang w:val="en-US" w:eastAsia="zh-CN"/>
        </w:rPr>
        <w:t xml:space="preserve">  </w:t>
      </w:r>
      <w:r>
        <w:rPr>
          <w:rFonts w:hint="eastAsia"/>
        </w:rPr>
        <w:t>鼓励参加高层次学位教育。凡我市党政机关、企事业单位的在职在编工作人员，报读参加由国家承认学位的教育机构举办的在职教育，经毕业考试合格并取得硕士研究生以上学位证书的，且在本市服务工作满</w:t>
      </w:r>
      <w:r>
        <w:t>3年的，享受市财政两万元学</w:t>
      </w:r>
      <w:r>
        <w:rPr>
          <w:rFonts w:hint="eastAsia"/>
        </w:rPr>
        <w:t>费资助。</w:t>
      </w:r>
    </w:p>
    <w:p w14:paraId="6275AAE9">
      <w:pPr>
        <w:rPr>
          <w:rFonts w:hint="eastAsia"/>
        </w:rPr>
      </w:pPr>
      <w:r>
        <w:rPr>
          <w:rFonts w:hint="eastAsia"/>
          <w:b/>
          <w:bCs/>
        </w:rPr>
        <w:t>第十一条</w:t>
      </w:r>
      <w:r>
        <w:rPr>
          <w:rFonts w:hint="eastAsia"/>
          <w:b/>
          <w:bCs/>
          <w:lang w:val="en-US" w:eastAsia="zh-CN"/>
        </w:rPr>
        <w:t xml:space="preserve"> </w:t>
      </w:r>
      <w:r>
        <w:rPr>
          <w:rFonts w:hint="eastAsia"/>
          <w:lang w:val="en-US" w:eastAsia="zh-CN"/>
        </w:rPr>
        <w:t xml:space="preserve"> </w:t>
      </w:r>
      <w:r>
        <w:rPr>
          <w:rFonts w:hint="eastAsia"/>
        </w:rPr>
        <w:t>健全高层次人才使用机制。聘请各类高层次人才为政府决策顾问、项目咨询专家，让他们参与重大问题决策。安排一定比例的高层次人才参选党代表、人大代表、政协委员，加入工商联、青年联合会和行业协会。发挥他们的聪明才智，让他们参与商议南雄发展大计。</w:t>
      </w:r>
    </w:p>
    <w:p w14:paraId="0D4103AC">
      <w:pPr>
        <w:rPr>
          <w:rFonts w:hint="eastAsia"/>
        </w:rPr>
      </w:pPr>
      <w:r>
        <w:rPr>
          <w:rFonts w:hint="eastAsia"/>
          <w:b/>
          <w:bCs/>
        </w:rPr>
        <w:t>第十二条</w:t>
      </w:r>
      <w:r>
        <w:rPr>
          <w:rFonts w:hint="eastAsia"/>
          <w:b/>
          <w:bCs/>
          <w:lang w:val="en-US" w:eastAsia="zh-CN"/>
        </w:rPr>
        <w:t xml:space="preserve"> </w:t>
      </w:r>
      <w:r>
        <w:rPr>
          <w:rFonts w:hint="eastAsia"/>
          <w:lang w:val="en-US" w:eastAsia="zh-CN"/>
        </w:rPr>
        <w:t xml:space="preserve"> </w:t>
      </w:r>
      <w:r>
        <w:rPr>
          <w:rFonts w:hint="eastAsia"/>
        </w:rPr>
        <w:t>建立完善人才激励机制。</w:t>
      </w:r>
    </w:p>
    <w:p w14:paraId="7A5DB91E">
      <w:r>
        <w:rPr>
          <w:rFonts w:hint="eastAsia"/>
        </w:rPr>
        <w:t>（一）建立人才激励制度。在收益分配上，向有突出贡献的人才倾斜，体现绩效优先原则。可实行市场价格工资、岗位技能工资、协议工资、项目工资和年薪等制度，允许用人单位制定在本单位执行的关于人才的薪金、补贴方面的规定；对以发明专利、知识、技术、管理和资本等生产要素参与分配的人才，其收益分配比例由受益单位和本人协调确定，以技术入股的，允许突破</w:t>
      </w:r>
      <w:r>
        <w:t>35%；对有突出贡</w:t>
      </w:r>
      <w:r>
        <w:rPr>
          <w:rFonts w:hint="eastAsia"/>
        </w:rPr>
        <w:t>献的人才可奖励股权和年金。对在技术创新和科技成果转化中作出突出贡献的人才，可在其产生的效益内给予重奖。对独立研究开发或者与其他单位合作研究开发的科技成果，转化成功后，单位可从科技成果转化税后利润中按</w:t>
      </w:r>
      <w:r>
        <w:t>5-8%的比例提取资金奖</w:t>
      </w:r>
      <w:r>
        <w:rPr>
          <w:rFonts w:hint="eastAsia"/>
        </w:rPr>
        <w:t>励成果完成者和转化者，其中主要贡献者所得的奖金应占奖金总额的</w:t>
      </w:r>
      <w:r>
        <w:t>50%以上。</w:t>
      </w:r>
    </w:p>
    <w:p w14:paraId="2DA87973">
      <w:pPr>
        <w:rPr>
          <w:rFonts w:hint="eastAsia"/>
        </w:rPr>
      </w:pPr>
      <w:r>
        <w:rPr>
          <w:rFonts w:hint="eastAsia"/>
        </w:rPr>
        <w:t>（二）建立人才奖励制度。以政府奖励为主导，以用人单位和社会力量奖励为主体。①对在我市各行各业中有突出贡献的人才进行奖励，重点对在技术领域和经济社会领域中作出重大贡献、有效促进地方经济社会发展的人才实行重奖；②鼓励各类人才发明创造和科技创新。科技部门和用人单位要为获得国内外发明、实用新型和外观设计专利授权的第一发明人，给予一定的资助。对获得韶关市及以上的科学奖、科技进步奖、发明奖或在我市宏观发展战略、重大决策中推广应用研究成果并带来重大经济和社会效益的，市财政给予</w:t>
      </w:r>
      <w:r>
        <w:t>1万元至3万元数</w:t>
      </w:r>
      <w:r>
        <w:rPr>
          <w:rFonts w:hint="eastAsia"/>
        </w:rPr>
        <w:t>额不等的奖励。③鼓励单位、个人和社会团体出资对专业技术拔尖人才进行奖励，凡一次性全额出资奖金者，可以获得当次奖励的冠名权。</w:t>
      </w:r>
    </w:p>
    <w:p w14:paraId="2EDD255D">
      <w:pPr>
        <w:pStyle w:val="10"/>
        <w:bidi w:val="0"/>
        <w:jc w:val="center"/>
        <w:rPr>
          <w:rFonts w:hint="eastAsia"/>
          <w:b/>
          <w:bCs/>
        </w:rPr>
      </w:pPr>
      <w:r>
        <w:rPr>
          <w:rFonts w:hint="eastAsia"/>
          <w:b/>
          <w:bCs/>
        </w:rPr>
        <w:t>第五章</w:t>
      </w:r>
      <w:r>
        <w:rPr>
          <w:rFonts w:hint="eastAsia"/>
          <w:b/>
          <w:bCs/>
          <w:lang w:val="en-US" w:eastAsia="zh-CN"/>
        </w:rPr>
        <w:t xml:space="preserve">  </w:t>
      </w:r>
      <w:r>
        <w:rPr>
          <w:rFonts w:hint="eastAsia"/>
          <w:b/>
          <w:bCs/>
        </w:rPr>
        <w:t>人才工作的组织实施与经费保障</w:t>
      </w:r>
    </w:p>
    <w:p w14:paraId="270A004C">
      <w:pPr>
        <w:rPr>
          <w:rFonts w:hint="eastAsia"/>
        </w:rPr>
      </w:pPr>
      <w:r>
        <w:rPr>
          <w:rFonts w:hint="eastAsia"/>
          <w:b/>
          <w:bCs/>
        </w:rPr>
        <w:t>第十三条</w:t>
      </w:r>
      <w:r>
        <w:rPr>
          <w:rFonts w:hint="eastAsia"/>
          <w:b/>
          <w:bCs/>
          <w:lang w:val="en-US" w:eastAsia="zh-CN"/>
        </w:rPr>
        <w:t xml:space="preserve">  </w:t>
      </w:r>
      <w:r>
        <w:rPr>
          <w:rFonts w:hint="eastAsia"/>
        </w:rPr>
        <w:t>市委组织部门、市人社局具体负责全市引进、培养、稳定人才工作的宏观管理、指导、协调和服务，督促有关部门和企事业单位落实人才培养、引进和使用的各项政策规定。负责做好本地人才的管理服务工作，激发和保护人才的工作积极性和创造性。用人单位应根据本单位的实际情况引进和培养人才，做到合理使用、人尽其才。</w:t>
      </w:r>
    </w:p>
    <w:p w14:paraId="5D1318E6">
      <w:pPr>
        <w:rPr>
          <w:rFonts w:hint="eastAsia"/>
        </w:rPr>
      </w:pPr>
      <w:r>
        <w:rPr>
          <w:rFonts w:hint="eastAsia"/>
          <w:b/>
          <w:bCs/>
        </w:rPr>
        <w:t>第十四条</w:t>
      </w:r>
      <w:r>
        <w:rPr>
          <w:rFonts w:hint="eastAsia"/>
          <w:b/>
          <w:bCs/>
          <w:lang w:val="en-US" w:eastAsia="zh-CN"/>
        </w:rPr>
        <w:t xml:space="preserve">  </w:t>
      </w:r>
      <w:r>
        <w:rPr>
          <w:rFonts w:hint="eastAsia"/>
        </w:rPr>
        <w:t>根据人员变动情况，及时调整人才工作领导小组。领导小组每半年召开一次联席会议，对全市人才建设工作的重大问题进行统一研究、统一分析、统一部署、统一督办、统一落实。</w:t>
      </w:r>
    </w:p>
    <w:p w14:paraId="2004521E">
      <w:pPr>
        <w:rPr>
          <w:rFonts w:hint="eastAsia"/>
        </w:rPr>
      </w:pPr>
      <w:r>
        <w:rPr>
          <w:rFonts w:hint="eastAsia"/>
          <w:b/>
          <w:bCs/>
        </w:rPr>
        <w:t>第十五条</w:t>
      </w:r>
      <w:r>
        <w:rPr>
          <w:rFonts w:hint="eastAsia"/>
          <w:b/>
          <w:bCs/>
          <w:lang w:val="en-US" w:eastAsia="zh-CN"/>
        </w:rPr>
        <w:t xml:space="preserve">  </w:t>
      </w:r>
      <w:r>
        <w:rPr>
          <w:rFonts w:hint="eastAsia"/>
        </w:rPr>
        <w:t>建立健全人才工作考核评价体系，加强和改善对人才工作的领导。</w:t>
      </w:r>
    </w:p>
    <w:p w14:paraId="3266A785">
      <w:pPr>
        <w:rPr>
          <w:rFonts w:hint="eastAsia"/>
        </w:rPr>
      </w:pPr>
      <w:r>
        <w:rPr>
          <w:rFonts w:hint="eastAsia"/>
        </w:rPr>
        <w:t>（一）各级党委、政府要从培养、引进、管理</w:t>
      </w:r>
      <w:r>
        <w:rPr>
          <w:rFonts w:hint="eastAsia"/>
          <w:lang w:eastAsia="zh-CN"/>
        </w:rPr>
        <w:t>、</w:t>
      </w:r>
      <w:r>
        <w:rPr>
          <w:rFonts w:hint="eastAsia"/>
        </w:rPr>
        <w:t>使用等方面制定人才工作规划，定期分析、研究和部署人才工作。要把人才工作以及人才效益列入各级党政主要领导年度工作目标定期考核，促使各级党委、政府真正做到“一把手”抓“第一资源”，抓“第一生产力”。</w:t>
      </w:r>
    </w:p>
    <w:p w14:paraId="45014A98">
      <w:pPr>
        <w:rPr>
          <w:rFonts w:hint="eastAsia"/>
        </w:rPr>
      </w:pPr>
      <w:r>
        <w:rPr>
          <w:rFonts w:hint="eastAsia"/>
        </w:rPr>
        <w:t>（二）定期对人才进行满意度调</w:t>
      </w:r>
      <w:r>
        <w:rPr>
          <w:rFonts w:hint="eastAsia"/>
          <w:lang w:eastAsia="zh-CN"/>
        </w:rPr>
        <w:t>查</w:t>
      </w:r>
      <w:r>
        <w:rPr>
          <w:rFonts w:hint="eastAsia"/>
        </w:rPr>
        <w:t>和评议、评估，检验引进、培养人才工作的成效，强化人才效益意识。组织部、人社局每年底向市委、政府及上级相关部门书面报告人才工作情况。</w:t>
      </w:r>
    </w:p>
    <w:p w14:paraId="7D4AB4D1">
      <w:pPr>
        <w:rPr>
          <w:rFonts w:hint="eastAsia"/>
        </w:rPr>
      </w:pPr>
      <w:r>
        <w:rPr>
          <w:rFonts w:hint="eastAsia"/>
        </w:rPr>
        <w:t>（三）纪检监察、组织、人社、财政部门定期对各单位人才工作进行检</w:t>
      </w:r>
      <w:r>
        <w:rPr>
          <w:rFonts w:hint="eastAsia"/>
          <w:lang w:eastAsia="zh-CN"/>
        </w:rPr>
        <w:t>查</w:t>
      </w:r>
      <w:r>
        <w:rPr>
          <w:rFonts w:hint="eastAsia"/>
        </w:rPr>
        <w:t>和通报。对因工作失误造成人才流失严重，或压制、打击人才，或在引进、培养过程中弄虚作假，或资金管理不善的相关单位和责任人，按有关规定给予通报批评；情节严重的，给予严肃处理。</w:t>
      </w:r>
    </w:p>
    <w:p w14:paraId="726CA6EC">
      <w:pPr>
        <w:rPr>
          <w:rFonts w:hint="eastAsia"/>
        </w:rPr>
      </w:pPr>
      <w:r>
        <w:rPr>
          <w:rFonts w:hint="eastAsia"/>
          <w:b/>
          <w:bCs/>
        </w:rPr>
        <w:t>第十六条</w:t>
      </w:r>
      <w:r>
        <w:rPr>
          <w:rFonts w:hint="eastAsia"/>
          <w:b/>
          <w:bCs/>
          <w:lang w:val="en-US" w:eastAsia="zh-CN"/>
        </w:rPr>
        <w:t xml:space="preserve"> </w:t>
      </w:r>
      <w:r>
        <w:rPr>
          <w:rFonts w:hint="eastAsia"/>
          <w:lang w:val="en-US" w:eastAsia="zh-CN"/>
        </w:rPr>
        <w:t xml:space="preserve"> </w:t>
      </w:r>
      <w:r>
        <w:rPr>
          <w:rFonts w:hint="eastAsia"/>
        </w:rPr>
        <w:t>完善人才工作经费</w:t>
      </w:r>
      <w:r>
        <w:rPr>
          <w:rFonts w:hint="eastAsia"/>
          <w:lang w:eastAsia="zh-CN"/>
        </w:rPr>
        <w:t>投入</w:t>
      </w:r>
      <w:r>
        <w:rPr>
          <w:rFonts w:hint="eastAsia"/>
        </w:rPr>
        <w:t>管理机制，加强对全市人才工作的宏观协调和管理。</w:t>
      </w:r>
    </w:p>
    <w:p w14:paraId="2B6FA0C7">
      <w:pPr>
        <w:rPr>
          <w:rFonts w:hint="eastAsia"/>
        </w:rPr>
      </w:pPr>
      <w:r>
        <w:rPr>
          <w:rFonts w:hint="eastAsia"/>
        </w:rPr>
        <w:t>（一）建立“人才开发专项资金”。完善以用人单位为主体、各级财政共同分担、社会力量广泛支持的多渠道、多层次的经费投入机制，争取社会各界的捐赠、资助，多渠道筹措人才资源开发专项资金。市财政每年安排</w:t>
      </w:r>
      <w:r>
        <w:t>100万元设立“人才开发专</w:t>
      </w:r>
      <w:r>
        <w:rPr>
          <w:rFonts w:hint="eastAsia"/>
        </w:rPr>
        <w:t>项资金”，人才资源开发专项资金主要用于人才科研项目资助、工资外津贴和学习培训、表彰奖励及拔尖人才管理、人才工作等项目。并按经济发展水平不断加大投入，优化人才发展环境，促进人才资源开发。</w:t>
      </w:r>
    </w:p>
    <w:p w14:paraId="4B2A29B9">
      <w:pPr>
        <w:rPr>
          <w:rFonts w:hint="eastAsia"/>
        </w:rPr>
      </w:pPr>
      <w:r>
        <w:rPr>
          <w:rFonts w:hint="eastAsia"/>
        </w:rPr>
        <w:t>（二）加强人才资源开发专项资金管理。由市委组织部、市财政局共同管理。市委组织部负责年度资金使用计划的制定和资金使用的审批。市财政局负责有关计划、申请的审核和资金拨付。两家共同对项目实施和专项资金使用情况进行管理和监督。人才资源开发专项资金必须在规定的范围内专款专用，严禁截留、挪用。项目承担单位法定代表人负责本单位项目的具体实施。</w:t>
      </w:r>
    </w:p>
    <w:p w14:paraId="1B681267">
      <w:pPr>
        <w:rPr>
          <w:rFonts w:hint="eastAsia"/>
        </w:rPr>
      </w:pPr>
      <w:r>
        <w:rPr>
          <w:rFonts w:hint="eastAsia"/>
          <w:b/>
          <w:bCs/>
        </w:rPr>
        <w:t>第十七条</w:t>
      </w:r>
      <w:r>
        <w:rPr>
          <w:rFonts w:hint="eastAsia"/>
          <w:b/>
          <w:bCs/>
          <w:lang w:val="en-US" w:eastAsia="zh-CN"/>
        </w:rPr>
        <w:t xml:space="preserve"> </w:t>
      </w:r>
      <w:r>
        <w:rPr>
          <w:rFonts w:hint="eastAsia"/>
          <w:lang w:val="en-US" w:eastAsia="zh-CN"/>
        </w:rPr>
        <w:t xml:space="preserve"> </w:t>
      </w:r>
      <w:r>
        <w:rPr>
          <w:rFonts w:hint="eastAsia"/>
        </w:rPr>
        <w:t>加强对人才工作的宣传。各单位</w:t>
      </w:r>
      <w:r>
        <w:rPr>
          <w:rFonts w:hint="eastAsia"/>
          <w:lang w:eastAsia="zh-CN"/>
        </w:rPr>
        <w:t>、</w:t>
      </w:r>
      <w:r>
        <w:rPr>
          <w:rFonts w:hint="eastAsia"/>
        </w:rPr>
        <w:t>各部门要结合实际，总结和推广引进培养人才工作的新思路、新举措、新经验，树立人才优秀典型和人才工作先进典型，宣传他们的先进事迹，弘扬他们的创新精神，努力营造“尊重劳动、尊重创造</w:t>
      </w:r>
      <w:r>
        <w:rPr>
          <w:rFonts w:hint="eastAsia"/>
          <w:lang w:eastAsia="zh-CN"/>
        </w:rPr>
        <w:t>、</w:t>
      </w:r>
      <w:r>
        <w:rPr>
          <w:rFonts w:hint="eastAsia"/>
        </w:rPr>
        <w:t>尊重知识，尊重人才”氛围，形成各类人才大量涌现、创造活力竞相迸发、经济社会科学发展的生动局面。</w:t>
      </w:r>
    </w:p>
    <w:p w14:paraId="4EA509C4">
      <w:pPr>
        <w:pStyle w:val="10"/>
        <w:bidi w:val="0"/>
        <w:jc w:val="center"/>
        <w:rPr>
          <w:rFonts w:hint="eastAsia"/>
          <w:b/>
          <w:bCs/>
        </w:rPr>
      </w:pPr>
      <w:r>
        <w:rPr>
          <w:rFonts w:hint="eastAsia"/>
          <w:b/>
          <w:bCs/>
        </w:rPr>
        <w:t>第六章</w:t>
      </w:r>
      <w:r>
        <w:rPr>
          <w:rFonts w:hint="eastAsia"/>
          <w:b/>
          <w:bCs/>
          <w:lang w:val="en-US" w:eastAsia="zh-CN"/>
        </w:rPr>
        <w:t xml:space="preserve">  </w:t>
      </w:r>
      <w:r>
        <w:rPr>
          <w:rFonts w:hint="eastAsia"/>
          <w:b/>
          <w:bCs/>
        </w:rPr>
        <w:t>附则</w:t>
      </w:r>
    </w:p>
    <w:p w14:paraId="04BA751C">
      <w:pPr>
        <w:rPr>
          <w:rFonts w:hint="eastAsia"/>
        </w:rPr>
      </w:pPr>
      <w:r>
        <w:rPr>
          <w:rFonts w:hint="eastAsia"/>
          <w:b/>
          <w:bCs/>
        </w:rPr>
        <w:t>第十八条</w:t>
      </w:r>
      <w:r>
        <w:rPr>
          <w:rFonts w:hint="eastAsia"/>
          <w:lang w:val="en-US" w:eastAsia="zh-CN"/>
        </w:rPr>
        <w:t xml:space="preserve">  </w:t>
      </w:r>
      <w:r>
        <w:rPr>
          <w:rFonts w:hint="eastAsia"/>
        </w:rPr>
        <w:t>本实施办法由南雄市委组织部负责解释。</w:t>
      </w:r>
    </w:p>
    <w:p w14:paraId="621CC115">
      <w:pPr>
        <w:rPr>
          <w:rFonts w:hint="eastAsia"/>
        </w:rPr>
      </w:pPr>
      <w:r>
        <w:rPr>
          <w:rFonts w:hint="eastAsia"/>
          <w:b/>
          <w:bCs/>
        </w:rPr>
        <w:t>第十九条</w:t>
      </w:r>
      <w:r>
        <w:rPr>
          <w:rFonts w:hint="eastAsia"/>
          <w:b/>
          <w:bCs/>
          <w:lang w:val="en-US" w:eastAsia="zh-CN"/>
        </w:rPr>
        <w:t xml:space="preserve"> </w:t>
      </w:r>
      <w:r>
        <w:rPr>
          <w:rFonts w:hint="eastAsia"/>
          <w:lang w:val="en-US" w:eastAsia="zh-CN"/>
        </w:rPr>
        <w:t xml:space="preserve"> </w:t>
      </w:r>
      <w:r>
        <w:rPr>
          <w:rFonts w:hint="eastAsia"/>
        </w:rPr>
        <w:t>本办法自下发之日起执行。原有规定与本办法不一致的，按本办法执行。</w:t>
      </w:r>
    </w:p>
    <w:p w14:paraId="0A699591">
      <w:pPr>
        <w:jc w:val="right"/>
        <w:rPr>
          <w:b/>
          <w:bCs/>
        </w:rPr>
      </w:pPr>
      <w:r>
        <w:rPr>
          <w:b/>
          <w:bCs/>
        </w:rPr>
        <w:t>2013年10月18日</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0B669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EFA6302">
            <w:pPr>
              <w:ind w:left="0" w:leftChars="0" w:firstLine="0" w:firstLineChars="0"/>
              <w:jc w:val="center"/>
              <w:rPr>
                <w:rFonts w:hint="eastAsia" w:eastAsia="宋体"/>
                <w:b/>
                <w:bCs/>
                <w:vertAlign w:val="baseline"/>
                <w:lang w:eastAsia="zh-CN"/>
              </w:rPr>
            </w:pPr>
            <w:r>
              <w:rPr>
                <w:rFonts w:hint="eastAsia" w:eastAsia="宋体"/>
                <w:b/>
                <w:bCs/>
                <w:vertAlign w:val="baseline"/>
                <w:lang w:eastAsia="zh-CN"/>
              </w:rPr>
              <w:drawing>
                <wp:inline distT="0" distB="0" distL="114300" distR="114300">
                  <wp:extent cx="6187440" cy="2646045"/>
                  <wp:effectExtent l="0" t="0" r="3810" b="1905"/>
                  <wp:docPr id="73" name="图片 73" descr="南雄年鉴2014-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南雄年鉴2014-060"/>
                          <pic:cNvPicPr>
                            <a:picLocks noChangeAspect="1"/>
                          </pic:cNvPicPr>
                        </pic:nvPicPr>
                        <pic:blipFill>
                          <a:blip r:embed="rId140"/>
                          <a:stretch>
                            <a:fillRect/>
                          </a:stretch>
                        </pic:blipFill>
                        <pic:spPr>
                          <a:xfrm>
                            <a:off x="0" y="0"/>
                            <a:ext cx="6187440" cy="2646045"/>
                          </a:xfrm>
                          <a:prstGeom prst="rect">
                            <a:avLst/>
                          </a:prstGeom>
                        </pic:spPr>
                      </pic:pic>
                    </a:graphicData>
                  </a:graphic>
                </wp:inline>
              </w:drawing>
            </w:r>
          </w:p>
        </w:tc>
      </w:tr>
    </w:tbl>
    <w:p w14:paraId="6285A0C1">
      <w:pPr>
        <w:jc w:val="both"/>
        <w:rPr>
          <w:rFonts w:hint="eastAsia"/>
          <w:b/>
          <w:bCs/>
          <w:lang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C75B4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CB1D288">
            <w:pPr>
              <w:bidi w:val="0"/>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3630" cy="4486275"/>
                  <wp:effectExtent l="0" t="0" r="7620" b="9525"/>
                  <wp:docPr id="71" name="图片 71" descr="南雄年鉴2014-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南雄年鉴2014-061"/>
                          <pic:cNvPicPr>
                            <a:picLocks noChangeAspect="1"/>
                          </pic:cNvPicPr>
                        </pic:nvPicPr>
                        <pic:blipFill>
                          <a:blip r:embed="rId141"/>
                          <a:stretch>
                            <a:fillRect/>
                          </a:stretch>
                        </pic:blipFill>
                        <pic:spPr>
                          <a:xfrm>
                            <a:off x="0" y="0"/>
                            <a:ext cx="6183630" cy="4486275"/>
                          </a:xfrm>
                          <a:prstGeom prst="rect">
                            <a:avLst/>
                          </a:prstGeom>
                        </pic:spPr>
                      </pic:pic>
                    </a:graphicData>
                  </a:graphic>
                </wp:inline>
              </w:drawing>
            </w:r>
          </w:p>
        </w:tc>
      </w:tr>
    </w:tbl>
    <w:p w14:paraId="5F0767AA">
      <w:pPr>
        <w:bidi w:val="0"/>
        <w:rPr>
          <w:rFonts w:hint="eastAsia" w:eastAsia="宋体"/>
          <w:lang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D4424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4B10ECBB">
            <w:pPr>
              <w:bidi w:val="0"/>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5535" cy="8175625"/>
                  <wp:effectExtent l="0" t="0" r="5715" b="15875"/>
                  <wp:docPr id="72" name="图片 72" descr="南雄年鉴 2014 封底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南雄年鉴 2014 封底 副本"/>
                          <pic:cNvPicPr>
                            <a:picLocks noChangeAspect="1"/>
                          </pic:cNvPicPr>
                        </pic:nvPicPr>
                        <pic:blipFill>
                          <a:blip r:embed="rId142"/>
                          <a:stretch>
                            <a:fillRect/>
                          </a:stretch>
                        </pic:blipFill>
                        <pic:spPr>
                          <a:xfrm>
                            <a:off x="0" y="0"/>
                            <a:ext cx="6185535" cy="8175625"/>
                          </a:xfrm>
                          <a:prstGeom prst="rect">
                            <a:avLst/>
                          </a:prstGeom>
                        </pic:spPr>
                      </pic:pic>
                    </a:graphicData>
                  </a:graphic>
                </wp:inline>
              </w:drawing>
            </w:r>
          </w:p>
        </w:tc>
      </w:tr>
    </w:tbl>
    <w:p w14:paraId="7B0BADF5">
      <w:pPr>
        <w:bidi w:val="0"/>
        <w:rPr>
          <w:rFonts w:hint="eastAsia" w:eastAsia="宋体"/>
          <w:lang w:eastAsia="zh-CN"/>
        </w:rPr>
      </w:pPr>
    </w:p>
    <w:p w14:paraId="62E4C7AF"/>
    <w:sectPr>
      <w:headerReference r:id="rId7" w:type="first"/>
      <w:footerReference r:id="rId10" w:type="first"/>
      <w:headerReference r:id="rId5" w:type="default"/>
      <w:footerReference r:id="rId8" w:type="default"/>
      <w:headerReference r:id="rId6" w:type="even"/>
      <w:footerReference r:id="rId9" w:type="even"/>
      <w:pgSz w:w="11906" w:h="16838"/>
      <w:pgMar w:top="1440" w:right="1080" w:bottom="1440" w:left="108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20"/>
      </w:pPr>
      <w:r>
        <w:separator/>
      </w:r>
    </w:p>
  </w:endnote>
  <w:endnote w:type="continuationSeparator" w:id="1">
    <w:p>
      <w:pPr>
        <w:spacing w:line="240" w:lineRule="auto"/>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F498B2">
    <w:pPr>
      <w:pStyle w:val="5"/>
      <w:ind w:firstLine="360"/>
      <w:rPr>
        <w:rFonts w:hint="eastAsia" w:eastAsia="宋体"/>
        <w:lang w:eastAsia="zh-C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98C2E7">
    <w:pPr>
      <w:pStyle w:val="5"/>
      <w:ind w:firstLine="360"/>
      <w:rPr>
        <w:rFonts w:hint="eastAsia" w:eastAsia="宋体"/>
        <w:lang w:eastAsia="zh-CN"/>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418CEE">
    <w:pPr>
      <w:pStyle w:val="5"/>
      <w:ind w:firstLine="360"/>
      <w:rPr>
        <w:rFonts w:hint="eastAsia" w:eastAsia="宋体"/>
        <w:lang w:eastAsia="zh-CN"/>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20"/>
      </w:pPr>
      <w:r>
        <w:separator/>
      </w:r>
    </w:p>
  </w:footnote>
  <w:footnote w:type="continuationSeparator" w:id="1">
    <w:p>
      <w:pPr>
        <w:spacing w:line="360" w:lineRule="auto"/>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042D13">
    <w:pPr>
      <w:pStyle w:val="6"/>
      <w:ind w:firstLine="360"/>
      <w:rPr>
        <w:rFonts w:hint="eastAsia" w:eastAsia="宋体"/>
        <w:lang w:eastAsia="zh-CN"/>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269DE9">
    <w:pPr>
      <w:pStyle w:val="6"/>
      <w:ind w:firstLine="360"/>
      <w:rPr>
        <w:rFonts w:hint="eastAsia" w:eastAsia="宋体"/>
        <w:lang w:eastAsia="zh-CN"/>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F9B0EB">
    <w:pPr>
      <w:pStyle w:val="6"/>
      <w:ind w:firstLine="360"/>
      <w:rPr>
        <w:rFonts w:hint="eastAsia" w:eastAsia="宋体"/>
        <w:lang w:eastAsia="zh-CN"/>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kwNjc2OWNjMmQ3ZDNiMmE4OTE5ZmNmMzZkZWE4ZDkifQ=="/>
  </w:docVars>
  <w:rsids>
    <w:rsidRoot w:val="2E6767B0"/>
    <w:rsid w:val="03200295"/>
    <w:rsid w:val="048D4E99"/>
    <w:rsid w:val="07334749"/>
    <w:rsid w:val="07CC09EB"/>
    <w:rsid w:val="080D2DB2"/>
    <w:rsid w:val="0BB56D4E"/>
    <w:rsid w:val="11DB53FF"/>
    <w:rsid w:val="13D15FE6"/>
    <w:rsid w:val="149A777C"/>
    <w:rsid w:val="165C73DE"/>
    <w:rsid w:val="16AF0B11"/>
    <w:rsid w:val="1A887821"/>
    <w:rsid w:val="1BB31B21"/>
    <w:rsid w:val="1C4A5F2B"/>
    <w:rsid w:val="1D2030BF"/>
    <w:rsid w:val="1DC839D2"/>
    <w:rsid w:val="22C56648"/>
    <w:rsid w:val="24CD76F9"/>
    <w:rsid w:val="2637307C"/>
    <w:rsid w:val="263F5D82"/>
    <w:rsid w:val="2A1A6F3D"/>
    <w:rsid w:val="2E6767B0"/>
    <w:rsid w:val="2F1D2A78"/>
    <w:rsid w:val="311D7312"/>
    <w:rsid w:val="31C30F52"/>
    <w:rsid w:val="32591540"/>
    <w:rsid w:val="33A8380B"/>
    <w:rsid w:val="3A1F0525"/>
    <w:rsid w:val="3C3B116F"/>
    <w:rsid w:val="420F0158"/>
    <w:rsid w:val="437F7839"/>
    <w:rsid w:val="46E42955"/>
    <w:rsid w:val="484B57CE"/>
    <w:rsid w:val="49025314"/>
    <w:rsid w:val="4AB555AD"/>
    <w:rsid w:val="4AD51B6F"/>
    <w:rsid w:val="4C0A4ADD"/>
    <w:rsid w:val="543F566E"/>
    <w:rsid w:val="57A05B02"/>
    <w:rsid w:val="5C0A634A"/>
    <w:rsid w:val="5DAD533E"/>
    <w:rsid w:val="5DFA29E0"/>
    <w:rsid w:val="5F6E356C"/>
    <w:rsid w:val="62B422C2"/>
    <w:rsid w:val="62EE2198"/>
    <w:rsid w:val="64F93624"/>
    <w:rsid w:val="662E5156"/>
    <w:rsid w:val="6BEC4B39"/>
    <w:rsid w:val="6C1B20C5"/>
    <w:rsid w:val="6CAF118B"/>
    <w:rsid w:val="6F3B419D"/>
    <w:rsid w:val="6FDE0BDB"/>
    <w:rsid w:val="71A922A3"/>
    <w:rsid w:val="71FE2416"/>
    <w:rsid w:val="73426189"/>
    <w:rsid w:val="73886292"/>
    <w:rsid w:val="742D7F41"/>
    <w:rsid w:val="7491561A"/>
    <w:rsid w:val="77877839"/>
    <w:rsid w:val="7DC17D7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iPriority="99"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3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200" w:firstLineChars="200"/>
      <w:jc w:val="both"/>
    </w:pPr>
    <w:rPr>
      <w:rFonts w:ascii="宋体" w:hAnsi="宋体" w:eastAsia="宋体" w:cstheme="minorBidi"/>
      <w:kern w:val="2"/>
      <w:sz w:val="21"/>
      <w:szCs w:val="22"/>
      <w:lang w:val="en-US" w:eastAsia="zh-CN" w:bidi="ar-SA"/>
    </w:rPr>
  </w:style>
  <w:style w:type="paragraph" w:styleId="2">
    <w:name w:val="heading 1"/>
    <w:next w:val="1"/>
    <w:qFormat/>
    <w:uiPriority w:val="9"/>
    <w:pPr>
      <w:keepNext/>
      <w:keepLines/>
      <w:spacing w:before="340" w:after="330" w:line="578" w:lineRule="auto"/>
      <w:jc w:val="center"/>
      <w:outlineLvl w:val="0"/>
    </w:pPr>
    <w:rPr>
      <w:rFonts w:ascii="宋体" w:hAnsi="宋体" w:eastAsia="宋体" w:cstheme="minorBidi"/>
      <w:b/>
      <w:bCs/>
      <w:kern w:val="44"/>
      <w:sz w:val="44"/>
      <w:szCs w:val="44"/>
      <w:lang w:val="en-US" w:eastAsia="zh-CN" w:bidi="ar-SA"/>
    </w:rPr>
  </w:style>
  <w:style w:type="paragraph" w:styleId="3">
    <w:name w:val="heading 2"/>
    <w:next w:val="1"/>
    <w:unhideWhenUsed/>
    <w:qFormat/>
    <w:uiPriority w:val="9"/>
    <w:pPr>
      <w:keepNext/>
      <w:keepLines/>
      <w:spacing w:before="260" w:after="260" w:line="416" w:lineRule="auto"/>
      <w:jc w:val="center"/>
      <w:outlineLvl w:val="1"/>
    </w:pPr>
    <w:rPr>
      <w:rFonts w:ascii="宋体" w:hAnsi="宋体" w:eastAsia="宋体" w:cstheme="majorBidi"/>
      <w:b/>
      <w:bCs/>
      <w:kern w:val="2"/>
      <w:sz w:val="36"/>
      <w:szCs w:val="32"/>
      <w:lang w:val="en-US" w:eastAsia="zh-CN" w:bidi="ar-SA"/>
    </w:rPr>
  </w:style>
  <w:style w:type="paragraph" w:styleId="4">
    <w:name w:val="heading 3"/>
    <w:next w:val="1"/>
    <w:unhideWhenUsed/>
    <w:qFormat/>
    <w:uiPriority w:val="9"/>
    <w:pPr>
      <w:keepNext/>
      <w:keepLines/>
      <w:spacing w:before="260" w:after="260" w:line="416" w:lineRule="auto"/>
      <w:jc w:val="center"/>
      <w:outlineLvl w:val="2"/>
    </w:pPr>
    <w:rPr>
      <w:rFonts w:ascii="宋体" w:hAnsi="宋体" w:eastAsia="宋体" w:cstheme="minorBidi"/>
      <w:b/>
      <w:bCs/>
      <w:kern w:val="2"/>
      <w:sz w:val="32"/>
      <w:szCs w:val="32"/>
      <w:lang w:val="en-US" w:eastAsia="zh-CN" w:bidi="ar-SA"/>
    </w:rPr>
  </w:style>
  <w:style w:type="character" w:default="1" w:styleId="9">
    <w:name w:val="Default Paragraph Font"/>
    <w:semiHidden/>
    <w:qFormat/>
    <w:uiPriority w:val="0"/>
  </w:style>
  <w:style w:type="table" w:default="1" w:styleId="7">
    <w:name w:val="Normal Table"/>
    <w:semiHidden/>
    <w:qFormat/>
    <w:uiPriority w:val="0"/>
    <w:tblPr>
      <w:tblCellMar>
        <w:top w:w="0" w:type="dxa"/>
        <w:left w:w="108" w:type="dxa"/>
        <w:bottom w:w="0" w:type="dxa"/>
        <w:right w:w="108" w:type="dxa"/>
      </w:tblCellMar>
    </w:tblPr>
  </w:style>
  <w:style w:type="paragraph" w:styleId="5">
    <w:name w:val="footer"/>
    <w:basedOn w:val="1"/>
    <w:unhideWhenUsed/>
    <w:qFormat/>
    <w:uiPriority w:val="99"/>
    <w:pPr>
      <w:tabs>
        <w:tab w:val="center" w:pos="4153"/>
        <w:tab w:val="right" w:pos="8306"/>
      </w:tabs>
      <w:snapToGrid w:val="0"/>
      <w:spacing w:line="240" w:lineRule="auto"/>
      <w:jc w:val="left"/>
    </w:pPr>
    <w:rPr>
      <w:sz w:val="18"/>
      <w:szCs w:val="18"/>
    </w:rPr>
  </w:style>
  <w:style w:type="paragraph" w:styleId="6">
    <w:name w:val="header"/>
    <w:basedOn w:val="1"/>
    <w:unhideWhenUsed/>
    <w:qFormat/>
    <w:uiPriority w:val="99"/>
    <w:pPr>
      <w:pBdr>
        <w:bottom w:val="single" w:color="auto" w:sz="6" w:space="1"/>
      </w:pBdr>
      <w:tabs>
        <w:tab w:val="center" w:pos="4153"/>
        <w:tab w:val="right" w:pos="8306"/>
      </w:tabs>
      <w:snapToGrid w:val="0"/>
      <w:spacing w:line="240" w:lineRule="auto"/>
      <w:jc w:val="center"/>
    </w:pPr>
    <w:rPr>
      <w:sz w:val="18"/>
      <w:szCs w:val="18"/>
    </w:rPr>
  </w:style>
  <w:style w:type="table" w:styleId="8">
    <w:name w:val="Table Grid"/>
    <w:basedOn w:val="7"/>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10">
    <w:name w:val="样式1"/>
    <w:basedOn w:val="1"/>
    <w:qFormat/>
    <w:uiPriority w:val="0"/>
    <w:pPr>
      <w:ind w:firstLine="0" w:firstLineChars="0"/>
    </w:pPr>
    <w:rPr>
      <w:rFonts w:eastAsia="宋体"/>
    </w:rPr>
  </w:style>
</w:styles>
</file>

<file path=word/_rels/document.xml.rels><?xml version="1.0" encoding="UTF-8" standalone="yes"?>
<Relationships xmlns="http://schemas.openxmlformats.org/package/2006/relationships"><Relationship Id="rId99" Type="http://schemas.openxmlformats.org/officeDocument/2006/relationships/image" Target="media/image88.jpeg"/><Relationship Id="rId98" Type="http://schemas.openxmlformats.org/officeDocument/2006/relationships/image" Target="media/image87.jpeg"/><Relationship Id="rId97" Type="http://schemas.openxmlformats.org/officeDocument/2006/relationships/image" Target="media/image86.jpeg"/><Relationship Id="rId96" Type="http://schemas.openxmlformats.org/officeDocument/2006/relationships/image" Target="media/image85.jpeg"/><Relationship Id="rId95" Type="http://schemas.openxmlformats.org/officeDocument/2006/relationships/image" Target="media/image84.jpeg"/><Relationship Id="rId94" Type="http://schemas.openxmlformats.org/officeDocument/2006/relationships/image" Target="media/image83.jpeg"/><Relationship Id="rId93" Type="http://schemas.openxmlformats.org/officeDocument/2006/relationships/image" Target="media/image82.jpeg"/><Relationship Id="rId92" Type="http://schemas.openxmlformats.org/officeDocument/2006/relationships/image" Target="media/image81.jpeg"/><Relationship Id="rId91" Type="http://schemas.openxmlformats.org/officeDocument/2006/relationships/image" Target="media/image80.jpeg"/><Relationship Id="rId90" Type="http://schemas.openxmlformats.org/officeDocument/2006/relationships/image" Target="media/image79.jpeg"/><Relationship Id="rId9" Type="http://schemas.openxmlformats.org/officeDocument/2006/relationships/footer" Target="footer2.xml"/><Relationship Id="rId89" Type="http://schemas.openxmlformats.org/officeDocument/2006/relationships/image" Target="media/image78.jpeg"/><Relationship Id="rId88" Type="http://schemas.openxmlformats.org/officeDocument/2006/relationships/image" Target="media/image77.jpeg"/><Relationship Id="rId87" Type="http://schemas.openxmlformats.org/officeDocument/2006/relationships/image" Target="media/image76.jpeg"/><Relationship Id="rId86" Type="http://schemas.openxmlformats.org/officeDocument/2006/relationships/image" Target="media/image75.jpeg"/><Relationship Id="rId85" Type="http://schemas.openxmlformats.org/officeDocument/2006/relationships/image" Target="media/image74.jpeg"/><Relationship Id="rId84" Type="http://schemas.openxmlformats.org/officeDocument/2006/relationships/image" Target="media/image73.jpeg"/><Relationship Id="rId83" Type="http://schemas.openxmlformats.org/officeDocument/2006/relationships/image" Target="media/image72.jpeg"/><Relationship Id="rId82" Type="http://schemas.openxmlformats.org/officeDocument/2006/relationships/image" Target="media/image71.jpeg"/><Relationship Id="rId81" Type="http://schemas.openxmlformats.org/officeDocument/2006/relationships/image" Target="media/image70.jpeg"/><Relationship Id="rId80" Type="http://schemas.openxmlformats.org/officeDocument/2006/relationships/image" Target="media/image69.jpeg"/><Relationship Id="rId8" Type="http://schemas.openxmlformats.org/officeDocument/2006/relationships/footer" Target="footer1.xml"/><Relationship Id="rId79" Type="http://schemas.openxmlformats.org/officeDocument/2006/relationships/image" Target="media/image68.jpeg"/><Relationship Id="rId78" Type="http://schemas.openxmlformats.org/officeDocument/2006/relationships/image" Target="media/image67.jpeg"/><Relationship Id="rId77" Type="http://schemas.openxmlformats.org/officeDocument/2006/relationships/image" Target="media/image66.jpeg"/><Relationship Id="rId76" Type="http://schemas.openxmlformats.org/officeDocument/2006/relationships/image" Target="media/image65.jpeg"/><Relationship Id="rId75" Type="http://schemas.openxmlformats.org/officeDocument/2006/relationships/image" Target="media/image64.jpeg"/><Relationship Id="rId74" Type="http://schemas.openxmlformats.org/officeDocument/2006/relationships/image" Target="media/image63.jpeg"/><Relationship Id="rId73" Type="http://schemas.openxmlformats.org/officeDocument/2006/relationships/image" Target="media/image62.jpeg"/><Relationship Id="rId72" Type="http://schemas.openxmlformats.org/officeDocument/2006/relationships/image" Target="media/image61.jpeg"/><Relationship Id="rId71" Type="http://schemas.openxmlformats.org/officeDocument/2006/relationships/image" Target="media/image60.jpeg"/><Relationship Id="rId70" Type="http://schemas.openxmlformats.org/officeDocument/2006/relationships/image" Target="media/image59.jpeg"/><Relationship Id="rId7" Type="http://schemas.openxmlformats.org/officeDocument/2006/relationships/header" Target="header3.xml"/><Relationship Id="rId69" Type="http://schemas.openxmlformats.org/officeDocument/2006/relationships/image" Target="media/image58.jpeg"/><Relationship Id="rId68" Type="http://schemas.openxmlformats.org/officeDocument/2006/relationships/image" Target="media/image57.jpeg"/><Relationship Id="rId67" Type="http://schemas.openxmlformats.org/officeDocument/2006/relationships/image" Target="media/image56.jpeg"/><Relationship Id="rId66" Type="http://schemas.openxmlformats.org/officeDocument/2006/relationships/image" Target="media/image55.jpeg"/><Relationship Id="rId65" Type="http://schemas.openxmlformats.org/officeDocument/2006/relationships/image" Target="media/image54.jpeg"/><Relationship Id="rId64" Type="http://schemas.openxmlformats.org/officeDocument/2006/relationships/image" Target="media/image53.jpeg"/><Relationship Id="rId63" Type="http://schemas.openxmlformats.org/officeDocument/2006/relationships/image" Target="media/image52.jpeg"/><Relationship Id="rId62" Type="http://schemas.openxmlformats.org/officeDocument/2006/relationships/image" Target="media/image51.jpeg"/><Relationship Id="rId61" Type="http://schemas.openxmlformats.org/officeDocument/2006/relationships/image" Target="media/image50.jpeg"/><Relationship Id="rId60" Type="http://schemas.openxmlformats.org/officeDocument/2006/relationships/image" Target="media/image49.jpeg"/><Relationship Id="rId6" Type="http://schemas.openxmlformats.org/officeDocument/2006/relationships/header" Target="header2.xml"/><Relationship Id="rId59" Type="http://schemas.openxmlformats.org/officeDocument/2006/relationships/image" Target="media/image48.jpeg"/><Relationship Id="rId58" Type="http://schemas.openxmlformats.org/officeDocument/2006/relationships/image" Target="media/image47.jpeg"/><Relationship Id="rId57" Type="http://schemas.openxmlformats.org/officeDocument/2006/relationships/image" Target="media/image46.jpeg"/><Relationship Id="rId56" Type="http://schemas.openxmlformats.org/officeDocument/2006/relationships/image" Target="media/image45.jpeg"/><Relationship Id="rId55" Type="http://schemas.openxmlformats.org/officeDocument/2006/relationships/image" Target="media/image44.jpeg"/><Relationship Id="rId54" Type="http://schemas.openxmlformats.org/officeDocument/2006/relationships/image" Target="media/image43.jpeg"/><Relationship Id="rId53" Type="http://schemas.openxmlformats.org/officeDocument/2006/relationships/image" Target="media/image42.jpeg"/><Relationship Id="rId52" Type="http://schemas.openxmlformats.org/officeDocument/2006/relationships/image" Target="media/image41.jpeg"/><Relationship Id="rId51" Type="http://schemas.openxmlformats.org/officeDocument/2006/relationships/image" Target="media/image40.jpeg"/><Relationship Id="rId50" Type="http://schemas.openxmlformats.org/officeDocument/2006/relationships/image" Target="media/image39.jpeg"/><Relationship Id="rId5" Type="http://schemas.openxmlformats.org/officeDocument/2006/relationships/header" Target="header1.xml"/><Relationship Id="rId49" Type="http://schemas.openxmlformats.org/officeDocument/2006/relationships/image" Target="media/image38.jpeg"/><Relationship Id="rId48" Type="http://schemas.openxmlformats.org/officeDocument/2006/relationships/image" Target="media/image37.jpeg"/><Relationship Id="rId47" Type="http://schemas.openxmlformats.org/officeDocument/2006/relationships/image" Target="media/image36.jpeg"/><Relationship Id="rId46" Type="http://schemas.openxmlformats.org/officeDocument/2006/relationships/image" Target="media/image35.jpeg"/><Relationship Id="rId45" Type="http://schemas.openxmlformats.org/officeDocument/2006/relationships/image" Target="media/image34.jpeg"/><Relationship Id="rId44" Type="http://schemas.openxmlformats.org/officeDocument/2006/relationships/image" Target="media/image33.jpeg"/><Relationship Id="rId43" Type="http://schemas.openxmlformats.org/officeDocument/2006/relationships/image" Target="media/image32.jpeg"/><Relationship Id="rId42" Type="http://schemas.openxmlformats.org/officeDocument/2006/relationships/image" Target="media/image31.jpeg"/><Relationship Id="rId41" Type="http://schemas.openxmlformats.org/officeDocument/2006/relationships/image" Target="media/image30.jpeg"/><Relationship Id="rId40" Type="http://schemas.openxmlformats.org/officeDocument/2006/relationships/image" Target="media/image29.jpeg"/><Relationship Id="rId4" Type="http://schemas.openxmlformats.org/officeDocument/2006/relationships/endnotes" Target="endnotes.xml"/><Relationship Id="rId39" Type="http://schemas.openxmlformats.org/officeDocument/2006/relationships/image" Target="media/image28.jpeg"/><Relationship Id="rId38" Type="http://schemas.openxmlformats.org/officeDocument/2006/relationships/image" Target="media/image27.jpeg"/><Relationship Id="rId37" Type="http://schemas.openxmlformats.org/officeDocument/2006/relationships/image" Target="media/image26.jpeg"/><Relationship Id="rId36" Type="http://schemas.openxmlformats.org/officeDocument/2006/relationships/image" Target="media/image25.jpeg"/><Relationship Id="rId35" Type="http://schemas.openxmlformats.org/officeDocument/2006/relationships/image" Target="media/image24.jpeg"/><Relationship Id="rId34" Type="http://schemas.openxmlformats.org/officeDocument/2006/relationships/image" Target="media/image23.jpeg"/><Relationship Id="rId33" Type="http://schemas.openxmlformats.org/officeDocument/2006/relationships/image" Target="media/image22.jpeg"/><Relationship Id="rId32" Type="http://schemas.openxmlformats.org/officeDocument/2006/relationships/image" Target="media/image21.jpeg"/><Relationship Id="rId31" Type="http://schemas.openxmlformats.org/officeDocument/2006/relationships/image" Target="media/image20.jpeg"/><Relationship Id="rId30" Type="http://schemas.openxmlformats.org/officeDocument/2006/relationships/image" Target="media/image19.jpeg"/><Relationship Id="rId3" Type="http://schemas.openxmlformats.org/officeDocument/2006/relationships/footnotes" Target="footnotes.xml"/><Relationship Id="rId29" Type="http://schemas.openxmlformats.org/officeDocument/2006/relationships/image" Target="media/image18.jpeg"/><Relationship Id="rId28" Type="http://schemas.openxmlformats.org/officeDocument/2006/relationships/image" Target="media/image17.jpeg"/><Relationship Id="rId27" Type="http://schemas.openxmlformats.org/officeDocument/2006/relationships/image" Target="media/image16.jpeg"/><Relationship Id="rId26" Type="http://schemas.openxmlformats.org/officeDocument/2006/relationships/image" Target="media/image15.jpeg"/><Relationship Id="rId25" Type="http://schemas.openxmlformats.org/officeDocument/2006/relationships/image" Target="media/image14.jpeg"/><Relationship Id="rId24" Type="http://schemas.openxmlformats.org/officeDocument/2006/relationships/image" Target="media/image13.jpeg"/><Relationship Id="rId23" Type="http://schemas.openxmlformats.org/officeDocument/2006/relationships/image" Target="media/image12.jpeg"/><Relationship Id="rId22" Type="http://schemas.openxmlformats.org/officeDocument/2006/relationships/image" Target="media/image11.jpeg"/><Relationship Id="rId21" Type="http://schemas.openxmlformats.org/officeDocument/2006/relationships/image" Target="media/image10.jpeg"/><Relationship Id="rId20" Type="http://schemas.openxmlformats.org/officeDocument/2006/relationships/image" Target="media/image9.jpeg"/><Relationship Id="rId2" Type="http://schemas.openxmlformats.org/officeDocument/2006/relationships/settings" Target="settings.xml"/><Relationship Id="rId19" Type="http://schemas.openxmlformats.org/officeDocument/2006/relationships/image" Target="media/image8.jpeg"/><Relationship Id="rId18" Type="http://schemas.openxmlformats.org/officeDocument/2006/relationships/image" Target="media/image7.jpeg"/><Relationship Id="rId17" Type="http://schemas.openxmlformats.org/officeDocument/2006/relationships/image" Target="media/image6.jpeg"/><Relationship Id="rId16" Type="http://schemas.openxmlformats.org/officeDocument/2006/relationships/image" Target="media/image5.jpeg"/><Relationship Id="rId15" Type="http://schemas.openxmlformats.org/officeDocument/2006/relationships/image" Target="media/image4.jpeg"/><Relationship Id="rId143" Type="http://schemas.openxmlformats.org/officeDocument/2006/relationships/fontTable" Target="fontTable.xml"/><Relationship Id="rId142" Type="http://schemas.openxmlformats.org/officeDocument/2006/relationships/image" Target="media/image131.jpeg"/><Relationship Id="rId141" Type="http://schemas.openxmlformats.org/officeDocument/2006/relationships/image" Target="media/image130.jpeg"/><Relationship Id="rId140" Type="http://schemas.openxmlformats.org/officeDocument/2006/relationships/image" Target="media/image129.jpeg"/><Relationship Id="rId14" Type="http://schemas.openxmlformats.org/officeDocument/2006/relationships/image" Target="media/image3.jpeg"/><Relationship Id="rId139" Type="http://schemas.openxmlformats.org/officeDocument/2006/relationships/image" Target="media/image128.jpeg"/><Relationship Id="rId138" Type="http://schemas.openxmlformats.org/officeDocument/2006/relationships/image" Target="media/image127.jpeg"/><Relationship Id="rId137" Type="http://schemas.openxmlformats.org/officeDocument/2006/relationships/image" Target="media/image126.jpeg"/><Relationship Id="rId136" Type="http://schemas.openxmlformats.org/officeDocument/2006/relationships/image" Target="media/image125.jpeg"/><Relationship Id="rId135" Type="http://schemas.openxmlformats.org/officeDocument/2006/relationships/image" Target="media/image124.jpeg"/><Relationship Id="rId134" Type="http://schemas.openxmlformats.org/officeDocument/2006/relationships/image" Target="media/image123.jpeg"/><Relationship Id="rId133" Type="http://schemas.openxmlformats.org/officeDocument/2006/relationships/image" Target="media/image122.jpeg"/><Relationship Id="rId132" Type="http://schemas.openxmlformats.org/officeDocument/2006/relationships/image" Target="media/image121.jpeg"/><Relationship Id="rId131" Type="http://schemas.openxmlformats.org/officeDocument/2006/relationships/image" Target="media/image120.jpeg"/><Relationship Id="rId130" Type="http://schemas.openxmlformats.org/officeDocument/2006/relationships/image" Target="media/image119.jpeg"/><Relationship Id="rId13" Type="http://schemas.openxmlformats.org/officeDocument/2006/relationships/image" Target="media/image2.jpeg"/><Relationship Id="rId129" Type="http://schemas.openxmlformats.org/officeDocument/2006/relationships/image" Target="media/image118.jpeg"/><Relationship Id="rId128" Type="http://schemas.openxmlformats.org/officeDocument/2006/relationships/image" Target="media/image117.jpeg"/><Relationship Id="rId127" Type="http://schemas.openxmlformats.org/officeDocument/2006/relationships/image" Target="media/image116.jpeg"/><Relationship Id="rId126" Type="http://schemas.openxmlformats.org/officeDocument/2006/relationships/image" Target="media/image115.jpeg"/><Relationship Id="rId125" Type="http://schemas.openxmlformats.org/officeDocument/2006/relationships/image" Target="media/image114.jpeg"/><Relationship Id="rId124" Type="http://schemas.openxmlformats.org/officeDocument/2006/relationships/image" Target="media/image113.jpeg"/><Relationship Id="rId123" Type="http://schemas.openxmlformats.org/officeDocument/2006/relationships/image" Target="media/image112.jpeg"/><Relationship Id="rId122" Type="http://schemas.openxmlformats.org/officeDocument/2006/relationships/image" Target="media/image111.jpeg"/><Relationship Id="rId121" Type="http://schemas.openxmlformats.org/officeDocument/2006/relationships/image" Target="media/image110.jpeg"/><Relationship Id="rId120" Type="http://schemas.openxmlformats.org/officeDocument/2006/relationships/image" Target="media/image109.jpeg"/><Relationship Id="rId12" Type="http://schemas.openxmlformats.org/officeDocument/2006/relationships/image" Target="media/image1.jpeg"/><Relationship Id="rId119" Type="http://schemas.openxmlformats.org/officeDocument/2006/relationships/image" Target="media/image108.jpeg"/><Relationship Id="rId118" Type="http://schemas.openxmlformats.org/officeDocument/2006/relationships/image" Target="media/image107.jpeg"/><Relationship Id="rId117" Type="http://schemas.openxmlformats.org/officeDocument/2006/relationships/image" Target="media/image106.jpeg"/><Relationship Id="rId116" Type="http://schemas.openxmlformats.org/officeDocument/2006/relationships/image" Target="media/image105.jpeg"/><Relationship Id="rId115" Type="http://schemas.openxmlformats.org/officeDocument/2006/relationships/image" Target="media/image104.jpeg"/><Relationship Id="rId114" Type="http://schemas.openxmlformats.org/officeDocument/2006/relationships/image" Target="media/image103.jpeg"/><Relationship Id="rId113" Type="http://schemas.openxmlformats.org/officeDocument/2006/relationships/image" Target="media/image102.jpeg"/><Relationship Id="rId112" Type="http://schemas.openxmlformats.org/officeDocument/2006/relationships/image" Target="media/image101.jpeg"/><Relationship Id="rId111" Type="http://schemas.openxmlformats.org/officeDocument/2006/relationships/image" Target="media/image100.jpeg"/><Relationship Id="rId110" Type="http://schemas.openxmlformats.org/officeDocument/2006/relationships/image" Target="media/image99.jpeg"/><Relationship Id="rId11" Type="http://schemas.openxmlformats.org/officeDocument/2006/relationships/theme" Target="theme/theme1.xml"/><Relationship Id="rId109" Type="http://schemas.openxmlformats.org/officeDocument/2006/relationships/image" Target="media/image98.jpeg"/><Relationship Id="rId108" Type="http://schemas.openxmlformats.org/officeDocument/2006/relationships/image" Target="media/image97.jpeg"/><Relationship Id="rId107" Type="http://schemas.openxmlformats.org/officeDocument/2006/relationships/image" Target="media/image96.jpeg"/><Relationship Id="rId106" Type="http://schemas.openxmlformats.org/officeDocument/2006/relationships/image" Target="media/image95.jpeg"/><Relationship Id="rId105" Type="http://schemas.openxmlformats.org/officeDocument/2006/relationships/image" Target="media/image94.jpeg"/><Relationship Id="rId104" Type="http://schemas.openxmlformats.org/officeDocument/2006/relationships/image" Target="media/image93.jpeg"/><Relationship Id="rId103" Type="http://schemas.openxmlformats.org/officeDocument/2006/relationships/image" Target="media/image92.jpeg"/><Relationship Id="rId102" Type="http://schemas.openxmlformats.org/officeDocument/2006/relationships/image" Target="media/image91.jpeg"/><Relationship Id="rId101" Type="http://schemas.openxmlformats.org/officeDocument/2006/relationships/image" Target="media/image90.jpeg"/><Relationship Id="rId100" Type="http://schemas.openxmlformats.org/officeDocument/2006/relationships/image" Target="media/image89.jpeg"/><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575</Pages>
  <Words>2164</Words>
  <Characters>2242</Characters>
  <Lines>0</Lines>
  <Paragraphs>0</Paragraphs>
  <TotalTime>11</TotalTime>
  <ScaleCrop>false</ScaleCrop>
  <LinksUpToDate>false</LinksUpToDate>
  <CharactersWithSpaces>2343</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2020-12-10T09:08:00Z</dcterms:created>
  <dc:creator>administrator1</dc:creator>
  <cp:lastModifiedBy>叶子</cp:lastModifiedBy>
  <dcterms:modified xsi:type="dcterms:W3CDTF">2025-04-23T08:08:23Z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FCEBB7F85A864EE2A85B6F7644AE87EA</vt:lpwstr>
  </property>
  <property fmtid="{D5CDD505-2E9C-101B-9397-08002B2CF9AE}" pid="4" name="KSOTemplateDocerSaveRecord">
    <vt:lpwstr>eyJoZGlkIjoiMDkwNjc2OWNjMmQ3ZDNiMmE4OTE5ZmNmMzZkZWE4ZDkiLCJ1c2VySWQiOiIzNzk0ODUwMTYifQ==</vt:lpwstr>
  </property>
</Properties>
</file>